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Work Sans;sans-serif" w:hAnsi="Work Sans;sans-serif"/>
          <w:b/>
          <w:color w:val="000000"/>
          <w:sz w:val="18"/>
        </w:rPr>
      </w:pPr>
      <w:r>
        <w:rPr>
          <w:rFonts w:ascii="Work Sans;sans-serif" w:hAnsi="Work Sans;sans-serif"/>
          <w:b/>
          <w:color w:val="000000"/>
          <w:sz w:val="18"/>
        </w:rPr>
        <w:t>UNITED STATES</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SECURITIES AND EXCHANGE COMMISSION</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WASHINGTON, D.C. 20549</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80" w:after="283"/>
        <w:jc w:val="center"/>
        <w:rPr>
          <w:rFonts w:ascii="Work Sans;sans-serif" w:hAnsi="Work Sans;sans-serif"/>
          <w:b/>
          <w:color w:val="000000"/>
          <w:sz w:val="18"/>
        </w:rPr>
      </w:pPr>
      <w:r>
        <w:rPr>
          <w:rFonts w:ascii="Work Sans;sans-serif" w:hAnsi="Work Sans;sans-serif"/>
          <w:b/>
          <w:color w:val="000000"/>
          <w:sz w:val="18"/>
        </w:rPr>
        <w:t>FORM 8-K</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CURRENT REPORT</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Pursuant to Section 13 or 15(d) of the Securities Exchange Act of 1934</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Date of Report (Date of earliest event reported): August 5, 2026</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(Exact name of Registrant as Specified in Its Charter)</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tbl>
      <w:tblPr>
        <w:tblW w:w="6299" w:type="dxa"/>
        <w:jc w:val="left"/>
        <w:tblInd w:w="0" w:type="dxa"/>
        <w:tblLayout w:type="fixed"/>
        <w:tblCellMar>
          <w:top w:w="28" w:type="dxa"/>
          <w:left w:w="28" w:type="dxa"/>
          <w:bottom w:w="28" w:type="dxa"/>
          <w:right w:w="28" w:type="dxa"/>
        </w:tblCellMar>
      </w:tblPr>
      <w:tblGrid>
        <w:gridCol w:w="1042"/>
        <w:gridCol w:w="915"/>
        <w:gridCol w:w="923"/>
        <w:gridCol w:w="473"/>
        <w:gridCol w:w="473"/>
        <w:gridCol w:w="478"/>
        <w:gridCol w:w="583"/>
        <w:gridCol w:w="583"/>
        <w:gridCol w:w="829"/>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Delaware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001-35618</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95-4752856</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(State or Other Jurisdiction</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of Incorporation)</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(Commission</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File Number)</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(IRS Employer</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Identification No.)</w:t>
            </w:r>
          </w:p>
        </w:tc>
      </w:tr>
    </w:tbl>
    <w:tbl>
      <w:tblPr>
        <w:tblW w:w="5293" w:type="dxa"/>
        <w:jc w:val="left"/>
        <w:tblInd w:w="0" w:type="dxa"/>
        <w:tblLayout w:type="fixed"/>
        <w:tblCellMar>
          <w:top w:w="28" w:type="dxa"/>
          <w:left w:w="28" w:type="dxa"/>
          <w:bottom w:w="28" w:type="dxa"/>
          <w:right w:w="28" w:type="dxa"/>
        </w:tblCellMar>
      </w:tblPr>
      <w:tblGrid>
        <w:gridCol w:w="1483"/>
        <w:gridCol w:w="1304"/>
        <w:gridCol w:w="1307"/>
        <w:gridCol w:w="351"/>
        <w:gridCol w:w="351"/>
        <w:gridCol w:w="497"/>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954 Villa Street,</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Mountain View, California</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94041</w:t>
            </w:r>
          </w:p>
        </w:tc>
      </w:tr>
      <w:tr>
        <w:trPr/>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(Address of Principal Executive Offices)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(Zip Code)</w:t>
            </w:r>
          </w:p>
        </w:tc>
      </w:tr>
    </w:tbl>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Registrant’s Telephone Number, Including Area Code: (323) 962-8600</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Not Applicable</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(Former Name or Former Address, if Changed Since Last Report)</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Check the appropriate box below if the Form 8-K filing is intended to simultaneously satisfy the filing obligation of the registrant under any of the following provisions (see General Instructions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91"/>
        <w:gridCol w:w="2841"/>
        <w:gridCol w:w="40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40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12(b) of the Act:</w:t>
      </w:r>
    </w:p>
    <w:tbl>
      <w:tblPr>
        <w:tblW w:w="9818" w:type="dxa"/>
        <w:jc w:val="left"/>
        <w:tblInd w:w="0" w:type="dxa"/>
        <w:tblLayout w:type="fixed"/>
        <w:tblCellMar>
          <w:top w:w="28" w:type="dxa"/>
          <w:left w:w="28" w:type="dxa"/>
          <w:bottom w:w="28" w:type="dxa"/>
          <w:right w:w="28" w:type="dxa"/>
        </w:tblCellMar>
      </w:tblPr>
      <w:tblGrid>
        <w:gridCol w:w="1634"/>
        <w:gridCol w:w="1437"/>
        <w:gridCol w:w="1444"/>
        <w:gridCol w:w="109"/>
        <w:gridCol w:w="109"/>
        <w:gridCol w:w="109"/>
        <w:gridCol w:w="374"/>
        <w:gridCol w:w="374"/>
        <w:gridCol w:w="376"/>
        <w:gridCol w:w="109"/>
        <w:gridCol w:w="109"/>
        <w:gridCol w:w="109"/>
        <w:gridCol w:w="1032"/>
        <w:gridCol w:w="1032"/>
        <w:gridCol w:w="1461"/>
      </w:tblGrid>
      <w:tr>
        <w:trP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Trading</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Name of each exchange</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on which registered</w:t>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LZ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The Nasdaq Global Select Market</w:t>
            </w:r>
          </w:p>
        </w:tc>
      </w:tr>
    </w:tbl>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Emerging growth company ☐</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2.02 Results of Operations and Financial Condition.</w:t>
      </w:r>
    </w:p>
    <w:p>
      <w:pPr>
        <w:pStyle w:val="TextBody"/>
        <w:bidi w:val="0"/>
        <w:spacing w:lineRule="auto" w:line="288" w:before="120" w:after="160"/>
        <w:jc w:val="left"/>
        <w:rPr/>
      </w:pPr>
      <w:r>
        <w:rPr>
          <w:rFonts w:ascii="Work Sans;sans-serif" w:hAnsi="Work Sans;sans-serif"/>
          <w:b w:val="false"/>
          <w:color w:val="000000"/>
          <w:sz w:val="18"/>
        </w:rPr>
        <w:t xml:space="preserve">On August 5, 2026, LegalZoom.com, Inc. (“LegalZoom”) issued a press release announcing its results of operations for the three and six months ended June 30, 2026. A copy of that press release is furnished as </w:t>
      </w:r>
      <w:hyperlink w:anchor="lz-q22026earningsxexx991.htm">
        <w:r>
          <w:rPr>
            <w:rStyle w:val="InternetLink"/>
            <w:rFonts w:ascii="Work Sans;sans-serif" w:hAnsi="Work Sans;sans-serif"/>
            <w:b w:val="false"/>
            <w:color w:val="0000FF"/>
            <w:sz w:val="18"/>
            <w:u w:val="single"/>
          </w:rPr>
          <w:t>Exhibit 99.1</w:t>
        </w:r>
      </w:hyperlink>
      <w:r>
        <w:rPr>
          <w:color w:val="000000"/>
        </w:rPr>
        <w:t xml:space="preserve"> </w:t>
      </w:r>
      <w:r>
        <w:rPr>
          <w:rFonts w:ascii="Work Sans;sans-serif" w:hAnsi="Work Sans;sans-serif"/>
          <w:b w:val="false"/>
          <w:color w:val="000000"/>
          <w:sz w:val="18"/>
        </w:rPr>
        <w:t>to this report.</w:t>
      </w:r>
    </w:p>
    <w:p>
      <w:pPr>
        <w:pStyle w:val="TextBody"/>
        <w:bidi w:val="0"/>
        <w:spacing w:lineRule="auto" w:line="288" w:before="0" w:after="160"/>
        <w:jc w:val="left"/>
        <w:rPr/>
      </w:pPr>
      <w:r>
        <w:rPr>
          <w:rFonts w:ascii="Work Sans;sans-serif" w:hAnsi="Work Sans;sans-serif"/>
          <w:b w:val="false"/>
          <w:color w:val="000000"/>
          <w:sz w:val="18"/>
        </w:rPr>
        <w:t xml:space="preserve">The information furnished pursuant to Item 2.02 of this report, including </w:t>
      </w:r>
      <w:hyperlink w:anchor="lz-q22026earningsxexx991.htm">
        <w:r>
          <w:rPr>
            <w:rStyle w:val="InternetLink"/>
            <w:rFonts w:ascii="Work Sans;sans-serif" w:hAnsi="Work Sans;sans-serif"/>
            <w:b w:val="false"/>
            <w:color w:val="0000FF"/>
            <w:sz w:val="18"/>
            <w:u w:val="single"/>
          </w:rPr>
          <w:t>Exhibit 99.1</w:t>
        </w:r>
      </w:hyperlink>
      <w:r>
        <w:rPr>
          <w:rFonts w:ascii="Work Sans;sans-serif" w:hAnsi="Work Sans;sans-serif"/>
          <w:b w:val="false"/>
          <w:color w:val="000000"/>
          <w:sz w:val="18"/>
        </w:rPr>
        <w:t>, shall not be deemed to be “filed” for purposes of Section 18 of the Securities Exchange Act of 1934, as amended (the “Exchange Act”), or otherwise subject to the liabilities of that section, unless LegalZoom specifically states that the information is to be considered “filed” under the Exchange Act or incorporates it by reference into a filing under the Securities Act of 1933, as amended, or the Exchange Act.</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7.01 Regulation FD Disclosure.</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Also on August 5, 2026, LegalZoom updated its investor presentation and supplemental financial report, which contain financial results and related information regarding LegalZoom. The investor presentation and supplemental financial report are available on LegalZoom’s Investor Relations website at https://investors.legalzoom.com.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Item 9.01 Financial Statements and Exhibits.</w:t>
      </w:r>
    </w:p>
    <w:p>
      <w:pPr>
        <w:pStyle w:val="TextBody"/>
        <w:bidi w:val="0"/>
        <w:spacing w:lineRule="auto" w:line="288" w:before="120" w:after="283"/>
        <w:jc w:val="left"/>
        <w:rPr/>
      </w:pPr>
      <w:r>
        <w:rPr>
          <w:rFonts w:ascii="Work Sans;sans-serif" w:hAnsi="Work Sans;sans-serif"/>
          <w:b w:val="false"/>
          <w:color w:val="000000"/>
          <w:sz w:val="18"/>
        </w:rPr>
        <w:t xml:space="preserve">(d) </w:t>
      </w:r>
      <w:r>
        <w:rPr>
          <w:rFonts w:ascii="Work Sans;sans-serif" w:hAnsi="Work Sans;sans-serif"/>
          <w:b w:val="false"/>
          <w:color w:val="000000"/>
          <w:sz w:val="18"/>
          <w:u w:val="single"/>
        </w:rPr>
        <w:t>Exhibits</w:t>
      </w:r>
      <w:r>
        <w:rPr>
          <w:rFonts w:ascii="Work Sans;sans-serif" w:hAnsi="Work Sans;sans-serif"/>
          <w:b w:val="false"/>
          <w:color w:val="000000"/>
          <w:sz w:val="18"/>
        </w:rPr>
        <w:t>.</w:t>
      </w:r>
    </w:p>
    <w:tbl>
      <w:tblPr>
        <w:tblW w:w="8592"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141"/>
        <w:gridCol w:w="2141"/>
        <w:gridCol w:w="303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Exhibit</w:t>
            </w:r>
          </w:p>
          <w:p>
            <w:pPr>
              <w:pStyle w:val="TableContents"/>
              <w:bidi w:val="0"/>
              <w:spacing w:lineRule="auto" w:line="288" w:before="0" w:after="20"/>
              <w:jc w:val="left"/>
              <w:rPr>
                <w:rFonts w:ascii="Work Sans;sans-serif" w:hAnsi="Work Sans;sans-serif"/>
                <w:b/>
                <w:color w:val="000000"/>
                <w:sz w:val="18"/>
              </w:rPr>
            </w:pPr>
            <w:r>
              <w:rPr>
                <w:rFonts w:ascii="Work Sans;sans-serif" w:hAnsi="Work Sans;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lz-q22026earningsxexx991.htm">
              <w:r>
                <w:rPr>
                  <w:rStyle w:val="InternetLink"/>
                  <w:rFonts w:ascii="Work Sans;sans-serif" w:hAnsi="Work Sans;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lz-q22026earningsxexx991.htm">
              <w:r>
                <w:rPr>
                  <w:rStyle w:val="InternetLink"/>
                  <w:rFonts w:ascii="Work Sans;sans-serif" w:hAnsi="Work Sans;sans-serif"/>
                  <w:b w:val="false"/>
                  <w:color w:val="000080"/>
                  <w:sz w:val="18"/>
                  <w:u w:val="single"/>
                </w:rPr>
                <w:t xml:space="preserve">Earnings Press Release of LegalZoom.com, Inc. dated </w:t>
              </w:r>
            </w:hyperlink>
            <w:hyperlink w:anchor="lz-q22026earningsxexx991.htm">
              <w:r>
                <w:rPr>
                  <w:rStyle w:val="InternetLink"/>
                  <w:rFonts w:ascii="Work Sans;sans-serif" w:hAnsi="Work Sans;sans-serif"/>
                  <w:b w:val="false"/>
                  <w:color w:val="000080"/>
                  <w:sz w:val="18"/>
                  <w:u w:val="single"/>
                </w:rPr>
                <w:t>August 5</w:t>
              </w:r>
            </w:hyperlink>
            <w:hyperlink w:anchor="lz-q22026earningsxexx991.htm">
              <w:r>
                <w:rPr>
                  <w:rStyle w:val="InternetLink"/>
                  <w:rFonts w:ascii="Work Sans;sans-serif" w:hAnsi="Work Sans;sans-serif"/>
                  <w:b w:val="false"/>
                  <w:color w:val="000080"/>
                  <w:sz w:val="18"/>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Cover Page Interactive Data File (embedded within the Inline XBRL document).</w:t>
            </w:r>
          </w:p>
        </w:tc>
      </w:tr>
    </w:tbl>
    <w:p>
      <w:pPr>
        <w:pStyle w:val="TextBody"/>
        <w:bidi w:val="0"/>
        <w:spacing w:before="0" w:after="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20"/>
                              </w:rPr>
                            </w:pPr>
                            <w:r>
                              <w:rPr>
                                <w:rFonts w:ascii="Work Sans;sans-serif" w:hAnsi="Work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20"/>
                        </w:rPr>
                      </w:pPr>
                      <w:r>
                        <w:rPr>
                          <w:rFonts w:ascii="Work Sans;sans-serif" w:hAnsi="Work Sans;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shd w:fill="FFFFFF" w:val="clear"/>
        </w:rPr>
      </w:pPr>
      <w:r>
        <w:rPr>
          <w:rFonts w:ascii="Work Sans;sans-serif" w:hAnsi="Work Sans;sans-serif"/>
          <w:b/>
          <w:color w:val="000000"/>
          <w:sz w:val="18"/>
          <w:shd w:fill="FFFFFF" w:val="clear"/>
        </w:rPr>
        <w:t>SIGNATURES</w:t>
      </w:r>
    </w:p>
    <w:p>
      <w:pPr>
        <w:pStyle w:val="TextBody"/>
        <w:bidi w:val="0"/>
        <w:spacing w:lineRule="auto" w:line="288" w:before="240" w:after="283"/>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Pursuant to the requirements of the Securities Exchange Act of 1934, the registrant has duly caused this report to be signed on its behalf by the undersigned thereunto duly authorized.</w:t>
      </w:r>
    </w:p>
    <w:tbl>
      <w:tblPr>
        <w:tblW w:w="5413"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692"/>
        <w:gridCol w:w="692"/>
        <w:gridCol w:w="985"/>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Date: August 5, 2026</w:t>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3</w:t>
                      </w:r>
                    </w:p>
                  </w:txbxContent>
                </v:textbox>
                <w10:wrap type="none"/>
              </v:rect>
            </w:pict>
          </mc:Fallback>
        </mc:AlternateContent>
      </w:r>
    </w:p>
    <w:p>
      <w:pPr>
        <w:pStyle w:val="TextBody"/>
        <w:bidi w:val="0"/>
        <w:spacing w:lineRule="auto" w:line="288" w:before="0" w:after="120"/>
        <w:jc w:val="right"/>
        <w:rPr>
          <w:rFonts w:ascii="Work Sans;sans-serif" w:hAnsi="Work Sans;sans-serif"/>
          <w:b/>
          <w:color w:val="000000"/>
          <w:sz w:val="18"/>
        </w:rPr>
      </w:pPr>
      <w:r>
        <w:rPr>
          <w:rFonts w:ascii="Work Sans;sans-serif" w:hAnsi="Work Sans;sans-serif"/>
          <w:b/>
          <w:color w:val="000000"/>
          <w:sz w:val="18"/>
        </w:rPr>
        <w:t>Exhibit 99.1</w:t>
      </w:r>
    </w:p>
    <w:p>
      <w:pPr>
        <w:pStyle w:val="TextBody"/>
        <w:bidi w:val="0"/>
        <w:spacing w:before="0" w:after="240"/>
        <w:jc w:val="left"/>
        <w:rPr/>
      </w:pPr>
      <w:r>
        <w:rPr/>
        <w:drawing>
          <wp:inline distT="0" distB="0" distL="0" distR="0">
            <wp:extent cx="1371600"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523875"/>
                    </a:xfrm>
                    <a:prstGeom prst="rect">
                      <a:avLst/>
                    </a:prstGeom>
                  </pic:spPr>
                </pic:pic>
              </a:graphicData>
            </a:graphic>
          </wp:inline>
        </w:drawing>
      </w:r>
    </w:p>
    <w:p>
      <w:pPr>
        <w:pStyle w:val="TextBody"/>
        <w:bidi w:val="0"/>
        <w:spacing w:lineRule="auto" w:line="276" w:before="0" w:after="0"/>
        <w:jc w:val="left"/>
        <w:rPr>
          <w:rFonts w:ascii="Work Sans;sans-serif" w:hAnsi="Work Sans;sans-serif"/>
          <w:b/>
          <w:color w:val="000000"/>
          <w:sz w:val="18"/>
        </w:rPr>
      </w:pPr>
      <w:r>
        <w:rPr>
          <w:rFonts w:ascii="Work Sans;sans-serif" w:hAnsi="Work Sans;sans-serif"/>
          <w:b/>
          <w:color w:val="000000"/>
          <w:sz w:val="18"/>
        </w:rPr>
        <w:t xml:space="preserve">LegalZoom Reports Second Quarter 2026 Financial Results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Work Sans;sans-serif" w:hAnsi="Work Sans;sans-serif"/>
          <w:b w:val="false"/>
          <w:i/>
          <w:color w:val="000000"/>
          <w:sz w:val="18"/>
        </w:rPr>
        <w:t xml:space="preserve">Revenue of </w:t>
      </w:r>
      <w:r>
        <w:rPr>
          <w:rFonts w:ascii="Work Sans;sans-serif" w:hAnsi="Work Sans;sans-serif"/>
          <w:b w:val="false"/>
          <w:i/>
          <w:color w:val="000000"/>
          <w:sz w:val="18"/>
          <w:shd w:fill="FFFFFF" w:val="clear"/>
        </w:rPr>
        <w:t>$205.3 million,</w:t>
      </w:r>
      <w:r>
        <w:rPr>
          <w:color w:val="000000"/>
        </w:rPr>
        <w:t xml:space="preserve"> </w:t>
      </w:r>
      <w:r>
        <w:rPr>
          <w:rFonts w:ascii="Work Sans;sans-serif" w:hAnsi="Work Sans;sans-serif"/>
          <w:b w:val="false"/>
          <w:i/>
          <w:color w:val="000000"/>
          <w:sz w:val="18"/>
        </w:rPr>
        <w:t xml:space="preserve">up </w:t>
      </w:r>
      <w:r>
        <w:rPr>
          <w:rFonts w:ascii="Work Sans;sans-serif" w:hAnsi="Work Sans;sans-serif"/>
          <w:b w:val="false"/>
          <w:color w:val="000000"/>
          <w:sz w:val="18"/>
        </w:rPr>
        <w:t>7%</w:t>
      </w:r>
      <w:r>
        <w:rPr>
          <w:color w:val="000000"/>
        </w:rPr>
        <w:t xml:space="preserve"> </w:t>
      </w:r>
      <w:r>
        <w:rPr>
          <w:rFonts w:ascii="Work Sans;sans-serif" w:hAnsi="Work Sans;sans-serif"/>
          <w:b w:val="false"/>
          <w:i/>
          <w:color w:val="000000"/>
          <w:sz w:val="18"/>
        </w:rPr>
        <w:t xml:space="preserve">year-over-year, driven by subscription revenue increasing 11% year-over-year, representing LegalZoom’s fifth consecutive quarter of double digit subscription revenue growth </w:t>
      </w:r>
    </w:p>
    <w:p>
      <w:pPr>
        <w:pStyle w:val="TextBody"/>
        <w:bidi w:val="0"/>
        <w:spacing w:lineRule="auto" w:line="288" w:before="0" w:after="120"/>
        <w:ind w:left="0" w:right="0" w:hanging="360"/>
        <w:jc w:val="left"/>
        <w:rPr/>
      </w:pPr>
      <w:r>
        <w:rPr>
          <w:color w:val="000000"/>
          <w:shd w:fill="FFFFFF" w:val="clear"/>
        </w:rPr>
        <w:t>•</w:t>
      </w:r>
      <w:r>
        <w:rPr>
          <w:rFonts w:ascii="Work Sans;sans-serif" w:hAnsi="Work Sans;sans-serif"/>
          <w:b w:val="false"/>
          <w:i/>
          <w:color w:val="000000"/>
          <w:sz w:val="18"/>
          <w:shd w:fill="FFFFFF" w:val="clear"/>
        </w:rPr>
        <w:t xml:space="preserve">Subscription revenue of $133.4 million </w:t>
      </w:r>
      <w:r>
        <w:rPr>
          <w:rFonts w:ascii="Work Sans;sans-serif" w:hAnsi="Work Sans;sans-serif"/>
          <w:b w:val="false"/>
          <w:i/>
          <w:color w:val="000000"/>
          <w:sz w:val="18"/>
        </w:rPr>
        <w:t>up</w:t>
      </w:r>
      <w:r>
        <w:rPr>
          <w:color w:val="000000"/>
          <w:shd w:fill="FFFFFF" w:val="clear"/>
        </w:rPr>
        <w:t xml:space="preserve"> </w:t>
      </w:r>
      <w:r>
        <w:rPr>
          <w:rFonts w:ascii="Work Sans;sans-serif" w:hAnsi="Work Sans;sans-serif"/>
          <w:b w:val="false"/>
          <w:color w:val="000000"/>
          <w:sz w:val="18"/>
        </w:rPr>
        <w:t>11%</w:t>
      </w:r>
      <w:r>
        <w:rPr>
          <w:color w:val="000000"/>
          <w:shd w:fill="FFFFFF" w:val="clear"/>
        </w:rPr>
        <w:t xml:space="preserve"> </w:t>
      </w:r>
      <w:r>
        <w:rPr>
          <w:rFonts w:ascii="Work Sans;sans-serif" w:hAnsi="Work Sans;sans-serif"/>
          <w:b w:val="false"/>
          <w:i/>
          <w:color w:val="000000"/>
          <w:sz w:val="18"/>
          <w:shd w:fill="FFFFFF" w:val="clear"/>
        </w:rPr>
        <w:t>year-over-</w:t>
      </w:r>
      <w:r>
        <w:rPr>
          <w:rFonts w:ascii="Work Sans;sans-serif" w:hAnsi="Work Sans;sans-serif"/>
          <w:b w:val="false"/>
          <w:i/>
          <w:color w:val="000000"/>
          <w:sz w:val="18"/>
        </w:rPr>
        <w:t xml:space="preserve">year from strength in human-in-the-loop offerings and pricing initiatives </w:t>
      </w:r>
    </w:p>
    <w:p>
      <w:pPr>
        <w:pStyle w:val="TextBody"/>
        <w:bidi w:val="0"/>
        <w:spacing w:lineRule="auto" w:line="288" w:before="0" w:after="120"/>
        <w:ind w:left="0" w:right="0" w:hanging="360"/>
        <w:jc w:val="left"/>
        <w:rPr/>
      </w:pPr>
      <w:r>
        <w:rPr>
          <w:color w:val="000000"/>
        </w:rPr>
        <w:t>•</w:t>
      </w:r>
      <w:r>
        <w:rPr>
          <w:rFonts w:ascii="Work Sans;sans-serif" w:hAnsi="Work Sans;sans-serif"/>
          <w:b w:val="false"/>
          <w:i/>
          <w:color w:val="000000"/>
          <w:sz w:val="18"/>
        </w:rPr>
        <w:t xml:space="preserve">Net income of $5.2 million and net income margin of </w:t>
      </w:r>
      <w:r>
        <w:rPr>
          <w:rFonts w:ascii="Work Sans;sans-serif" w:hAnsi="Work Sans;sans-serif"/>
          <w:b w:val="false"/>
          <w:color w:val="000000"/>
          <w:sz w:val="18"/>
        </w:rPr>
        <w:t xml:space="preserve">3%; </w:t>
      </w:r>
      <w:r>
        <w:rPr>
          <w:rFonts w:ascii="Work Sans;sans-serif" w:hAnsi="Work Sans;sans-serif"/>
          <w:b w:val="false"/>
          <w:i/>
          <w:color w:val="000000"/>
          <w:sz w:val="18"/>
        </w:rPr>
        <w:t>with net income margin increasing approximately 260 basis points year-over-year</w:t>
      </w:r>
    </w:p>
    <w:p>
      <w:pPr>
        <w:pStyle w:val="TextBody"/>
        <w:bidi w:val="0"/>
        <w:spacing w:lineRule="auto" w:line="288" w:before="0" w:after="120"/>
        <w:ind w:left="0" w:right="0" w:hanging="360"/>
        <w:jc w:val="left"/>
        <w:rPr/>
      </w:pPr>
      <w:r>
        <w:rPr>
          <w:color w:val="000000"/>
        </w:rPr>
        <w:t>•</w:t>
      </w:r>
      <w:r>
        <w:rPr>
          <w:rFonts w:ascii="Work Sans;sans-serif" w:hAnsi="Work Sans;sans-serif"/>
          <w:b w:val="false"/>
          <w:i/>
          <w:color w:val="000000"/>
          <w:sz w:val="18"/>
        </w:rPr>
        <w:t xml:space="preserve">Adjusted EBITDA of $45.9 million and Adjusted EBITDA margin of </w:t>
      </w:r>
      <w:r>
        <w:rPr>
          <w:rFonts w:ascii="Work Sans;sans-serif" w:hAnsi="Work Sans;sans-serif"/>
          <w:b w:val="false"/>
          <w:color w:val="000000"/>
          <w:sz w:val="18"/>
        </w:rPr>
        <w:t xml:space="preserve">22%, </w:t>
      </w:r>
      <w:r>
        <w:rPr>
          <w:rFonts w:ascii="Work Sans;sans-serif" w:hAnsi="Work Sans;sans-serif"/>
          <w:b w:val="false"/>
          <w:i/>
          <w:color w:val="000000"/>
          <w:sz w:val="18"/>
        </w:rPr>
        <w:t>ahead of the high end of our guidance range; with Adjusted EBITDA margin increasing approximately 220 basis points year-over-year</w:t>
      </w:r>
    </w:p>
    <w:p>
      <w:pPr>
        <w:pStyle w:val="TextBody"/>
        <w:bidi w:val="0"/>
        <w:spacing w:lineRule="auto" w:line="288" w:before="0" w:after="120"/>
        <w:ind w:left="0" w:right="0" w:hanging="360"/>
        <w:jc w:val="left"/>
        <w:rPr/>
      </w:pPr>
      <w:r>
        <w:rPr>
          <w:color w:val="000000"/>
        </w:rPr>
        <w:t>•</w:t>
      </w:r>
      <w:r>
        <w:rPr>
          <w:rFonts w:ascii="Work Sans;sans-serif" w:hAnsi="Work Sans;sans-serif"/>
          <w:b w:val="false"/>
          <w:i/>
          <w:color w:val="000000"/>
          <w:sz w:val="18"/>
        </w:rPr>
        <w:t>Commitment to shareholder returns; completed $45.5 million of share repurchases in the quarter, with approximately $80.4 million remaining under the existing authorization</w:t>
      </w:r>
    </w:p>
    <w:p>
      <w:pPr>
        <w:pStyle w:val="TextBody"/>
        <w:bidi w:val="0"/>
        <w:spacing w:lineRule="auto" w:line="288" w:before="0" w:after="120"/>
        <w:ind w:left="0" w:right="0" w:hanging="360"/>
        <w:jc w:val="left"/>
        <w:rPr/>
      </w:pPr>
      <w:r>
        <w:rPr>
          <w:color w:val="000000"/>
        </w:rPr>
        <w:t>•</w:t>
      </w:r>
      <w:r>
        <w:rPr>
          <w:rFonts w:ascii="Work Sans;sans-serif" w:hAnsi="Work Sans;sans-serif"/>
          <w:b w:val="false"/>
          <w:i/>
          <w:color w:val="000000"/>
          <w:sz w:val="18"/>
        </w:rPr>
        <w:t xml:space="preserve">Ended the quarter with cash and cash equivalents of $167.2 million and delivered $39.5 million in cash from operating activities and $33.7 million in free cash flow with no debt outstanding as of </w:t>
      </w:r>
      <w:r>
        <w:rPr>
          <w:rFonts w:ascii="Work Sans;sans-serif" w:hAnsi="Work Sans;sans-serif"/>
          <w:b w:val="false"/>
          <w:color w:val="000000"/>
          <w:sz w:val="18"/>
        </w:rPr>
        <w:t>June 30, 2026</w:t>
      </w:r>
    </w:p>
    <w:p>
      <w:pPr>
        <w:pStyle w:val="TextBody"/>
        <w:bidi w:val="0"/>
        <w:spacing w:lineRule="auto" w:line="288" w:before="0" w:after="0"/>
        <w:ind w:left="0" w:right="0" w:hanging="360"/>
        <w:jc w:val="left"/>
        <w:rPr/>
      </w:pPr>
      <w:r>
        <w:rPr>
          <w:color w:val="000000"/>
        </w:rPr>
        <w:t>•</w:t>
      </w:r>
      <w:r>
        <w:rPr>
          <w:rFonts w:ascii="Work Sans;sans-serif" w:hAnsi="Work Sans;sans-serif"/>
          <w:b w:val="false"/>
          <w:i/>
          <w:color w:val="000000"/>
          <w:sz w:val="18"/>
        </w:rPr>
        <w:t>Updating full-year 2026 revenue outlook to $795.0–$805.0 million and Adjusted EBITDA to $190.0–$195.0 million, reflecting the recent industry-wide shift in customer discovery away from traditional search, while maintaining strong margin discipline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Work Sans;sans-serif" w:hAnsi="Work Sans;sans-serif"/>
          <w:b/>
          <w:i/>
          <w:color w:val="000000"/>
          <w:sz w:val="18"/>
          <w:shd w:fill="FFFFFF" w:val="clear"/>
        </w:rPr>
        <w:t>MOUNTAIN VIEW, California – August 5, 2026</w:t>
      </w:r>
      <w:r>
        <w:rPr>
          <w:color w:val="000000"/>
          <w:shd w:fill="FFFFFF" w:val="clear"/>
        </w:rPr>
        <w:t xml:space="preserve"> – </w:t>
      </w:r>
      <w:r>
        <w:rPr>
          <w:rFonts w:ascii="Work Sans;sans-serif" w:hAnsi="Work Sans;sans-serif"/>
          <w:b w:val="false"/>
          <w:color w:val="000000"/>
          <w:sz w:val="18"/>
          <w:shd w:fill="FFFFFF" w:val="clear"/>
        </w:rPr>
        <w:t>LegalZoom (Nasdaq: LZ), America’s #1 online legal services company, today announced results for its second quarter ended June 30, 2026.</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"Since late 2024, we've deliberately repositioned LegalZoom around subscription relationships that pair AI with trusted human expertise," said Jeff Stibel, Chairman and Chief Executive Officer of LegalZoom. "That strategy is working. While demand for what we do is intact, discovery is moving. We have been actively building new customer acquisition channels for more than a year, and our outlook fully reflects today's environment, with no recovery in traditional search assumed. In the AI channels where discovery is heading, every visit is incremental. We've partnered with the leading AI companies, we have more brand references across AI platforms than any competitor, and we haven't assumed how quickly this scales. That's the upside we're positioned to capture."</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"We're updating our revenue expectations based on recent changes in the customer acquisition environment, while our profitability outlook reflects the discipline of our operating model," said Noel Watson, Chief Operating Officer and Chief Financial Officer. "We continue to improve operating efficiency, expand margins and generate strong cash flow while investing behind the initiatives that support our long-term growth strategy."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Work Sans;sans-serif" w:hAnsi="Work Sans;sans-serif"/>
          <w:b/>
          <w:color w:val="000000"/>
          <w:sz w:val="18"/>
        </w:rPr>
      </w:pPr>
      <w:r>
        <w:rPr>
          <w:rFonts w:ascii="Work Sans;sans-serif" w:hAnsi="Work Sans;sans-serif"/>
          <w:b/>
          <w:color w:val="000000"/>
          <w:sz w:val="18"/>
        </w:rPr>
        <w:t>Second Quarter 2026 Highlights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Revenue was $205.3 million for the quarter, up 7% year-over-year.</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Transaction revenue of $71.9 million</w:t>
      </w:r>
      <w:r>
        <w:rPr>
          <w:color w:val="000000"/>
        </w:rPr>
        <w:t xml:space="preserve"> </w:t>
      </w:r>
      <w:r>
        <w:rPr>
          <w:rFonts w:ascii="Work Sans;sans-serif" w:hAnsi="Work Sans;sans-serif"/>
          <w:b w:val="false"/>
          <w:color w:val="000000"/>
          <w:sz w:val="18"/>
        </w:rPr>
        <w:t xml:space="preserve">decreased 1% year-over-year. </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 xml:space="preserve">Subscription revenue of $133.4 million grew 11% year-over-year. </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Net income was $5.2 million for the quarter, or 3% of revenue, compared to a net loss of $0.3 million, or less than 1% of revenue, in the same period in 2025.</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Adjusted EBITDA was $45.9 million for the quarter, or 22% of revenue, compared to $39.0 million, or 20% of revenue, in the same period in 2025.</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Non-GAAP net income was $27.4 million for the quarter compared to $28.3 million in the same period in 2025.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 xml:space="preserve">Cash and cash equivalents were $167.2 million as of June 30, 2026 compared to $203.1 million as of December 31, 2025. </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Cash flows provided by operating activities were $39.5 million for the quarter ended June 30, 2026 compared to $39.1 million in the same period in 2025.</w:t>
      </w:r>
    </w:p>
    <w:p>
      <w:pPr>
        <w:pStyle w:val="TextBody"/>
        <w:bidi w:val="0"/>
        <w:spacing w:lineRule="auto" w:line="288" w:before="0" w:after="120"/>
        <w:ind w:left="0" w:right="0" w:hanging="360"/>
        <w:jc w:val="left"/>
        <w:rPr/>
      </w:pPr>
      <w:r>
        <w:rPr>
          <w:color w:val="000000"/>
        </w:rPr>
        <w:t>•</w:t>
      </w:r>
      <w:r>
        <w:rPr>
          <w:rFonts w:ascii="Work Sans;sans-serif" w:hAnsi="Work Sans;sans-serif"/>
          <w:b w:val="false"/>
          <w:color w:val="000000"/>
          <w:sz w:val="18"/>
        </w:rPr>
        <w:t>Free cash flow was $33.7 million for the quarter ended June 30, 2026 compared to $31.6 million in the same period in 2025.</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Basic and diluted net income per share was $0.03 for the quarter compared to a basic and diluted net loss per share of $— for the same period in 2025. Basic and diluted Non-GAAP net income per share was $0.16 for the quarter compared to basic and diluted Non-GAAP net income per share of $0.16 and $0.15, respectively, for the same period in 2025.</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 xml:space="preserve">Key Business Metrics and Non-GAAP Financial Measures </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(Unaudited, in thousands except AOV, ARPU and percentages)</w:t>
      </w:r>
    </w:p>
    <w:tbl>
      <w:tblPr>
        <w:tblW w:w="10905" w:type="dxa"/>
        <w:jc w:val="left"/>
        <w:tblInd w:w="0" w:type="dxa"/>
        <w:tblLayout w:type="fixed"/>
        <w:tblCellMar>
          <w:top w:w="28" w:type="dxa"/>
          <w:left w:w="28" w:type="dxa"/>
          <w:bottom w:w="28" w:type="dxa"/>
          <w:right w:w="28" w:type="dxa"/>
        </w:tblCellMar>
      </w:tblPr>
      <w:tblGrid>
        <w:gridCol w:w="579"/>
        <w:gridCol w:w="408"/>
        <w:gridCol w:w="274"/>
        <w:gridCol w:w="226"/>
        <w:gridCol w:w="946"/>
        <w:gridCol w:w="271"/>
        <w:gridCol w:w="109"/>
        <w:gridCol w:w="109"/>
        <w:gridCol w:w="109"/>
        <w:gridCol w:w="226"/>
        <w:gridCol w:w="946"/>
        <w:gridCol w:w="271"/>
        <w:gridCol w:w="109"/>
        <w:gridCol w:w="109"/>
        <w:gridCol w:w="109"/>
        <w:gridCol w:w="244"/>
        <w:gridCol w:w="244"/>
        <w:gridCol w:w="608"/>
        <w:gridCol w:w="109"/>
        <w:gridCol w:w="109"/>
        <w:gridCol w:w="109"/>
        <w:gridCol w:w="226"/>
        <w:gridCol w:w="946"/>
        <w:gridCol w:w="271"/>
        <w:gridCol w:w="109"/>
        <w:gridCol w:w="109"/>
        <w:gridCol w:w="109"/>
        <w:gridCol w:w="226"/>
        <w:gridCol w:w="946"/>
        <w:gridCol w:w="271"/>
        <w:gridCol w:w="109"/>
        <w:gridCol w:w="109"/>
        <w:gridCol w:w="109"/>
        <w:gridCol w:w="334"/>
        <w:gridCol w:w="334"/>
        <w:gridCol w:w="473"/>
      </w:tblGrid>
      <w:tr>
        <w:trPr/>
        <w:tc>
          <w:tcPr>
            <w:tcW w:w="57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Growth</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(Decline)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Work Sans;sans-serif" w:hAnsi="Work Sans;sans-serif"/>
                <w:b/>
                <w:color w:val="000000"/>
                <w:sz w:val="18"/>
              </w:rPr>
            </w:pPr>
            <w:r>
              <w:rPr>
                <w:rFonts w:ascii="Work Sans;sans-serif" w:hAnsi="Work Sans;sans-serif"/>
                <w:b/>
                <w:color w:val="000000"/>
                <w:sz w:val="18"/>
              </w:rPr>
              <w:t>YOY</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205,289 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192,509 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412,070 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375,619 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Transaction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71,890 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72,611 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148,513 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139,464 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Subscription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133,399 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119,898 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263,557 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236,155 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125,111 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272,183 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241,661 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Gross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86,829 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89,842 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Non-GAAP Financial Measures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 GAAP net income </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Non GAAP net income per share — basic:</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Non GAAP net income per share — 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45,898 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82,360 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75,977 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33,690 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72,934 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Key Business Metrics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Transaction units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Business formations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Average order value (AOV)</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Subscription units at period end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 (ARPU) at period end</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5897" w:type="dxa"/>
            <w:gridSpan w:val="18"/>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i/>
                <w:color w:val="000000"/>
                <w:sz w:val="16"/>
              </w:rPr>
            </w:pPr>
            <w:r>
              <w:rPr>
                <w:rFonts w:ascii="Work Sans;sans-serif" w:hAnsi="Work Sans;sans-serif"/>
                <w:b w:val="false"/>
                <w:i/>
                <w:color w:val="000000"/>
                <w:sz w:val="16"/>
              </w:rPr>
              <w:t>Certain percentages may not recalculate due to rounding.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Financial Guidance and Outlook</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LegalZoom is updating its revenue outlook and Adjusted EBITDA outlook for the full year ending December 31, 2026 as follows:</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Revenue is expected to be in the range of $795 million to $805 million, or 6% year-over-year growth at the midpoint. This compares to the Company’s previous revenue outlook in the range of $810 million to $830 million, or 8% growth at the midpoint. LegalZoom’s outlook reflects the continued scaling of our higher-value growth initiatives and ongoing momentum from our partner channel, partially offset by a more cautious view of customer acquisition for the remainder of the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Adjusted EBITDA is expected to be in the range of $190 million to $195 million, reflecting 12% year-over-year growth at the midpoint, and a 24% margin. This compares to the Company’s previous Adjusted EBITDA outlook of $190 million to $200 million, or 13% year-over-year growth, and a 24% margin. LegalZoom’s outlook reflects disciplined cost management, ongoing gross margin improvement and the benefits from a 13% workforce reduction announced today.</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For the third quarter ending September 30, 2026 LegalZoom expects: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 xml:space="preserve">Revenue in the range of $192 million to $196 million, or 2% year-over-year growth at the midpoint.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Adjusted EBITDA in the range of $49 million to $51 million, an 8% year-over-year increase at the midpoint, and a 26% margin.</w: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Webcast and Conference Call Information</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 webcast and conference call to discuss second quarter 2026 results is scheduled for today, August 5, 2026, at 4:30 p.m. Eastern time/1:30 p.m. Pacific time. Those interested in participating in the conference call are invited to register Here.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 live audio webcast of the event will be available on the LegalZoom Investor Relations website: https://investors.legalzoom.com. An archived replay of the webcast also will be available shortly after the live event.</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This press release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press release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press release include, but are not limited to, statements regarding our quarterly and annual guidance.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dependence on business formations; our dependence on customers expanding the use of our platform, including converting our transactional customers to subscribers and our subscribers renewing their subscriptions with us; the impact of macroeconomic challenges or uncertainty on our business; our ability to remain profitable in the future; our ability to provide high-quality products and services, customer care and customer experience; our ability to continue to innovate and provide a platform that is useful to our customers and that meets our customers’ expectations; the competitive legal solutions market; our dependence on our brand and reputation; our ability to maintain and expand strategic relationships with third parties; our ability to hire and retain top talent and motivate our employees; risks and costs associated with complex and evolving laws and regulations; our ability to maintain effective in our internal control over financial reporting; and any factors discussed in the section titled “Risk Factors” included in our Quarterly Report on Form 10-Q for the three months ended March 31, 2026 filed with the Securities and Exchange Commission (the “SEC”) on May 6, 2026, as well as any factors in our subsequent filings with the SEC. The forward-looking statements in this press release are based upon information available to us as of the date of this press release, and while we believe such information forms a reasonable basis for such statements, such information may be limited or incomplete, and our statements should not be read to indicate that we have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conducted an exhaustive inquiry into, or review of, all potentially available relevant information. These statements are inherently uncertain and investors are cautioned not to unduly rely upon these statements.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You should read this press release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press release, whether as a result of any new information, future events or otherwise.</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About Non-GAAP Financial Measures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This press release includes non-GAAP financial measures including Adjusted EBITDA, Adjusted EBITDA margin, Non-GAAP net income, Non-GAAP net income (loss) margin, Non-GAAP net income per share and free cash flow. We use these non-GAAP financial measures to better understand and evaluate our core operating performance. We believe that these non-GAAP financial measures provide management and our investors with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also believe that these measures provide an additional tool for investors to use in comparing our core financial performance over multiple periods with other companies in our industry. These non-GAAP measures should not be considered in isolation of, or as a substitute or an alternative to, measures prepared and presented in accordance with GAAP.</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(loss) adjusted to exclude interest expense, interest income, provision for (benefit from) income taxes, depreciation and amortization, other expense (income), net, stock-based compensation and certain non-recurring income and expenses from time to time. We define Adjusted EBITDA margin as Adjusted EBITDA as a percentage of revenue.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Adjusted EBITDA is one of the primary performance measures used by our management and our board of directors to understand and evaluate our financial performance and operating trends, including period-to-period comparisons, preparing and approving our annual budget and operational planning. In assessing our performance, we exclude certain expenses that we believe are not comparable period over period or that we believe are not indicative of our underlying operating performance. There are a number of limitations related to the use of Adjusted EBITDA rather than net income (loss), which include that Adjusted EBITDA:</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certain expenses that we do not consider representative of our underlying operating performance, but that reduce cash available to us.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define Non-GAAP net income as net income (loss) adjusted to exclude amortization of acquired intangible assets, stock-based compensation expense and certain non-recurring income and expenses from time to time, net of related income tax impacts. We define net income (loss) margin as net loss as a percentage of revenue. We define Non-GAAP net income (loss) margin as Non-GAAP net income as a percentage of revenue. We define Non-GAAP net income (loss) per share attributable to common stockholders as Non-GAAP net income (loss) divided by basic and diluted weighted-average common stock.</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Free cash flow is a liquidity measure used by management in evaluating the cash generated by our operations after purchases of property and equipment including capitalized internal-use software. We believe free cash flow provides useful information to management and investors about the amount of cash generated by our business that can be used for strategic opportunities, including investing in our business and strengthening our balance sheet, once our business needs and obligations are met.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w:t>
      </w:r>
    </w:p>
    <w:p>
      <w:pPr>
        <w:pStyle w:val="TextBody"/>
        <w:bidi w:val="0"/>
        <w:spacing w:before="0" w:after="0"/>
        <w:jc w:val="left"/>
        <w:rPr/>
      </w:pPr>
      <w:r>
        <w:rPr/>
      </w:r>
    </w:p>
    <w:p>
      <w:pPr>
        <w:pStyle w:val="TextBody"/>
        <w:bidi w:val="0"/>
        <w:spacing w:lineRule="auto" w:line="288"/>
        <w:jc w:val="left"/>
        <w:rPr>
          <w:rFonts w:ascii="Work Sans;sans-serif" w:hAnsi="Work Sans;sans-serif"/>
          <w:b w:val="false"/>
          <w:color w:val="000000"/>
          <w:sz w:val="18"/>
        </w:rPr>
      </w:pPr>
      <w:r>
        <w:rPr>
          <w:rFonts w:ascii="Work Sans;sans-serif" w:hAnsi="Work Sans;sans-serif"/>
          <w:b w:val="false"/>
          <w:color w:val="000000"/>
          <w:sz w:val="18"/>
        </w:rPr>
        <w:t xml:space="preserve">We are not providing a reconciliation for our non-GAAP outlook on a forward-looking basis (including the information under “Financial Guidance and Outlook” above), as we are unable to provide a meaningful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calculation or estimation of reconciling items and the information is not available without unreasonable effort. This is due to the inherent difficulty of forecasting the timing or amount of various items that would impact the most directly comparable forward-looking GAAP financial measure that have not yet occurred, are out of LegalZoom’s control and/or cannot be reasonably predicted. Forward-looking non-GAAP financial measures provided without the most directly comparable GAAP financial measures may vary materially from the corresponding GAAP financial measures.</w: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The tables in this press release contain more details on the GAAP financial measures that are most directly comparable to non-GAAP financial measures and the related reconciliations between these financial measures.</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LegalZoom</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LegalZoom is a leading online platform for legal services, transforming how individuals and small businesses navigate the legal system. By combining intuitive technology with access to experienced attorneys, whether through our vast independent attorney network or our own law firm, we offer the tools and guidance people need to confidently manage everything from business formation and compliance to intellectual property protection and ongoing business management and legal support.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As AI reshapes how legal work gets done, LegalZoom is at the forefront of the human-in-the-loop approach, ensuring that the speed and efficiency of AI is always backed by the judgment and accountability of qualified professionals. With over two decades of experience and millions of customers served, LegalZoom helps individuals and small businesses navigate legal needs with confidence. For more information, please visit www.legalzoom.com.</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Contact</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Investor Relations </w:t>
      </w:r>
    </w:p>
    <w:p>
      <w:pPr>
        <w:pStyle w:val="TextBody"/>
        <w:bidi w:val="0"/>
        <w:spacing w:lineRule="auto" w:line="288" w:before="120" w:after="120"/>
        <w:jc w:val="left"/>
        <w:rPr>
          <w:rFonts w:ascii="Work Sans;sans-serif" w:hAnsi="Work Sans;sans-serif"/>
          <w:b w:val="false"/>
          <w:color w:val="000000"/>
          <w:sz w:val="18"/>
          <w:u w:val="single"/>
        </w:rPr>
      </w:pPr>
      <w:r>
        <w:rPr>
          <w:rFonts w:ascii="Work Sans;sans-serif" w:hAnsi="Work Sans;sans-serif"/>
          <w:b w:val="false"/>
          <w:color w:val="000000"/>
          <w:sz w:val="18"/>
          <w:u w:val="single"/>
        </w:rPr>
        <w:t>investor@legalzoom.com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shd w:fill="FFFFFF" w:val="clear"/>
        </w:rPr>
      </w:pPr>
      <w:r>
        <w:rPr>
          <w:rFonts w:ascii="Work Sans;sans-serif" w:hAnsi="Work Sans;sans-serif"/>
          <w:b/>
          <w:color w:val="000000"/>
          <w:sz w:val="18"/>
          <w:shd w:fill="FFFFFF" w:val="clear"/>
        </w:rPr>
        <w:t>Unaudited Condensed Consolidated Balance Sheets</w:t>
      </w:r>
    </w:p>
    <w:p>
      <w:pPr>
        <w:pStyle w:val="TextBody"/>
        <w:bidi w:val="0"/>
        <w:spacing w:lineRule="auto" w:line="288" w:before="0" w:after="0"/>
        <w:jc w:val="center"/>
        <w:rPr/>
      </w:pPr>
      <w:r>
        <w:rPr>
          <w:rFonts w:ascii="Work Sans;sans-serif" w:hAnsi="Work Sans;sans-serif"/>
          <w:b w:val="false"/>
          <w:i/>
          <w:color w:val="000000"/>
          <w:sz w:val="18"/>
          <w:shd w:fill="FFFFFF" w:val="clear"/>
        </w:rPr>
        <w:t xml:space="preserve">(In </w:t>
      </w:r>
      <w:r>
        <w:rPr>
          <w:rFonts w:ascii="Work Sans;sans-serif" w:hAnsi="Work Sans;sans-serif"/>
          <w:b w:val="false"/>
          <w:i/>
          <w:color w:val="000000"/>
          <w:sz w:val="18"/>
        </w:rPr>
        <w:t>thousands, except par values)</w:t>
      </w:r>
    </w:p>
    <w:tbl>
      <w:tblPr>
        <w:tblW w:w="10205" w:type="dxa"/>
        <w:jc w:val="center"/>
        <w:tblInd w:w="0" w:type="dxa"/>
        <w:tblLayout w:type="fixed"/>
        <w:tblCellMar>
          <w:top w:w="28" w:type="dxa"/>
          <w:left w:w="28" w:type="dxa"/>
          <w:bottom w:w="28" w:type="dxa"/>
          <w:right w:w="28" w:type="dxa"/>
        </w:tblCellMar>
      </w:tblPr>
      <w:tblGrid>
        <w:gridCol w:w="3113"/>
        <w:gridCol w:w="1942"/>
        <w:gridCol w:w="1904"/>
        <w:gridCol w:w="236"/>
        <w:gridCol w:w="991"/>
        <w:gridCol w:w="114"/>
        <w:gridCol w:w="109"/>
        <w:gridCol w:w="109"/>
        <w:gridCol w:w="109"/>
        <w:gridCol w:w="268"/>
        <w:gridCol w:w="1124"/>
        <w:gridCol w:w="186"/>
      </w:tblGrid>
      <w:tr>
        <w:trPr/>
        <w:tc>
          <w:tcPr>
            <w:tcW w:w="3113"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2025</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167,227 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203,100 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receivable, net of allowance</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25,187 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assets</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212,173 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241,923 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Intangible assets, net</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14,932 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24,095 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466,359 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 xml:space="preserve">Liabilities and stockholders’ equity </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27,167 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56,055 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83,361 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221,180 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203,653 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liabilities</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318,113 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318,519 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339,203 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339,640 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Commitments and contingencies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Preferred stock, $0.001 par value; 100,000 shares authorized at June 30, 2026 and December 31, 2025, none issued or outstanding at June 30, 2026 and December 31, 2025</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Common stock, $0.001 par value; 1,000,000 shares authorized; 167,451 shares and 177,624 shares issued and outstanding at June 30, 2026 and December 31, 2025, respectively</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Additional paid-in capital</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1,344,473 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1,305,936 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deficit</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(1,217,855)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(1,134,414)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other comprehensive income</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Total stockholders’ equity </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127,156 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171,882 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Total liabilities and stockholders’ equity</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466,359 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1687"/>
        <w:gridCol w:w="988"/>
        <w:gridCol w:w="982"/>
        <w:gridCol w:w="109"/>
        <w:gridCol w:w="109"/>
        <w:gridCol w:w="109"/>
        <w:gridCol w:w="231"/>
        <w:gridCol w:w="969"/>
        <w:gridCol w:w="111"/>
        <w:gridCol w:w="111"/>
        <w:gridCol w:w="111"/>
        <w:gridCol w:w="111"/>
        <w:gridCol w:w="231"/>
        <w:gridCol w:w="969"/>
        <w:gridCol w:w="111"/>
        <w:gridCol w:w="109"/>
        <w:gridCol w:w="109"/>
        <w:gridCol w:w="109"/>
        <w:gridCol w:w="226"/>
        <w:gridCol w:w="946"/>
        <w:gridCol w:w="109"/>
        <w:gridCol w:w="109"/>
        <w:gridCol w:w="109"/>
        <w:gridCol w:w="109"/>
        <w:gridCol w:w="226"/>
        <w:gridCol w:w="946"/>
        <w:gridCol w:w="159"/>
      </w:tblGrid>
      <w:tr>
        <w:trPr/>
        <w:tc>
          <w:tcPr>
            <w:tcW w:w="168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192,509 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375,619 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65,359 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67,398 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133,958 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139,930 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125,111 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241,661 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78,849 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69,580 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21,635 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42,957 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30,384 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76,217 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129,280 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128,211 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235,795 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(3,100)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10,070 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attributable to common stockholders—basic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178,837 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171,641 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177,627 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182,694 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9818" w:type="dxa"/>
        <w:jc w:val="left"/>
        <w:tblInd w:w="0" w:type="dxa"/>
        <w:tblLayout w:type="fixed"/>
        <w:tblCellMar>
          <w:top w:w="28" w:type="dxa"/>
          <w:left w:w="28" w:type="dxa"/>
          <w:bottom w:w="28" w:type="dxa"/>
          <w:right w:w="28" w:type="dxa"/>
        </w:tblCellMar>
      </w:tblPr>
      <w:tblGrid>
        <w:gridCol w:w="2517"/>
        <w:gridCol w:w="2210"/>
        <w:gridCol w:w="2218"/>
        <w:gridCol w:w="270"/>
        <w:gridCol w:w="790"/>
        <w:gridCol w:w="139"/>
        <w:gridCol w:w="139"/>
        <w:gridCol w:w="139"/>
        <w:gridCol w:w="139"/>
        <w:gridCol w:w="270"/>
        <w:gridCol w:w="790"/>
        <w:gridCol w:w="197"/>
      </w:tblGrid>
      <w:tr>
        <w:trPr/>
        <w:tc>
          <w:tcPr>
            <w:tcW w:w="251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operating activities</w:t>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6,287 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Adjustments to reconcile net income to net cash provided by operating activities: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Depreciation and amortization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22,411 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21,745 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Amortization of debt issuance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Amortization of right-of-use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44,910 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60,394 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Gain on sale of assets held for sale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(14,337)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Gain on sale of available-for-sale debt security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Loss on disposal of property and equipment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7,825 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(5,725)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Change in fair value of other equity security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Unrealized foreign exchange loss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Changes in operating assets and liabilities, net of effects of business combination:</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receivable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(6,979)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Accrued expenses and other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(15,566)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(697)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(1,056)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Income tax payable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17,485 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29,635 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provided by operating activities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86,829 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89,842 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investing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Acquisition, net of cash acquired</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(48,468)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Purchase of property and equipment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(12,165)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(16,908)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sale of available-for-sale debt security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sale of assets held for sale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37,051 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investing activities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(12,165)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(26,818)</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financing activities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Repayment of capital lease obligations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Payment of deferred consideration from business acquisition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(12,514)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 repurchase costs (excise tax)</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(1,264)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 of common stock</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(89,010)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(20,419)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Shares surrendered for settlement of minimum statutory tax withholding </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(9,459)</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(11,172)</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issuance of stock under employee stock plans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44,657 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provided by financing activities</w:t>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(110,465)</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11,800 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Effect of exchange rate changes on cash and cash equivalents </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(decrease) increase in cash and cash equivalents</w:t>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(35,873)</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74,971 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 at beginning of the period</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203,100 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142,064 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and cash equivalents, at end of the period</w:t>
            </w:r>
          </w:p>
        </w:tc>
        <w:tc>
          <w:tcPr>
            <w:tcW w:w="11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$167,227</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$217,035</w:t>
            </w:r>
          </w:p>
        </w:tc>
      </w:tr>
    </w:tbl>
    <w:p>
      <w:pPr>
        <w:pStyle w:val="TextBody"/>
        <w:bidi w:val="0"/>
        <w:spacing w:lineRule="auto" w:line="288" w:before="360" w:after="283"/>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(loss) to Adjusted EBITDA for each of the periods indicated (unaudited):</w:t>
      </w:r>
    </w:p>
    <w:tbl>
      <w:tblPr>
        <w:tblW w:w="10205" w:type="dxa"/>
        <w:jc w:val="left"/>
        <w:tblInd w:w="0" w:type="dxa"/>
        <w:tblLayout w:type="fixed"/>
        <w:tblCellMar>
          <w:top w:w="28" w:type="dxa"/>
          <w:left w:w="28" w:type="dxa"/>
          <w:bottom w:w="28" w:type="dxa"/>
          <w:right w:w="28" w:type="dxa"/>
        </w:tblCellMar>
      </w:tblPr>
      <w:tblGrid>
        <w:gridCol w:w="1307"/>
        <w:gridCol w:w="1094"/>
        <w:gridCol w:w="1098"/>
        <w:gridCol w:w="109"/>
        <w:gridCol w:w="109"/>
        <w:gridCol w:w="109"/>
        <w:gridCol w:w="230"/>
        <w:gridCol w:w="842"/>
        <w:gridCol w:w="276"/>
        <w:gridCol w:w="110"/>
        <w:gridCol w:w="110"/>
        <w:gridCol w:w="110"/>
        <w:gridCol w:w="230"/>
        <w:gridCol w:w="842"/>
        <w:gridCol w:w="276"/>
        <w:gridCol w:w="109"/>
        <w:gridCol w:w="109"/>
        <w:gridCol w:w="109"/>
        <w:gridCol w:w="226"/>
        <w:gridCol w:w="826"/>
        <w:gridCol w:w="271"/>
        <w:gridCol w:w="109"/>
        <w:gridCol w:w="109"/>
        <w:gridCol w:w="109"/>
        <w:gridCol w:w="226"/>
        <w:gridCol w:w="826"/>
        <w:gridCol w:w="324"/>
      </w:tblGrid>
      <w:tr>
        <w:trPr/>
        <w:tc>
          <w:tcPr>
            <w:tcW w:w="1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9" w:type="dxa"/>
            <w:gridSpan w:val="21"/>
            <w:tcBorders/>
            <w:tcMar>
              <w:top w:w="0" w:type="dxa"/>
              <w:left w:w="0" w:type="dxa"/>
              <w:bottom w:w="0" w:type="dxa"/>
              <w:right w:w="0" w:type="dxa"/>
            </w:tcMar>
            <w:vAlign w:val="center"/>
          </w:tcPr>
          <w:p>
            <w:pPr>
              <w:pStyle w:val="TableContents"/>
              <w:bidi w:val="0"/>
              <w:spacing w:lineRule="auto" w:line="276" w:before="0" w:after="0"/>
              <w:ind w:left="0" w:right="0" w:hanging="200"/>
              <w:jc w:val="center"/>
              <w:rPr/>
            </w:pPr>
            <w:r>
              <w:rPr>
                <w:rFonts w:ascii="Work Sans;sans-serif" w:hAnsi="Work Sans;sans-serif"/>
                <w:b w:val="false"/>
                <w:i/>
                <w:color w:val="000000"/>
                <w:sz w:val="18"/>
              </w:rPr>
              <w:t>(in thousands, except percentages)</w:t>
            </w:r>
            <w:r>
              <w:rPr>
                <w:color w:val="000000"/>
              </w:rPr>
              <w:t xml:space="preserve"> </w:t>
            </w:r>
          </w:p>
        </w:tc>
      </w:tr>
      <w:tr>
        <w:trPr/>
        <w:tc>
          <w:tcPr>
            <w:tcW w:w="3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Reconciliation of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347 </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(1,627)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(2,069)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(3,552)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6,965 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9,678 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5,209 </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11,274 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22,411 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21,745 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(652)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(999)</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23,596 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30,638 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44,910 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60,394 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Transaction-related expenses</w:t>
            </w:r>
            <w:r>
              <w:rPr>
                <w:rFonts w:ascii="Work Sans;sans-serif" w:hAnsi="Work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1,543 </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766 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45,898 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38,965 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82,360 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75,977 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rPr/>
        <w:tc>
          <w:tcPr>
            <w:tcW w:w="3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20 </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60" w:after="283"/>
        <w:ind w:left="0" w:right="0" w:hanging="360"/>
        <w:jc w:val="left"/>
        <w:rPr>
          <w:rFonts w:ascii="Work Sans;sans-serif" w:hAnsi="Work Sans;sans-serif"/>
          <w:b w:val="false"/>
          <w:color w:val="000000"/>
          <w:sz w:val="18"/>
        </w:rPr>
      </w:pPr>
      <w:r>
        <w:rPr>
          <w:rFonts w:ascii="Work Sans;sans-serif" w:hAnsi="Work Sans;sans-serif"/>
          <w:b w:val="false"/>
          <w:color w:val="000000"/>
          <w:sz w:val="18"/>
        </w:rPr>
        <w:t xml:space="preserve">(1)     For 2025, transaction-related expenses are primarily related to our acquisition of Formation Nation. For 2026, transaction-related expenses are related to the evaluation and pursuit of strategic transactions. </w:t>
      </w:r>
    </w:p>
    <w:p>
      <w:pPr>
        <w:pStyle w:val="TextBody"/>
        <w:bidi w:val="0"/>
        <w:spacing w:lineRule="auto" w:line="288" w:before="12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(2)    For 2026 and 2025, restructuring costs are related to the reduction of our global headcount.</w:t>
      </w:r>
    </w:p>
    <w:p>
      <w:pPr>
        <w:pStyle w:val="TextBody"/>
        <w:bidi w:val="0"/>
        <w:spacing w:lineRule="auto" w:line="288" w:before="360" w:after="283"/>
        <w:jc w:val="left"/>
        <w:rPr>
          <w:rFonts w:ascii="Work Sans;sans-serif" w:hAnsi="Work Sans;sans-serif"/>
          <w:b/>
          <w:i/>
          <w:color w:val="000000"/>
          <w:sz w:val="18"/>
        </w:rPr>
      </w:pPr>
      <w:r>
        <w:rPr>
          <w:rFonts w:ascii="Work Sans;sans-serif" w:hAnsi="Work Sans;sans-serif"/>
          <w:b/>
          <w:i/>
          <w:color w:val="000000"/>
          <w:sz w:val="18"/>
        </w:rPr>
        <w:t>Non-GAAP Net Income, Non-GAAP Net Income (Loss) Margin and diluted Non-GAAP Net Income Per Share</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(loss) to Non-GAAP net income for each of the periods indicated (unaudited):</w:t>
      </w:r>
    </w:p>
    <w:tbl>
      <w:tblPr>
        <w:tblW w:w="10205" w:type="dxa"/>
        <w:jc w:val="left"/>
        <w:tblInd w:w="0" w:type="dxa"/>
        <w:tblLayout w:type="fixed"/>
        <w:tblCellMar>
          <w:top w:w="28" w:type="dxa"/>
          <w:left w:w="28" w:type="dxa"/>
          <w:bottom w:w="28" w:type="dxa"/>
          <w:right w:w="28" w:type="dxa"/>
        </w:tblCellMar>
      </w:tblPr>
      <w:tblGrid>
        <w:gridCol w:w="1428"/>
        <w:gridCol w:w="1256"/>
        <w:gridCol w:w="1260"/>
        <w:gridCol w:w="109"/>
        <w:gridCol w:w="109"/>
        <w:gridCol w:w="109"/>
        <w:gridCol w:w="248"/>
        <w:gridCol w:w="748"/>
        <w:gridCol w:w="287"/>
        <w:gridCol w:w="115"/>
        <w:gridCol w:w="115"/>
        <w:gridCol w:w="115"/>
        <w:gridCol w:w="265"/>
        <w:gridCol w:w="695"/>
        <w:gridCol w:w="287"/>
        <w:gridCol w:w="109"/>
        <w:gridCol w:w="109"/>
        <w:gridCol w:w="109"/>
        <w:gridCol w:w="234"/>
        <w:gridCol w:w="718"/>
        <w:gridCol w:w="274"/>
        <w:gridCol w:w="110"/>
        <w:gridCol w:w="110"/>
        <w:gridCol w:w="110"/>
        <w:gridCol w:w="234"/>
        <w:gridCol w:w="718"/>
        <w:gridCol w:w="224"/>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to 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5,183 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6,287 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4,861 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1,610 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2,381 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3,220 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4,028 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23,596 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30,638 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44,910 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60,394 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Transaction-related expenses</w:t>
            </w:r>
            <w:r>
              <w:rPr>
                <w:rFonts w:ascii="Work Sans;sans-serif" w:hAnsi="Work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1,543 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Income tax effects</w:t>
            </w:r>
            <w:r>
              <w:rPr>
                <w:rFonts w:ascii="Work Sans;sans-serif" w:hAnsi="Work Sans;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(3,323)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(4,512)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(6,527)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(5,104)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27,444 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28,329 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49,515 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52,151 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w:t>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0.04 </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0.28 </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0.29 </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0.15 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0.28 </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0.29 </w:t>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170,189 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175,568 </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178,837 </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171,641 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177,627 </w:t>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182,694 </w:t>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170,189 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175,568 </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178,837 </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171,641 </w:t>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184,482 </w:t>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177,627 </w:t>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182,694 </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(1)For 2025, transaction-related expenses are primarily related to our acquisition of Formation Nation. For 2026, transaction-related expenses are related to the evaluation and pursuit of strategic transactions.</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(2)For 2026 and 2025, restructuring costs are related to the reduction of our global headcount.</w:t>
      </w:r>
    </w:p>
    <w:p>
      <w:pPr>
        <w:pStyle w:val="TextBody"/>
        <w:bidi w:val="0"/>
        <w:spacing w:lineRule="auto" w:line="288" w:before="60" w:after="283"/>
        <w:ind w:left="0" w:right="0" w:hanging="360"/>
        <w:jc w:val="left"/>
        <w:rPr>
          <w:rFonts w:ascii="Work Sans;sans-serif" w:hAnsi="Work Sans;sans-serif"/>
          <w:b w:val="false"/>
          <w:color w:val="000000"/>
          <w:sz w:val="18"/>
        </w:rPr>
      </w:pPr>
      <w:r>
        <w:rPr>
          <w:rFonts w:ascii="Work Sans;sans-serif" w:hAnsi="Work Sans;sans-serif"/>
          <w:b w:val="false"/>
          <w:color w:val="000000"/>
          <w:sz w:val="18"/>
        </w:rPr>
        <w:t xml:space="preserve">(3)The estimated income tax effect of the non-GAAP pre-tax adjustments is determined by applying the statutory rate of the originating jurisdiction, if applicable. </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lineRule="auto" w:line="288" w:before="4700" w:after="283"/>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Non-GAAP net income per share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95"/>
        <w:gridCol w:w="981"/>
        <w:gridCol w:w="983"/>
        <w:gridCol w:w="109"/>
        <w:gridCol w:w="109"/>
        <w:gridCol w:w="109"/>
        <w:gridCol w:w="234"/>
        <w:gridCol w:w="859"/>
        <w:gridCol w:w="113"/>
        <w:gridCol w:w="113"/>
        <w:gridCol w:w="113"/>
        <w:gridCol w:w="113"/>
        <w:gridCol w:w="234"/>
        <w:gridCol w:w="859"/>
        <w:gridCol w:w="113"/>
        <w:gridCol w:w="109"/>
        <w:gridCol w:w="109"/>
        <w:gridCol w:w="109"/>
        <w:gridCol w:w="229"/>
        <w:gridCol w:w="839"/>
        <w:gridCol w:w="110"/>
        <w:gridCol w:w="110"/>
        <w:gridCol w:w="110"/>
        <w:gridCol w:w="110"/>
        <w:gridCol w:w="229"/>
        <w:gridCol w:w="839"/>
        <w:gridCol w:w="165"/>
      </w:tblGrid>
      <w:tr>
        <w:trPr/>
        <w:tc>
          <w:tcPr>
            <w:tcW w:w="209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Non-GAAP net income and 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27,444 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49,515 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52,151 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Reconciliation of denominator for net income per share to 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170,189 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180,880 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175,568 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178,837 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59 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RSUs and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3,782 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171,641 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184,482 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177,627 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182,694 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0.28 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0.29 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0.16 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0.15 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0.28 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0.29 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Work Sans;sans-serif" w:hAnsi="Work Sans;sans-serif"/>
          <w:b/>
          <w:i/>
          <w:color w:val="000000"/>
          <w:sz w:val="18"/>
        </w:rPr>
      </w:pPr>
      <w:r>
        <w:rPr>
          <w:rFonts w:ascii="Work Sans;sans-serif" w:hAnsi="Work Sans;sans-serif"/>
          <w:b/>
          <w:i/>
          <w:color w:val="000000"/>
          <w:sz w:val="18"/>
        </w:rPr>
        <w:t>Free Cash Flow</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to free cash flow (unaudited):</w:t>
      </w:r>
    </w:p>
    <w:tbl>
      <w:tblPr>
        <w:tblW w:w="10205" w:type="dxa"/>
        <w:jc w:val="left"/>
        <w:tblInd w:w="0" w:type="dxa"/>
        <w:tblLayout w:type="fixed"/>
        <w:tblCellMar>
          <w:top w:w="28" w:type="dxa"/>
          <w:left w:w="28" w:type="dxa"/>
          <w:bottom w:w="28" w:type="dxa"/>
          <w:right w:w="28" w:type="dxa"/>
        </w:tblCellMar>
      </w:tblPr>
      <w:tblGrid>
        <w:gridCol w:w="1438"/>
        <w:gridCol w:w="1263"/>
        <w:gridCol w:w="1268"/>
        <w:gridCol w:w="109"/>
        <w:gridCol w:w="109"/>
        <w:gridCol w:w="109"/>
        <w:gridCol w:w="240"/>
        <w:gridCol w:w="879"/>
        <w:gridCol w:w="115"/>
        <w:gridCol w:w="115"/>
        <w:gridCol w:w="115"/>
        <w:gridCol w:w="115"/>
        <w:gridCol w:w="240"/>
        <w:gridCol w:w="879"/>
        <w:gridCol w:w="115"/>
        <w:gridCol w:w="109"/>
        <w:gridCol w:w="109"/>
        <w:gridCol w:w="109"/>
        <w:gridCol w:w="231"/>
        <w:gridCol w:w="847"/>
        <w:gridCol w:w="111"/>
        <w:gridCol w:w="111"/>
        <w:gridCol w:w="111"/>
        <w:gridCol w:w="111"/>
        <w:gridCol w:w="231"/>
        <w:gridCol w:w="847"/>
        <w:gridCol w:w="169"/>
      </w:tblGrid>
      <w:tr>
        <w:trPr/>
        <w:tc>
          <w:tcPr>
            <w:tcW w:w="143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9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Reconciliation of Net Cash Provided by Operating Activities to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39,139 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86,829 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89,842 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(16,908)</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33,690 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31,609 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74,664 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72,934 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4862</Words>
  <Characters>26912</Characters>
  <CharactersWithSpaces>31206</CharactersWithSpaces>
  <Paragraphs>1071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