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8"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___________________________________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0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233"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119"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OR</w:t>
      </w:r>
    </w:p>
    <w:p>
      <w:pPr>
        <w:spacing w:after="0" w:line="224" w:lineRule="exact"/>
        <w:rPr>
          <w:sz w:val="24"/>
          <w:szCs w:val="24"/>
          <w:color w:val="auto"/>
        </w:rPr>
      </w:pPr>
    </w:p>
    <w:p>
      <w:pPr>
        <w:ind w:right="2700" w:firstLine="111"/>
        <w:spacing w:after="0" w:line="437" w:lineRule="auto"/>
        <w:tabs>
          <w:tab w:leader="none" w:pos="43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8"/>
              </w:rPr>
              <w:t>Commission file number 001-35618</w:t>
            </w:r>
          </w:p>
        </w:tc>
        <w:tc>
          <w:tcPr>
            <w:tcW w:w="13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68"/>
        </w:trPr>
        <w:tc>
          <w:tcPr>
            <w:tcW w:w="3780" w:type="dxa"/>
            <w:vAlign w:val="bottom"/>
          </w:tcPr>
          <w:p>
            <w:pPr>
              <w:spacing w:after="0"/>
              <w:rPr>
                <w:sz w:val="24"/>
                <w:szCs w:val="24"/>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7"/>
              </w:rPr>
              <w:t>LegalZoom.com, Inc.</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9"/>
        </w:trPr>
        <w:tc>
          <w:tcPr>
            <w:tcW w:w="8580" w:type="dxa"/>
            <w:vAlign w:val="bottom"/>
            <w:gridSpan w:val="3"/>
          </w:tcPr>
          <w:p>
            <w:pPr>
              <w:jc w:val="center"/>
              <w:ind w:left="2581"/>
              <w:spacing w:after="0"/>
              <w:rPr>
                <w:sz w:val="20"/>
                <w:szCs w:val="20"/>
                <w:color w:val="auto"/>
              </w:rPr>
            </w:pPr>
            <w:r>
              <w:rPr>
                <w:rFonts w:ascii="Arial" w:cs="Arial" w:eastAsia="Arial" w:hAnsi="Arial"/>
                <w:sz w:val="16"/>
                <w:szCs w:val="16"/>
                <w:b w:val="1"/>
                <w:bCs w:val="1"/>
                <w:color w:val="auto"/>
                <w:w w:val="98"/>
              </w:rPr>
              <w:t>(Exact name of registrant as specified in its charter)</w:t>
            </w:r>
          </w:p>
        </w:tc>
        <w:tc>
          <w:tcPr>
            <w:tcW w:w="2660" w:type="dxa"/>
            <w:vAlign w:val="bottom"/>
          </w:tcPr>
          <w:p>
            <w:pPr>
              <w:spacing w:after="0"/>
              <w:rPr>
                <w:sz w:val="24"/>
                <w:szCs w:val="24"/>
                <w:color w:val="auto"/>
              </w:rPr>
            </w:pPr>
          </w:p>
        </w:tc>
      </w:tr>
      <w:tr>
        <w:trPr>
          <w:trHeight w:val="281"/>
        </w:trPr>
        <w:tc>
          <w:tcPr>
            <w:tcW w:w="3780" w:type="dxa"/>
            <w:vAlign w:val="bottom"/>
          </w:tcPr>
          <w:p>
            <w:pPr>
              <w:spacing w:after="0"/>
              <w:rPr>
                <w:sz w:val="24"/>
                <w:szCs w:val="24"/>
                <w:color w:val="auto"/>
              </w:rPr>
            </w:pPr>
          </w:p>
        </w:tc>
        <w:tc>
          <w:tcPr>
            <w:tcW w:w="3480" w:type="dxa"/>
            <w:vAlign w:val="bottom"/>
          </w:tcPr>
          <w:p>
            <w:pPr>
              <w:jc w:val="right"/>
              <w:ind w:right="21"/>
              <w:spacing w:after="0"/>
              <w:rPr>
                <w:sz w:val="20"/>
                <w:szCs w:val="20"/>
                <w:color w:val="auto"/>
              </w:rPr>
            </w:pPr>
            <w:r>
              <w:rPr>
                <w:rFonts w:ascii="Arial" w:cs="Arial" w:eastAsia="Arial" w:hAnsi="Arial"/>
                <w:sz w:val="16"/>
                <w:szCs w:val="16"/>
                <w:color w:val="auto"/>
              </w:rPr>
              <w:t>___________________________________</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521"/>
        </w:trPr>
        <w:tc>
          <w:tcPr>
            <w:tcW w:w="3780" w:type="dxa"/>
            <w:vAlign w:val="bottom"/>
          </w:tcPr>
          <w:p>
            <w:pPr>
              <w:ind w:left="2460"/>
              <w:spacing w:after="0"/>
              <w:rPr>
                <w:sz w:val="20"/>
                <w:szCs w:val="20"/>
                <w:color w:val="auto"/>
              </w:rPr>
            </w:pPr>
            <w:r>
              <w:rPr>
                <w:rFonts w:ascii="Arial" w:cs="Arial" w:eastAsia="Arial" w:hAnsi="Arial"/>
                <w:sz w:val="16"/>
                <w:szCs w:val="16"/>
                <w:b w:val="1"/>
                <w:bCs w:val="1"/>
                <w:color w:val="auto"/>
              </w:rPr>
              <w:t>Delaware</w:t>
            </w:r>
          </w:p>
        </w:tc>
        <w:tc>
          <w:tcPr>
            <w:tcW w:w="3480" w:type="dxa"/>
            <w:vAlign w:val="bottom"/>
          </w:tcPr>
          <w:p>
            <w:pPr>
              <w:spacing w:after="0"/>
              <w:rPr>
                <w:sz w:val="24"/>
                <w:szCs w:val="24"/>
                <w:color w:val="auto"/>
              </w:rPr>
            </w:pPr>
          </w:p>
        </w:tc>
        <w:tc>
          <w:tcPr>
            <w:tcW w:w="3980" w:type="dxa"/>
            <w:vAlign w:val="bottom"/>
            <w:gridSpan w:val="2"/>
          </w:tcPr>
          <w:p>
            <w:pPr>
              <w:jc w:val="right"/>
              <w:ind w:right="2301"/>
              <w:spacing w:after="0"/>
              <w:rPr>
                <w:sz w:val="20"/>
                <w:szCs w:val="20"/>
                <w:color w:val="auto"/>
              </w:rPr>
            </w:pPr>
            <w:r>
              <w:rPr>
                <w:rFonts w:ascii="Arial" w:cs="Arial" w:eastAsia="Arial" w:hAnsi="Arial"/>
                <w:sz w:val="16"/>
                <w:szCs w:val="16"/>
                <w:b w:val="1"/>
                <w:bCs w:val="1"/>
                <w:color w:val="auto"/>
              </w:rPr>
              <w:t>95-4752856</w:t>
            </w:r>
          </w:p>
        </w:tc>
      </w:tr>
      <w:tr>
        <w:trPr>
          <w:trHeight w:val="236"/>
        </w:trPr>
        <w:tc>
          <w:tcPr>
            <w:tcW w:w="3780" w:type="dxa"/>
            <w:vAlign w:val="bottom"/>
          </w:tcPr>
          <w:p>
            <w:pPr>
              <w:ind w:left="20"/>
              <w:spacing w:after="0"/>
              <w:rPr>
                <w:sz w:val="20"/>
                <w:szCs w:val="20"/>
                <w:color w:val="auto"/>
              </w:rPr>
            </w:pPr>
            <w:r>
              <w:rPr>
                <w:rFonts w:ascii="Arial" w:cs="Arial" w:eastAsia="Arial" w:hAnsi="Arial"/>
                <w:sz w:val="14"/>
                <w:szCs w:val="14"/>
                <w:color w:val="auto"/>
              </w:rPr>
              <w:t>(State or other jurisdiction of incorporation or organization)</w:t>
            </w:r>
          </w:p>
        </w:tc>
        <w:tc>
          <w:tcPr>
            <w:tcW w:w="3480" w:type="dxa"/>
            <w:vAlign w:val="bottom"/>
          </w:tcPr>
          <w:p>
            <w:pPr>
              <w:spacing w:after="0"/>
              <w:rPr>
                <w:sz w:val="20"/>
                <w:szCs w:val="20"/>
                <w:color w:val="auto"/>
              </w:rPr>
            </w:pPr>
          </w:p>
        </w:tc>
        <w:tc>
          <w:tcPr>
            <w:tcW w:w="3980" w:type="dxa"/>
            <w:vAlign w:val="bottom"/>
            <w:gridSpan w:val="2"/>
          </w:tcPr>
          <w:p>
            <w:pPr>
              <w:jc w:val="center"/>
              <w:ind w:right="1541"/>
              <w:spacing w:after="0"/>
              <w:rPr>
                <w:sz w:val="20"/>
                <w:szCs w:val="20"/>
                <w:color w:val="auto"/>
              </w:rPr>
            </w:pPr>
            <w:r>
              <w:rPr>
                <w:rFonts w:ascii="Arial" w:cs="Arial" w:eastAsia="Arial" w:hAnsi="Arial"/>
                <w:sz w:val="14"/>
                <w:szCs w:val="14"/>
                <w:color w:val="auto"/>
              </w:rPr>
              <w:t>(I.R.S. Employer Identification No.)</w:t>
            </w:r>
          </w:p>
        </w:tc>
      </w:tr>
      <w:tr>
        <w:trPr>
          <w:trHeight w:val="298"/>
        </w:trPr>
        <w:tc>
          <w:tcPr>
            <w:tcW w:w="3780" w:type="dxa"/>
            <w:vAlign w:val="bottom"/>
          </w:tcPr>
          <w:p>
            <w:pPr>
              <w:spacing w:after="0"/>
              <w:rPr>
                <w:sz w:val="24"/>
                <w:szCs w:val="24"/>
                <w:color w:val="auto"/>
              </w:rPr>
            </w:pPr>
          </w:p>
        </w:tc>
        <w:tc>
          <w:tcPr>
            <w:tcW w:w="3480" w:type="dxa"/>
            <w:vAlign w:val="bottom"/>
          </w:tcPr>
          <w:p>
            <w:pPr>
              <w:jc w:val="center"/>
              <w:ind w:left="121"/>
              <w:spacing w:after="0"/>
              <w:rPr>
                <w:sz w:val="20"/>
                <w:szCs w:val="20"/>
                <w:color w:val="auto"/>
              </w:rPr>
            </w:pPr>
            <w:r>
              <w:rPr>
                <w:rFonts w:ascii="Arial" w:cs="Arial" w:eastAsia="Arial" w:hAnsi="Arial"/>
                <w:sz w:val="16"/>
                <w:szCs w:val="16"/>
                <w:b w:val="1"/>
                <w:bCs w:val="1"/>
                <w:color w:val="auto"/>
                <w:w w:val="98"/>
              </w:rPr>
              <w:t>101 North Brand Boulevard,</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3"/>
        </w:trPr>
        <w:tc>
          <w:tcPr>
            <w:tcW w:w="3780" w:type="dxa"/>
            <w:vAlign w:val="bottom"/>
          </w:tcPr>
          <w:p>
            <w:pPr>
              <w:spacing w:after="0"/>
              <w:rPr>
                <w:sz w:val="24"/>
                <w:szCs w:val="24"/>
                <w:color w:val="auto"/>
              </w:rPr>
            </w:pPr>
          </w:p>
        </w:tc>
        <w:tc>
          <w:tcPr>
            <w:tcW w:w="3480" w:type="dxa"/>
            <w:vAlign w:val="bottom"/>
          </w:tcPr>
          <w:p>
            <w:pPr>
              <w:jc w:val="center"/>
              <w:ind w:left="141"/>
              <w:spacing w:after="0"/>
              <w:rPr>
                <w:sz w:val="20"/>
                <w:szCs w:val="20"/>
                <w:color w:val="auto"/>
              </w:rPr>
            </w:pPr>
            <w:r>
              <w:rPr>
                <w:rFonts w:ascii="Arial" w:cs="Arial" w:eastAsia="Arial" w:hAnsi="Arial"/>
                <w:sz w:val="16"/>
                <w:szCs w:val="16"/>
                <w:b w:val="1"/>
                <w:bCs w:val="1"/>
                <w:color w:val="auto"/>
                <w:w w:val="96"/>
              </w:rPr>
              <w:t>11</w:t>
            </w:r>
            <w:r>
              <w:rPr>
                <w:rFonts w:ascii="Arial" w:cs="Arial" w:eastAsia="Arial" w:hAnsi="Arial"/>
                <w:sz w:val="20"/>
                <w:szCs w:val="20"/>
                <w:b w:val="1"/>
                <w:bCs w:val="1"/>
                <w:color w:val="auto"/>
                <w:w w:val="96"/>
                <w:vertAlign w:val="superscript"/>
              </w:rPr>
              <w:t>th</w:t>
            </w:r>
            <w:r>
              <w:rPr>
                <w:rFonts w:ascii="Arial" w:cs="Arial" w:eastAsia="Arial" w:hAnsi="Arial"/>
                <w:sz w:val="16"/>
                <w:szCs w:val="16"/>
                <w:b w:val="1"/>
                <w:bCs w:val="1"/>
                <w:color w:val="auto"/>
                <w:w w:val="96"/>
              </w:rPr>
              <w:t xml:space="preserve"> Floor, Glendale, California 91203</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05"/>
        </w:trPr>
        <w:tc>
          <w:tcPr>
            <w:tcW w:w="8580" w:type="dxa"/>
            <w:vAlign w:val="bottom"/>
            <w:gridSpan w:val="3"/>
          </w:tcPr>
          <w:p>
            <w:pPr>
              <w:jc w:val="center"/>
              <w:ind w:left="2601"/>
              <w:spacing w:after="0"/>
              <w:rPr>
                <w:sz w:val="20"/>
                <w:szCs w:val="20"/>
                <w:color w:val="auto"/>
              </w:rPr>
            </w:pPr>
            <w:r>
              <w:rPr>
                <w:rFonts w:ascii="Arial" w:cs="Arial" w:eastAsia="Arial" w:hAnsi="Arial"/>
                <w:sz w:val="18"/>
                <w:szCs w:val="18"/>
                <w:color w:val="auto"/>
                <w:w w:val="97"/>
              </w:rPr>
              <w:t>(Address of Principal Executive Offices, including Zip code)</w:t>
            </w:r>
          </w:p>
        </w:tc>
        <w:tc>
          <w:tcPr>
            <w:tcW w:w="2660" w:type="dxa"/>
            <w:vAlign w:val="bottom"/>
          </w:tcPr>
          <w:p>
            <w:pPr>
              <w:spacing w:after="0"/>
              <w:rPr>
                <w:sz w:val="24"/>
                <w:szCs w:val="24"/>
                <w:color w:val="auto"/>
              </w:rPr>
            </w:pPr>
          </w:p>
        </w:tc>
      </w:tr>
      <w:tr>
        <w:trPr>
          <w:trHeight w:val="489"/>
        </w:trPr>
        <w:tc>
          <w:tcPr>
            <w:tcW w:w="3780" w:type="dxa"/>
            <w:vAlign w:val="bottom"/>
          </w:tcPr>
          <w:p>
            <w:pPr>
              <w:spacing w:after="0"/>
              <w:rPr>
                <w:sz w:val="24"/>
                <w:szCs w:val="24"/>
                <w:color w:val="auto"/>
              </w:rPr>
            </w:pPr>
          </w:p>
        </w:tc>
        <w:tc>
          <w:tcPr>
            <w:tcW w:w="3480" w:type="dxa"/>
            <w:vAlign w:val="bottom"/>
          </w:tcPr>
          <w:p>
            <w:pPr>
              <w:jc w:val="right"/>
              <w:ind w:right="1021"/>
              <w:spacing w:after="0"/>
              <w:rPr>
                <w:sz w:val="20"/>
                <w:szCs w:val="20"/>
                <w:color w:val="auto"/>
              </w:rPr>
            </w:pPr>
            <w:r>
              <w:rPr>
                <w:rFonts w:ascii="Arial" w:cs="Arial" w:eastAsia="Arial" w:hAnsi="Arial"/>
                <w:sz w:val="16"/>
                <w:szCs w:val="16"/>
                <w:b w:val="1"/>
                <w:bCs w:val="1"/>
                <w:color w:val="auto"/>
              </w:rPr>
              <w:t>(323) 962-8600</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1"/>
        </w:trPr>
        <w:tc>
          <w:tcPr>
            <w:tcW w:w="3780" w:type="dxa"/>
            <w:vAlign w:val="bottom"/>
          </w:tcPr>
          <w:p>
            <w:pPr>
              <w:spacing w:after="0"/>
              <w:rPr>
                <w:sz w:val="24"/>
                <w:szCs w:val="24"/>
                <w:color w:val="auto"/>
              </w:rPr>
            </w:pPr>
          </w:p>
        </w:tc>
        <w:tc>
          <w:tcPr>
            <w:tcW w:w="4800" w:type="dxa"/>
            <w:vAlign w:val="bottom"/>
            <w:gridSpan w:val="2"/>
          </w:tcPr>
          <w:p>
            <w:pPr>
              <w:jc w:val="center"/>
              <w:ind w:right="1043"/>
              <w:spacing w:after="0"/>
              <w:rPr>
                <w:sz w:val="20"/>
                <w:szCs w:val="20"/>
                <w:color w:val="auto"/>
              </w:rPr>
            </w:pPr>
            <w:r>
              <w:rPr>
                <w:rFonts w:ascii="Arial" w:cs="Arial" w:eastAsia="Arial" w:hAnsi="Arial"/>
                <w:sz w:val="16"/>
                <w:szCs w:val="16"/>
                <w:color w:val="auto"/>
                <w:w w:val="98"/>
              </w:rPr>
              <w:t>Registrant's telephone number, including area code</w:t>
            </w:r>
          </w:p>
        </w:tc>
        <w:tc>
          <w:tcPr>
            <w:tcW w:w="2660" w:type="dxa"/>
            <w:vAlign w:val="bottom"/>
          </w:tcPr>
          <w:p>
            <w:pPr>
              <w:spacing w:after="0"/>
              <w:rPr>
                <w:sz w:val="24"/>
                <w:szCs w:val="24"/>
                <w:color w:val="auto"/>
              </w:rPr>
            </w:pPr>
          </w:p>
        </w:tc>
      </w:tr>
      <w:tr>
        <w:trPr>
          <w:trHeight w:val="303"/>
        </w:trPr>
        <w:tc>
          <w:tcPr>
            <w:tcW w:w="72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09"/>
        </w:trPr>
        <w:tc>
          <w:tcPr>
            <w:tcW w:w="378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Title of each class</w:t>
            </w:r>
          </w:p>
        </w:tc>
        <w:tc>
          <w:tcPr>
            <w:tcW w:w="348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w w:val="97"/>
              </w:rPr>
              <w:t>Trading Symbol(s)</w:t>
            </w:r>
          </w:p>
        </w:tc>
        <w:tc>
          <w:tcPr>
            <w:tcW w:w="3980" w:type="dxa"/>
            <w:vAlign w:val="bottom"/>
            <w:tcBorders>
              <w:bottom w:val="single" w:sz="8" w:color="auto"/>
            </w:tcBorders>
            <w:gridSpan w:val="2"/>
          </w:tcPr>
          <w:p>
            <w:pPr>
              <w:jc w:val="center"/>
              <w:ind w:right="321"/>
              <w:spacing w:after="0"/>
              <w:rPr>
                <w:sz w:val="20"/>
                <w:szCs w:val="20"/>
                <w:color w:val="auto"/>
              </w:rPr>
            </w:pPr>
            <w:r>
              <w:rPr>
                <w:rFonts w:ascii="Arial" w:cs="Arial" w:eastAsia="Arial" w:hAnsi="Arial"/>
                <w:sz w:val="16"/>
                <w:szCs w:val="16"/>
                <w:color w:val="auto"/>
                <w:w w:val="99"/>
              </w:rPr>
              <w:t>Name of each exchange on which registered</w:t>
            </w:r>
          </w:p>
        </w:tc>
      </w:tr>
      <w:tr>
        <w:trPr>
          <w:trHeight w:val="202"/>
        </w:trPr>
        <w:tc>
          <w:tcPr>
            <w:tcW w:w="3780" w:type="dxa"/>
            <w:vAlign w:val="bottom"/>
          </w:tcPr>
          <w:p>
            <w:pPr>
              <w:ind w:left="660"/>
              <w:spacing w:after="0"/>
              <w:rPr>
                <w:sz w:val="20"/>
                <w:szCs w:val="20"/>
                <w:color w:val="auto"/>
              </w:rPr>
            </w:pPr>
            <w:r>
              <w:rPr>
                <w:rFonts w:ascii="Arial" w:cs="Arial" w:eastAsia="Arial" w:hAnsi="Arial"/>
                <w:sz w:val="16"/>
                <w:szCs w:val="16"/>
                <w:color w:val="auto"/>
              </w:rPr>
              <w:t>Common Stock, par value $0.001 per share</w:t>
            </w:r>
          </w:p>
        </w:tc>
        <w:tc>
          <w:tcPr>
            <w:tcW w:w="3480" w:type="dxa"/>
            <w:vAlign w:val="bottom"/>
          </w:tcPr>
          <w:p>
            <w:pPr>
              <w:jc w:val="center"/>
              <w:ind w:left="101"/>
              <w:spacing w:after="0"/>
              <w:rPr>
                <w:sz w:val="20"/>
                <w:szCs w:val="20"/>
                <w:color w:val="auto"/>
              </w:rPr>
            </w:pPr>
            <w:r>
              <w:rPr>
                <w:rFonts w:ascii="Arial" w:cs="Arial" w:eastAsia="Arial" w:hAnsi="Arial"/>
                <w:sz w:val="16"/>
                <w:szCs w:val="16"/>
                <w:color w:val="auto"/>
                <w:w w:val="96"/>
              </w:rPr>
              <w:t>LZ</w:t>
            </w:r>
          </w:p>
        </w:tc>
        <w:tc>
          <w:tcPr>
            <w:tcW w:w="3980" w:type="dxa"/>
            <w:vAlign w:val="bottom"/>
            <w:gridSpan w:val="2"/>
          </w:tcPr>
          <w:p>
            <w:pPr>
              <w:jc w:val="center"/>
              <w:ind w:right="321"/>
              <w:spacing w:after="0"/>
              <w:rPr>
                <w:sz w:val="20"/>
                <w:szCs w:val="20"/>
                <w:color w:val="auto"/>
              </w:rPr>
            </w:pPr>
            <w:r>
              <w:rPr>
                <w:rFonts w:ascii="Arial" w:cs="Arial" w:eastAsia="Arial" w:hAnsi="Arial"/>
                <w:sz w:val="16"/>
                <w:szCs w:val="16"/>
                <w:color w:val="auto"/>
                <w:w w:val="99"/>
              </w:rPr>
              <w:t>The Nasdaq Global Select Market</w:t>
            </w:r>
          </w:p>
        </w:tc>
      </w:tr>
      <w:tr>
        <w:trPr>
          <w:trHeight w:val="382"/>
        </w:trPr>
        <w:tc>
          <w:tcPr>
            <w:tcW w:w="72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38"/>
        </w:trPr>
        <w:tc>
          <w:tcPr>
            <w:tcW w:w="8580" w:type="dxa"/>
            <w:vAlign w:val="bottom"/>
            <w:gridSpan w:val="3"/>
          </w:tcPr>
          <w:p>
            <w:pPr>
              <w:spacing w:after="0"/>
              <w:rPr>
                <w:sz w:val="20"/>
                <w:szCs w:val="20"/>
                <w:color w:val="auto"/>
              </w:rPr>
            </w:pPr>
            <w:r>
              <w:rPr>
                <w:rFonts w:ascii="Arial" w:cs="Arial" w:eastAsia="Arial" w:hAnsi="Arial"/>
                <w:sz w:val="16"/>
                <w:szCs w:val="16"/>
                <w:color w:val="auto"/>
                <w:w w:val="99"/>
              </w:rPr>
              <w:t>Indicate by check mark if the registrant is a well-known seasoned issuer, as defined in Rule 405 of the Securities Act. Yes</w:t>
            </w:r>
          </w:p>
        </w:tc>
        <w:tc>
          <w:tcPr>
            <w:tcW w:w="266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r>
        <w:trPr>
          <w:trHeight w:val="316"/>
        </w:trPr>
        <w:tc>
          <w:tcPr>
            <w:tcW w:w="8580" w:type="dxa"/>
            <w:vAlign w:val="bottom"/>
            <w:gridSpan w:val="3"/>
          </w:tcPr>
          <w:p>
            <w:pPr>
              <w:spacing w:after="0"/>
              <w:rPr>
                <w:sz w:val="20"/>
                <w:szCs w:val="20"/>
                <w:color w:val="auto"/>
              </w:rPr>
            </w:pPr>
            <w:r>
              <w:rPr>
                <w:rFonts w:ascii="Arial" w:cs="Arial" w:eastAsia="Arial" w:hAnsi="Arial"/>
                <w:sz w:val="16"/>
                <w:szCs w:val="16"/>
                <w:color w:val="auto"/>
                <w:w w:val="98"/>
              </w:rPr>
              <w:t>Indicate by check mark if the registrant is not required to file reports pursuant to Section 13 or Section 15(d) of the Act. Yes</w:t>
            </w:r>
          </w:p>
        </w:tc>
        <w:tc>
          <w:tcPr>
            <w:tcW w:w="2660" w:type="dxa"/>
            <w:vAlign w:val="bottom"/>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bl>
    <w:p>
      <w:pPr>
        <w:spacing w:after="0" w:line="74" w:lineRule="exact"/>
        <w:rPr>
          <w:sz w:val="24"/>
          <w:szCs w:val="24"/>
          <w:color w:val="auto"/>
        </w:rPr>
      </w:pPr>
    </w:p>
    <w:p>
      <w:pPr>
        <w:ind w:right="8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spacing w:after="0" w:line="21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4" w:lineRule="exact"/>
        <w:rPr>
          <w:sz w:val="24"/>
          <w:szCs w:val="24"/>
          <w:color w:val="auto"/>
        </w:rPr>
      </w:pPr>
    </w:p>
    <w:tbl>
      <w:tblPr>
        <w:tblLayout w:type="fixed"/>
        <w:tblInd w:w="20" w:type="dxa"/>
        <w:tblCellMar>
          <w:top w:w="0" w:type="dxa"/>
          <w:left w:w="0" w:type="dxa"/>
          <w:bottom w:w="0" w:type="dxa"/>
          <w:right w:w="0" w:type="dxa"/>
        </w:tblCellMar>
      </w:tblPr>
      <w:tr>
        <w:trPr>
          <w:trHeight w:val="247"/>
        </w:trPr>
        <w:tc>
          <w:tcPr>
            <w:tcW w:w="238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vMerge w:val="restart"/>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vMerge w:val="restart"/>
          </w:tcPr>
          <w:p>
            <w:pPr>
              <w:ind w:left="216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4"/>
        </w:trPr>
        <w:tc>
          <w:tcPr>
            <w:tcW w:w="2380" w:type="dxa"/>
            <w:vAlign w:val="bottom"/>
            <w:vMerge w:val="continue"/>
          </w:tcPr>
          <w:p>
            <w:pPr>
              <w:spacing w:after="0"/>
              <w:rPr>
                <w:sz w:val="9"/>
                <w:szCs w:val="9"/>
                <w:color w:val="auto"/>
              </w:rPr>
            </w:pPr>
          </w:p>
        </w:tc>
        <w:tc>
          <w:tcPr>
            <w:tcW w:w="3120" w:type="dxa"/>
            <w:vAlign w:val="bottom"/>
            <w:vMerge w:val="continue"/>
          </w:tcPr>
          <w:p>
            <w:pPr>
              <w:spacing w:after="0"/>
              <w:rPr>
                <w:sz w:val="9"/>
                <w:szCs w:val="9"/>
                <w:color w:val="auto"/>
              </w:rPr>
            </w:pPr>
          </w:p>
        </w:tc>
        <w:tc>
          <w:tcPr>
            <w:tcW w:w="47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238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vMerge w:val="restart"/>
          </w:tcPr>
          <w:p>
            <w:pPr>
              <w:ind w:left="216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2"/>
        </w:trPr>
        <w:tc>
          <w:tcPr>
            <w:tcW w:w="2380" w:type="dxa"/>
            <w:vAlign w:val="bottom"/>
            <w:vMerge w:val="continue"/>
          </w:tcPr>
          <w:p>
            <w:pPr>
              <w:spacing w:after="0"/>
              <w:rPr>
                <w:sz w:val="4"/>
                <w:szCs w:val="4"/>
                <w:color w:val="auto"/>
              </w:rPr>
            </w:pPr>
          </w:p>
        </w:tc>
        <w:tc>
          <w:tcPr>
            <w:tcW w:w="3120" w:type="dxa"/>
            <w:vAlign w:val="bottom"/>
          </w:tcPr>
          <w:p>
            <w:pPr>
              <w:spacing w:after="0"/>
              <w:rPr>
                <w:sz w:val="4"/>
                <w:szCs w:val="4"/>
                <w:color w:val="auto"/>
              </w:rPr>
            </w:pPr>
          </w:p>
        </w:tc>
        <w:tc>
          <w:tcPr>
            <w:tcW w:w="4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6"/>
        </w:trPr>
        <w:tc>
          <w:tcPr>
            <w:tcW w:w="2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vMerge w:val="restart"/>
          </w:tcPr>
          <w:p>
            <w:pPr>
              <w:ind w:left="2160"/>
              <w:spacing w:after="0"/>
              <w:rPr>
                <w:sz w:val="20"/>
                <w:szCs w:val="20"/>
                <w:color w:val="auto"/>
              </w:rPr>
            </w:pPr>
            <w:r>
              <w:rPr>
                <w:rFonts w:ascii="Arial" w:cs="Arial" w:eastAsia="Arial" w:hAnsi="Arial"/>
                <w:sz w:val="16"/>
                <w:szCs w:val="16"/>
                <w:color w:val="auto"/>
              </w:rPr>
              <w:t>Emerging growth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2"/>
        </w:trPr>
        <w:tc>
          <w:tcPr>
            <w:tcW w:w="23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40"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p>
      <w:pPr>
        <w:ind w:right="200"/>
        <w:spacing w:after="0" w:line="208"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75" w:lineRule="exact"/>
        <w:rPr>
          <w:sz w:val="24"/>
          <w:szCs w:val="24"/>
          <w:color w:val="auto"/>
        </w:rPr>
      </w:pPr>
    </w:p>
    <w:p>
      <w:pPr>
        <w:ind w:right="320"/>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75" w:lineRule="exact"/>
        <w:rPr>
          <w:sz w:val="24"/>
          <w:szCs w:val="24"/>
          <w:color w:val="auto"/>
        </w:rPr>
      </w:pPr>
    </w:p>
    <w:p>
      <w:pPr>
        <w:ind w:right="160"/>
        <w:spacing w:after="0" w:line="219"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ectPr>
          <w:pgSz w:w="11900" w:h="16911" w:orient="portrait"/>
          <w:cols w:equalWidth="0" w:num="1">
            <w:col w:w="11240"/>
          </w:cols>
          <w:pgMar w:left="320" w:top="226" w:right="339" w:bottom="0" w:gutter="0" w:footer="0" w:header="0"/>
        </w:sectPr>
      </w:pPr>
    </w:p>
    <w:bookmarkStart w:id="1" w:name="page2"/>
    <w:bookmarkEnd w:id="1"/>
    <w:p>
      <w:pPr>
        <w:spacing w:after="0" w:line="187" w:lineRule="exact"/>
        <w:tabs>
          <w:tab w:leader="none" w:pos="7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5"/>
          <w:szCs w:val="15"/>
          <w:color w:val="auto"/>
        </w:rPr>
        <w:t>No</w:t>
      </w:r>
      <w:r>
        <w:rPr>
          <w:rFonts w:ascii="MS PGothic" w:cs="MS PGothic" w:eastAsia="MS PGothic" w:hAnsi="MS PGothic"/>
          <w:sz w:val="18"/>
          <w:szCs w:val="18"/>
          <w:color w:val="auto"/>
        </w:rPr>
        <w:t xml:space="preserve"> ☒</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aggregate market value of voting stock held by non-affiliates of the Registrant on June 30, 2022, based on the closing price of $10.99 for shares of the Registrant’s common stock as reported by the Nasdaq Global Select Market, was approximately $1.3 billion. The determination of affiliate status for purposes of calculating the aggregate market value of our voting stock held by non-affiliates is not necessarily a conclusive determination for other purposes.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had outstanding 190,826,824 shares of common stock as of February 23, 2023</w:t>
      </w:r>
      <w:r>
        <w:rPr>
          <w:rFonts w:ascii="Arial" w:cs="Arial" w:eastAsia="Arial" w:hAnsi="Arial"/>
          <w:sz w:val="16"/>
          <w:szCs w:val="16"/>
          <w:b w:val="1"/>
          <w:bCs w:val="1"/>
          <w:color w:val="auto"/>
        </w:rPr>
        <w: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DOCUMENTS INCORPORATED BY REFERENCE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Portions of the Registrant’s Definitive Proxy Statement relating to its 2023 Annual Meeting of Stockholders are incorporated by reference into Part III of this Annual Report on Form 10-K to the extent stated herein. The Definitive Proxy Statement will be filed with the SEC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140"/>
          </w:cols>
          <w:pgMar w:left="320" w:top="94"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00" w:type="dxa"/>
            <w:vAlign w:val="bottom"/>
            <w:gridSpan w:val="8"/>
          </w:tcPr>
          <w:p>
            <w:pPr>
              <w:ind w:left="40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00"/>
        </w:trPr>
        <w:tc>
          <w:tcPr>
            <w:tcW w:w="40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4"/>
              </w:rPr>
              <w:t>Part I</w:t>
            </w:r>
          </w:p>
        </w:tc>
        <w:tc>
          <w:tcPr>
            <w:tcW w:w="6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0" w:type="dxa"/>
            <w:vAlign w:val="bottom"/>
            <w:tcBorders>
              <w:bottom w:val="single" w:sz="8" w:color="0000FF"/>
            </w:tcBorders>
            <w:gridSpan w:val="3"/>
          </w:tcPr>
          <w:p>
            <w:pPr>
              <w:spacing w:after="0" w:line="178" w:lineRule="exact"/>
              <w:rPr>
                <w:sz w:val="20"/>
                <w:szCs w:val="20"/>
                <w:color w:val="auto"/>
              </w:rPr>
            </w:pPr>
            <w:r>
              <w:rPr>
                <w:rFonts w:ascii="Arial" w:cs="Arial" w:eastAsia="Arial" w:hAnsi="Arial"/>
                <w:sz w:val="16"/>
                <w:szCs w:val="16"/>
                <w:color w:val="0000FF"/>
                <w:w w:val="93"/>
              </w:rPr>
              <w:t>Item 1.</w:t>
            </w:r>
          </w:p>
        </w:tc>
        <w:tc>
          <w:tcPr>
            <w:tcW w:w="56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0000FF"/>
            </w:tcBorders>
          </w:tcPr>
          <w:p>
            <w:pPr>
              <w:spacing w:after="0" w:line="178" w:lineRule="exact"/>
              <w:rPr>
                <w:sz w:val="20"/>
                <w:szCs w:val="20"/>
                <w:color w:val="auto"/>
              </w:rPr>
            </w:pPr>
            <w:r>
              <w:rPr>
                <w:rFonts w:ascii="Arial" w:cs="Arial" w:eastAsia="Arial" w:hAnsi="Arial"/>
                <w:sz w:val="16"/>
                <w:szCs w:val="16"/>
                <w:color w:val="0000FF"/>
                <w:w w:val="89"/>
              </w:rPr>
              <w:t>Business</w:t>
            </w:r>
          </w:p>
        </w:tc>
        <w:tc>
          <w:tcPr>
            <w:tcW w:w="71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Item 1A.</w:t>
            </w:r>
          </w:p>
        </w:tc>
        <w:tc>
          <w:tcPr>
            <w:tcW w:w="4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2"/>
              </w:rPr>
              <w:t>Risk Factors</w:t>
            </w:r>
          </w:p>
        </w:tc>
        <w:tc>
          <w:tcPr>
            <w:tcW w:w="688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Item 1B.</w:t>
            </w:r>
          </w:p>
        </w:tc>
        <w:tc>
          <w:tcPr>
            <w:tcW w:w="4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Unresolved Staff Comments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2.</w:t>
            </w:r>
          </w:p>
        </w:tc>
        <w:tc>
          <w:tcPr>
            <w:tcW w:w="56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3"/>
              </w:rPr>
              <w:t>Properties</w:t>
            </w:r>
          </w:p>
        </w:tc>
        <w:tc>
          <w:tcPr>
            <w:tcW w:w="1220" w:type="dxa"/>
            <w:vAlign w:val="bottom"/>
            <w:tcBorders>
              <w:top w:val="single" w:sz="8" w:color="0000FF"/>
            </w:tcBorders>
            <w:gridSpan w:val="7"/>
          </w:tcPr>
          <w:p>
            <w:pPr>
              <w:spacing w:after="0"/>
              <w:rPr>
                <w:sz w:val="18"/>
                <w:szCs w:val="18"/>
                <w:color w:val="auto"/>
              </w:rPr>
            </w:pPr>
          </w:p>
        </w:tc>
        <w:tc>
          <w:tcPr>
            <w:tcW w:w="58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3.</w:t>
            </w:r>
          </w:p>
        </w:tc>
        <w:tc>
          <w:tcPr>
            <w:tcW w:w="5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
        </w:trPr>
        <w:tc>
          <w:tcPr>
            <w:tcW w:w="1060" w:type="dxa"/>
            <w:vAlign w:val="bottom"/>
            <w:gridSpan w:val="8"/>
            <w:vMerge w:val="restart"/>
          </w:tcPr>
          <w:p>
            <w:pPr>
              <w:spacing w:after="0"/>
              <w:rPr>
                <w:sz w:val="20"/>
                <w:szCs w:val="20"/>
                <w:color w:val="auto"/>
              </w:rPr>
            </w:pPr>
            <w:r>
              <w:rPr>
                <w:rFonts w:ascii="Arial" w:cs="Arial" w:eastAsia="Arial" w:hAnsi="Arial"/>
                <w:sz w:val="16"/>
                <w:szCs w:val="16"/>
                <w:color w:val="0000FF"/>
              </w:rPr>
              <w:t>Item 4.</w:t>
            </w: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6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Mine Safety Disclosures</w:t>
            </w:r>
          </w:p>
        </w:tc>
        <w:tc>
          <w:tcPr>
            <w:tcW w:w="0" w:type="dxa"/>
            <w:vAlign w:val="bottom"/>
          </w:tcPr>
          <w:p>
            <w:pPr>
              <w:spacing w:after="0"/>
              <w:rPr>
                <w:sz w:val="1"/>
                <w:szCs w:val="1"/>
                <w:color w:val="auto"/>
              </w:rPr>
            </w:pPr>
          </w:p>
        </w:tc>
      </w:tr>
      <w:tr>
        <w:trPr>
          <w:trHeight w:val="197"/>
        </w:trPr>
        <w:tc>
          <w:tcPr>
            <w:tcW w:w="500" w:type="dxa"/>
            <w:vAlign w:val="bottom"/>
            <w:tcBorders>
              <w:top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w:t>
            </w:r>
          </w:p>
        </w:tc>
        <w:tc>
          <w:tcPr>
            <w:tcW w:w="5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 w:type="dxa"/>
            <w:vAlign w:val="bottom"/>
            <w:tcBorders>
              <w:bottom w:val="single" w:sz="8" w:color="0000FF"/>
            </w:tcBorders>
            <w:gridSpan w:val="3"/>
          </w:tcPr>
          <w:p>
            <w:pPr>
              <w:spacing w:after="0" w:line="178" w:lineRule="exact"/>
              <w:rPr>
                <w:sz w:val="20"/>
                <w:szCs w:val="20"/>
                <w:color w:val="auto"/>
              </w:rPr>
            </w:pPr>
            <w:r>
              <w:rPr>
                <w:rFonts w:ascii="Arial" w:cs="Arial" w:eastAsia="Arial" w:hAnsi="Arial"/>
                <w:sz w:val="16"/>
                <w:szCs w:val="16"/>
                <w:color w:val="0000FF"/>
                <w:w w:val="93"/>
              </w:rPr>
              <w:t>Item 5.</w:t>
            </w:r>
          </w:p>
        </w:tc>
        <w:tc>
          <w:tcPr>
            <w:tcW w:w="560" w:type="dxa"/>
            <w:vAlign w:val="bottom"/>
            <w:gridSpan w:val="5"/>
          </w:tcPr>
          <w:p>
            <w:pPr>
              <w:spacing w:after="0"/>
              <w:rPr>
                <w:sz w:val="18"/>
                <w:szCs w:val="18"/>
                <w:color w:val="auto"/>
              </w:rPr>
            </w:pPr>
          </w:p>
        </w:tc>
        <w:tc>
          <w:tcPr>
            <w:tcW w:w="7800" w:type="dxa"/>
            <w:vAlign w:val="bottom"/>
            <w:tcBorders>
              <w:bottom w:val="single" w:sz="8" w:color="0000FF"/>
            </w:tcBorders>
            <w:gridSpan w:val="22"/>
          </w:tcPr>
          <w:p>
            <w:pPr>
              <w:spacing w:after="0" w:line="178" w:lineRule="exact"/>
              <w:rPr>
                <w:sz w:val="20"/>
                <w:szCs w:val="20"/>
                <w:color w:val="auto"/>
              </w:rPr>
            </w:pPr>
            <w:r>
              <w:rPr>
                <w:rFonts w:ascii="Arial" w:cs="Arial" w:eastAsia="Arial" w:hAnsi="Arial"/>
                <w:sz w:val="16"/>
                <w:szCs w:val="16"/>
                <w:color w:val="0000FF"/>
                <w:w w:val="98"/>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19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6.</w:t>
            </w:r>
          </w:p>
        </w:tc>
        <w:tc>
          <w:tcPr>
            <w:tcW w:w="5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Reserved</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0" w:type="dxa"/>
            <w:vAlign w:val="bottom"/>
            <w:gridSpan w:val="3"/>
            <w:vMerge w:val="restart"/>
          </w:tcPr>
          <w:p>
            <w:pPr>
              <w:spacing w:after="0"/>
              <w:rPr>
                <w:sz w:val="20"/>
                <w:szCs w:val="20"/>
                <w:color w:val="auto"/>
              </w:rPr>
            </w:pPr>
            <w:r>
              <w:rPr>
                <w:rFonts w:ascii="Arial" w:cs="Arial" w:eastAsia="Arial" w:hAnsi="Arial"/>
                <w:sz w:val="16"/>
                <w:szCs w:val="16"/>
                <w:color w:val="0000FF"/>
                <w:w w:val="93"/>
              </w:rPr>
              <w:t>Item 7.</w:t>
            </w:r>
          </w:p>
        </w:tc>
        <w:tc>
          <w:tcPr>
            <w:tcW w:w="560" w:type="dxa"/>
            <w:vAlign w:val="bottom"/>
            <w:gridSpan w:val="5"/>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tcBorders>
              <w:bottom w:val="single" w:sz="8" w:color="0000FF"/>
            </w:tcBorders>
            <w:gridSpan w:val="3"/>
            <w:vMerge w:val="continue"/>
          </w:tcPr>
          <w:p>
            <w:pPr>
              <w:spacing w:after="0"/>
              <w:rPr>
                <w:sz w:val="18"/>
                <w:szCs w:val="18"/>
                <w:color w:val="auto"/>
              </w:rPr>
            </w:pPr>
          </w:p>
        </w:tc>
        <w:tc>
          <w:tcPr>
            <w:tcW w:w="56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17"/>
        </w:trPr>
        <w:tc>
          <w:tcPr>
            <w:tcW w:w="6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Item 7A.</w:t>
            </w:r>
          </w:p>
        </w:tc>
        <w:tc>
          <w:tcPr>
            <w:tcW w:w="4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616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5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Item 8.</w:t>
            </w:r>
          </w:p>
        </w:tc>
        <w:tc>
          <w:tcPr>
            <w:tcW w:w="56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w w:val="96"/>
              </w:rPr>
              <w:t>Financial Statements and Supplementary Data</w:t>
            </w:r>
          </w:p>
        </w:tc>
        <w:tc>
          <w:tcPr>
            <w:tcW w:w="860" w:type="dxa"/>
            <w:vAlign w:val="bottom"/>
            <w:tcBorders>
              <w:top w:val="single" w:sz="8" w:color="0000FF"/>
            </w:tcBorders>
            <w:gridSpan w:val="2"/>
          </w:tcPr>
          <w:p>
            <w:pPr>
              <w:spacing w:after="0"/>
              <w:rPr>
                <w:sz w:val="18"/>
                <w:szCs w:val="18"/>
                <w:color w:val="auto"/>
              </w:rPr>
            </w:pPr>
          </w:p>
        </w:tc>
        <w:tc>
          <w:tcPr>
            <w:tcW w:w="36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0" w:type="dxa"/>
            <w:vAlign w:val="bottom"/>
            <w:gridSpan w:val="3"/>
          </w:tcPr>
          <w:p>
            <w:pPr>
              <w:spacing w:after="0"/>
              <w:rPr>
                <w:sz w:val="20"/>
                <w:szCs w:val="20"/>
                <w:color w:val="auto"/>
              </w:rPr>
            </w:pPr>
            <w:r>
              <w:rPr>
                <w:rFonts w:ascii="Arial" w:cs="Arial" w:eastAsia="Arial" w:hAnsi="Arial"/>
                <w:sz w:val="16"/>
                <w:szCs w:val="16"/>
                <w:color w:val="0000FF"/>
                <w:w w:val="93"/>
              </w:rPr>
              <w:t>Item 9.</w:t>
            </w:r>
          </w:p>
        </w:tc>
        <w:tc>
          <w:tcPr>
            <w:tcW w:w="5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Disclosures</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Item 9A.</w:t>
            </w:r>
          </w:p>
        </w:tc>
        <w:tc>
          <w:tcPr>
            <w:tcW w:w="4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0" w:type="dxa"/>
            <w:vAlign w:val="bottom"/>
          </w:tcPr>
          <w:p>
            <w:pPr>
              <w:spacing w:after="0"/>
              <w:rPr>
                <w:sz w:val="1"/>
                <w:szCs w:val="1"/>
                <w:color w:val="auto"/>
              </w:rPr>
            </w:pPr>
          </w:p>
        </w:tc>
      </w:tr>
      <w:tr>
        <w:trPr>
          <w:trHeight w:val="197"/>
        </w:trPr>
        <w:tc>
          <w:tcPr>
            <w:tcW w:w="6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Item 9B.</w:t>
            </w:r>
          </w:p>
        </w:tc>
        <w:tc>
          <w:tcPr>
            <w:tcW w:w="4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Other Information</w:t>
            </w:r>
          </w:p>
        </w:tc>
        <w:tc>
          <w:tcPr>
            <w:tcW w:w="6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5"/>
            <w:vMerge w:val="restart"/>
          </w:tcPr>
          <w:p>
            <w:pPr>
              <w:spacing w:after="0"/>
              <w:rPr>
                <w:sz w:val="20"/>
                <w:szCs w:val="20"/>
                <w:color w:val="auto"/>
              </w:rPr>
            </w:pPr>
            <w:r>
              <w:rPr>
                <w:rFonts w:ascii="Arial" w:cs="Arial" w:eastAsia="Arial" w:hAnsi="Arial"/>
                <w:sz w:val="16"/>
                <w:szCs w:val="16"/>
                <w:color w:val="0000FF"/>
                <w:w w:val="95"/>
              </w:rPr>
              <w:t>Item 9C.</w:t>
            </w:r>
          </w:p>
        </w:tc>
        <w:tc>
          <w:tcPr>
            <w:tcW w:w="460" w:type="dxa"/>
            <w:vAlign w:val="bottom"/>
            <w:gridSpan w:val="3"/>
            <w:vMerge w:val="restart"/>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 w:type="dxa"/>
            <w:vAlign w:val="bottom"/>
            <w:tcBorders>
              <w:bottom w:val="single" w:sz="8" w:color="0000FF"/>
            </w:tcBorders>
            <w:gridSpan w:val="5"/>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0" w:type="dxa"/>
            <w:vAlign w:val="bottom"/>
          </w:tcPr>
          <w:p>
            <w:pPr>
              <w:spacing w:after="0"/>
              <w:rPr>
                <w:sz w:val="1"/>
                <w:szCs w:val="1"/>
                <w:color w:val="auto"/>
              </w:rPr>
            </w:pPr>
          </w:p>
        </w:tc>
      </w:tr>
      <w:tr>
        <w:trPr>
          <w:trHeight w:val="197"/>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3"/>
              </w:rPr>
              <w:t>Part III</w:t>
            </w:r>
          </w:p>
        </w:tc>
        <w:tc>
          <w:tcPr>
            <w:tcW w:w="5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0" w:type="dxa"/>
            <w:vAlign w:val="bottom"/>
            <w:tcBorders>
              <w:bottom w:val="single" w:sz="8" w:color="0000FF"/>
            </w:tcBorders>
            <w:gridSpan w:val="4"/>
          </w:tcPr>
          <w:p>
            <w:pPr>
              <w:spacing w:after="0" w:line="178" w:lineRule="exact"/>
              <w:rPr>
                <w:sz w:val="20"/>
                <w:szCs w:val="20"/>
                <w:color w:val="auto"/>
              </w:rPr>
            </w:pPr>
            <w:r>
              <w:rPr>
                <w:rFonts w:ascii="Arial" w:cs="Arial" w:eastAsia="Arial" w:hAnsi="Arial"/>
                <w:sz w:val="16"/>
                <w:szCs w:val="16"/>
                <w:color w:val="0000FF"/>
                <w:w w:val="89"/>
              </w:rPr>
              <w:t>Item 10.</w:t>
            </w:r>
          </w:p>
        </w:tc>
        <w:tc>
          <w:tcPr>
            <w:tcW w:w="50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line="178" w:lineRule="exact"/>
              <w:rPr>
                <w:sz w:val="20"/>
                <w:szCs w:val="20"/>
                <w:color w:val="auto"/>
              </w:rPr>
            </w:pPr>
            <w:r>
              <w:rPr>
                <w:rFonts w:ascii="Arial" w:cs="Arial" w:eastAsia="Arial" w:hAnsi="Arial"/>
                <w:sz w:val="16"/>
                <w:szCs w:val="16"/>
                <w:color w:val="0000FF"/>
              </w:rPr>
              <w:t>Directors, Executive Officers and Corporate Governance</w:t>
            </w:r>
          </w:p>
        </w:tc>
        <w:tc>
          <w:tcPr>
            <w:tcW w:w="0" w:type="dxa"/>
            <w:vAlign w:val="bottom"/>
          </w:tcPr>
          <w:p>
            <w:pPr>
              <w:spacing w:after="0"/>
              <w:rPr>
                <w:sz w:val="1"/>
                <w:szCs w:val="1"/>
                <w:color w:val="auto"/>
              </w:rPr>
            </w:pPr>
          </w:p>
        </w:tc>
      </w:tr>
      <w:tr>
        <w:trPr>
          <w:trHeight w:val="197"/>
        </w:trPr>
        <w:tc>
          <w:tcPr>
            <w:tcW w:w="1060" w:type="dxa"/>
            <w:vAlign w:val="bottom"/>
            <w:gridSpan w:val="8"/>
          </w:tcPr>
          <w:p>
            <w:pPr>
              <w:spacing w:after="0"/>
              <w:rPr>
                <w:sz w:val="20"/>
                <w:szCs w:val="20"/>
                <w:color w:val="auto"/>
              </w:rPr>
            </w:pPr>
            <w:r>
              <w:rPr>
                <w:rFonts w:ascii="Arial" w:cs="Arial" w:eastAsia="Arial" w:hAnsi="Arial"/>
                <w:sz w:val="16"/>
                <w:szCs w:val="16"/>
                <w:color w:val="0000FF"/>
              </w:rPr>
              <w:t>Item 11.</w:t>
            </w:r>
          </w:p>
        </w:tc>
        <w:tc>
          <w:tcPr>
            <w:tcW w:w="80" w:type="dxa"/>
            <w:vAlign w:val="bottom"/>
          </w:tcPr>
          <w:p>
            <w:pPr>
              <w:spacing w:after="0"/>
              <w:rPr>
                <w:sz w:val="17"/>
                <w:szCs w:val="17"/>
                <w:color w:val="auto"/>
              </w:rPr>
            </w:pPr>
          </w:p>
        </w:tc>
        <w:tc>
          <w:tcPr>
            <w:tcW w:w="390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Executive Compensation</w:t>
            </w:r>
          </w:p>
        </w:tc>
        <w:tc>
          <w:tcPr>
            <w:tcW w:w="38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0000FF"/>
            </w:tcBorders>
            <w:gridSpan w:val="7"/>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9"/>
              </w:rPr>
              <w:t>Item 12.</w:t>
            </w:r>
          </w:p>
        </w:tc>
        <w:tc>
          <w:tcPr>
            <w:tcW w:w="500" w:type="dxa"/>
            <w:vAlign w:val="bottom"/>
            <w:gridSpan w:val="4"/>
          </w:tcPr>
          <w:p>
            <w:pPr>
              <w:spacing w:after="0"/>
              <w:rPr>
                <w:sz w:val="18"/>
                <w:szCs w:val="18"/>
                <w:color w:val="auto"/>
              </w:rPr>
            </w:pPr>
          </w:p>
        </w:tc>
        <w:tc>
          <w:tcPr>
            <w:tcW w:w="704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w w:val="98"/>
              </w:rPr>
              <w:t>Security Ownership of Certain Beneficial Owners and Management and Related Stockholder Matters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gridSpan w:val="4"/>
          </w:tcPr>
          <w:p>
            <w:pPr>
              <w:spacing w:after="0"/>
              <w:rPr>
                <w:sz w:val="20"/>
                <w:szCs w:val="20"/>
                <w:color w:val="auto"/>
              </w:rPr>
            </w:pPr>
            <w:r>
              <w:rPr>
                <w:rFonts w:ascii="Arial" w:cs="Arial" w:eastAsia="Arial" w:hAnsi="Arial"/>
                <w:sz w:val="16"/>
                <w:szCs w:val="16"/>
                <w:color w:val="0000FF"/>
                <w:w w:val="89"/>
              </w:rPr>
              <w:t>Item 13.</w:t>
            </w:r>
          </w:p>
        </w:tc>
        <w:tc>
          <w:tcPr>
            <w:tcW w:w="50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0" w:type="dxa"/>
            <w:vAlign w:val="bottom"/>
          </w:tcPr>
          <w:p>
            <w:pPr>
              <w:spacing w:after="0"/>
              <w:rPr>
                <w:sz w:val="1"/>
                <w:szCs w:val="1"/>
                <w:color w:val="auto"/>
              </w:rPr>
            </w:pPr>
          </w:p>
        </w:tc>
      </w:tr>
      <w:tr>
        <w:trPr>
          <w:trHeight w:val="197"/>
        </w:trPr>
        <w:tc>
          <w:tcPr>
            <w:tcW w:w="56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89"/>
              </w:rPr>
              <w:t>Item 14.</w:t>
            </w:r>
          </w:p>
        </w:tc>
        <w:tc>
          <w:tcPr>
            <w:tcW w:w="5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528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Principal Accountant Fees and Services</w:t>
            </w:r>
          </w:p>
        </w:tc>
        <w:tc>
          <w:tcPr>
            <w:tcW w:w="2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4"/>
              </w:rPr>
              <w:t>PART IV</w:t>
            </w:r>
          </w:p>
        </w:tc>
        <w:tc>
          <w:tcPr>
            <w:tcW w:w="4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0" w:type="dxa"/>
            <w:vAlign w:val="bottom"/>
            <w:tcBorders>
              <w:bottom w:val="single" w:sz="8" w:color="0000FF"/>
            </w:tcBorders>
            <w:gridSpan w:val="4"/>
          </w:tcPr>
          <w:p>
            <w:pPr>
              <w:spacing w:after="0" w:line="178" w:lineRule="exact"/>
              <w:rPr>
                <w:sz w:val="20"/>
                <w:szCs w:val="20"/>
                <w:color w:val="auto"/>
              </w:rPr>
            </w:pPr>
            <w:r>
              <w:rPr>
                <w:rFonts w:ascii="Arial" w:cs="Arial" w:eastAsia="Arial" w:hAnsi="Arial"/>
                <w:sz w:val="16"/>
                <w:szCs w:val="16"/>
                <w:color w:val="0000FF"/>
                <w:w w:val="89"/>
              </w:rPr>
              <w:t>Item 15.</w:t>
            </w:r>
          </w:p>
        </w:tc>
        <w:tc>
          <w:tcPr>
            <w:tcW w:w="50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Borders>
              <w:bottom w:val="single" w:sz="8" w:color="0000FF"/>
            </w:tcBorders>
            <w:gridSpan w:val="12"/>
          </w:tcPr>
          <w:p>
            <w:pPr>
              <w:spacing w:after="0" w:line="178" w:lineRule="exact"/>
              <w:rPr>
                <w:sz w:val="20"/>
                <w:szCs w:val="20"/>
                <w:color w:val="auto"/>
              </w:rPr>
            </w:pPr>
            <w:r>
              <w:rPr>
                <w:rFonts w:ascii="Arial" w:cs="Arial" w:eastAsia="Arial" w:hAnsi="Arial"/>
                <w:sz w:val="16"/>
                <w:szCs w:val="16"/>
                <w:color w:val="0000FF"/>
                <w:w w:val="96"/>
              </w:rPr>
              <w:t>Exhibits and Financial Statement Schedules</w:t>
            </w:r>
          </w:p>
        </w:tc>
        <w:tc>
          <w:tcPr>
            <w:tcW w:w="46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9"/>
              </w:rPr>
              <w:t>Item 16.</w:t>
            </w:r>
          </w:p>
        </w:tc>
        <w:tc>
          <w:tcPr>
            <w:tcW w:w="50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4"/>
              </w:rPr>
              <w:t>Form 10-K Summary</w:t>
            </w:r>
          </w:p>
        </w:tc>
        <w:tc>
          <w:tcPr>
            <w:tcW w:w="63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6"/>
              </w:rPr>
              <w:t>Signatures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1</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8</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29</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30</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32</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52</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53</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100</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100</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101</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101</w:t>
      </w:r>
    </w:p>
    <w:p>
      <w:pPr>
        <w:spacing w:after="0" w:line="26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102</w:t>
      </w:r>
    </w:p>
    <w:p>
      <w:pPr>
        <w:spacing w:after="0" w:line="26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103</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104</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105</w:t>
      </w:r>
    </w:p>
    <w:p>
      <w:pPr>
        <w:spacing w:after="0" w:line="212" w:lineRule="exact"/>
        <w:rPr>
          <w:sz w:val="20"/>
          <w:szCs w:val="20"/>
          <w:color w:val="auto"/>
        </w:rPr>
      </w:pPr>
    </w:p>
    <w:p>
      <w:pPr>
        <w:sectPr>
          <w:pgSz w:w="11900" w:h="16838" w:orient="portrait"/>
          <w:cols w:equalWidth="0" w:num="2">
            <w:col w:w="9780" w:space="720"/>
            <w:col w:w="3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97155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Background</w:t>
      </w:r>
    </w:p>
    <w:p>
      <w:pPr>
        <w:spacing w:after="0" w:line="121"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As described in our Current Report on Form 8-K filed with the Securities and Exchange Commission, or SEC, on February 17, 2023 and Amendment No. 1 to such Current Report on Form 8-K filed with the SEC on February 27, 2023, we identified an error within our income tax provision relating to the identification of named executive officers subject to limitation on the deductibility of executive compensation under Internal Revenue Code Section 162(m). As a result of this error, management and the Audit Committee of our board of directors concluded that our previously issued unaudited condensed consolidated financial statements as of and for the three months ended March 31, 2022, three and six months ended June 30, 2022 and three and nine months ended September 30, 2022 were materially misstated. Accordingly, our unaudited condensed consolidated financial statements for the foregoing periods require restatement and should no longer be relied upon.</w:t>
      </w:r>
    </w:p>
    <w:p>
      <w:pPr>
        <w:spacing w:after="0" w:line="87" w:lineRule="exact"/>
        <w:rPr>
          <w:sz w:val="20"/>
          <w:szCs w:val="20"/>
          <w:color w:val="auto"/>
        </w:rPr>
      </w:pPr>
    </w:p>
    <w:p>
      <w:pPr>
        <w:ind w:right="140" w:firstLine="395"/>
        <w:spacing w:after="0" w:line="255" w:lineRule="auto"/>
        <w:rPr>
          <w:sz w:val="20"/>
          <w:szCs w:val="20"/>
          <w:color w:val="auto"/>
        </w:rPr>
      </w:pPr>
      <w:r>
        <w:rPr>
          <w:rFonts w:ascii="Arial" w:cs="Arial" w:eastAsia="Arial" w:hAnsi="Arial"/>
          <w:sz w:val="16"/>
          <w:szCs w:val="16"/>
          <w:color w:val="auto"/>
        </w:rPr>
        <w:t>This Annual Report on Form 10-K provides restated unaudited financial information as of and for the three months ended March 31, 2022, three and six months ended June 30, 2022 and three and nine months ended September 30, 2022. See Note 24 to our consolidated financial statements included elsewhere in this Annual Report on Form 10-K. We will effect the restatements to our 2022 unaudited condensed consolidated quarterly financial statements in our future filings of Quarterly Reports on Form 10-Q in 2023.</w:t>
      </w:r>
    </w:p>
    <w:p>
      <w:pPr>
        <w:spacing w:after="0" w:line="73" w:lineRule="exact"/>
        <w:rPr>
          <w:sz w:val="20"/>
          <w:szCs w:val="20"/>
          <w:color w:val="auto"/>
        </w:rPr>
      </w:pPr>
    </w:p>
    <w:p>
      <w:pPr>
        <w:ind w:right="60" w:firstLine="395"/>
        <w:spacing w:after="0" w:line="255" w:lineRule="auto"/>
        <w:rPr>
          <w:sz w:val="20"/>
          <w:szCs w:val="20"/>
          <w:color w:val="auto"/>
        </w:rPr>
      </w:pPr>
      <w:r>
        <w:rPr>
          <w:rFonts w:ascii="Arial" w:cs="Arial" w:eastAsia="Arial" w:hAnsi="Arial"/>
          <w:sz w:val="16"/>
          <w:szCs w:val="16"/>
          <w:color w:val="auto"/>
        </w:rPr>
        <w:t>The financial information that has been previously filed or otherwise reported as of and for the three months ended March 31, 2022, three and six months ended June 30, 2022 and three and nine months ended September 30, 2022 is superseded by the information in this Annual Report on Form 10-K. See Note 24 to our consolidated financial statements included elsewhere in this Annual Report on Form 10-K for additional information on the restatement and the related financial information impacts.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Considerations</w:t>
      </w:r>
    </w:p>
    <w:p>
      <w:pPr>
        <w:spacing w:after="0" w:line="108" w:lineRule="exact"/>
        <w:rPr>
          <w:sz w:val="20"/>
          <w:szCs w:val="20"/>
          <w:color w:val="auto"/>
        </w:rPr>
      </w:pPr>
    </w:p>
    <w:p>
      <w:pPr>
        <w:ind w:right="340" w:firstLine="395"/>
        <w:spacing w:after="0" w:line="263" w:lineRule="auto"/>
        <w:rPr>
          <w:sz w:val="20"/>
          <w:szCs w:val="20"/>
          <w:color w:val="auto"/>
        </w:rPr>
      </w:pPr>
      <w:r>
        <w:rPr>
          <w:rFonts w:ascii="Arial" w:cs="Arial" w:eastAsia="Arial" w:hAnsi="Arial"/>
          <w:sz w:val="16"/>
          <w:szCs w:val="16"/>
          <w:color w:val="auto"/>
        </w:rPr>
        <w:t>Management has determined that the restatement described above resulted from a material weakness in internal control over financial reporting. For a discussion of management’s considerations of our disclosure controls and procedures, internal control over financial reporting, and material weaknesses identified, refer to Part II, Item 9A included elsewhere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1" w:lineRule="exact"/>
        <w:rPr>
          <w:sz w:val="20"/>
          <w:szCs w:val="20"/>
          <w:color w:val="auto"/>
        </w:rPr>
      </w:pPr>
    </w:p>
    <w:p>
      <w:pPr>
        <w:ind w:right="80" w:firstLine="395"/>
        <w:spacing w:after="0" w:line="270" w:lineRule="auto"/>
        <w:rPr>
          <w:sz w:val="20"/>
          <w:szCs w:val="20"/>
          <w:color w:val="auto"/>
        </w:rPr>
      </w:pPr>
      <w:r>
        <w:rPr>
          <w:rFonts w:ascii="Arial" w:cs="Arial" w:eastAsia="Arial" w:hAnsi="Arial"/>
          <w:sz w:val="15"/>
          <w:szCs w:val="15"/>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63"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 Item 1A, “Risk Factors” in this Annual Report on Form 10-K for the fiscal year ended December 31, 2022, as such risk factors may be amended, updated or superseded from time to time by our subsequent filings with the SEC.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6"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You should read this Annual Report on Form 10-K and the documents that we reference herein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color w:val="auto"/>
        </w:rPr>
        <w:t>update or revise any forward-looking statements contained in this Annual Report on Form 10-K, whether as a result of any new information, future events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08" w:lineRule="exact"/>
        <w:rPr>
          <w:sz w:val="20"/>
          <w:szCs w:val="20"/>
          <w:color w:val="auto"/>
        </w:rPr>
      </w:pPr>
    </w:p>
    <w:p>
      <w:pPr>
        <w:ind w:right="420" w:firstLine="395"/>
        <w:spacing w:after="0" w:line="287" w:lineRule="auto"/>
        <w:rPr>
          <w:sz w:val="20"/>
          <w:szCs w:val="20"/>
          <w:color w:val="auto"/>
        </w:rPr>
      </w:pPr>
      <w:r>
        <w:rPr>
          <w:rFonts w:ascii="Arial" w:cs="Arial" w:eastAsia="Arial" w:hAnsi="Arial"/>
          <w:sz w:val="16"/>
          <w:szCs w:val="16"/>
          <w:color w:val="auto"/>
        </w:rPr>
        <w:t>Our business involves significant risks and you are urged to carefully consider the risks discussed under Part I, Item 1A, “Risk Factors” in this Annual Report on Form 10-K prior to making an investment in us. These risks include, but are not limited to, the following:</w:t>
      </w:r>
    </w:p>
    <w:p>
      <w:pPr>
        <w:spacing w:after="0" w:line="47" w:lineRule="exact"/>
        <w:rPr>
          <w:sz w:val="20"/>
          <w:szCs w:val="20"/>
          <w:color w:val="auto"/>
        </w:rPr>
      </w:pPr>
    </w:p>
    <w:p>
      <w:pPr>
        <w:ind w:left="720" w:hanging="311"/>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if we continue to grow, we may not be able to manage our growth effectively.</w:t>
      </w:r>
    </w:p>
    <w:p>
      <w:pPr>
        <w:spacing w:after="0" w:line="92" w:lineRule="exact"/>
        <w:rPr>
          <w:rFonts w:ascii="Arial" w:cs="Arial" w:eastAsia="Arial" w:hAnsi="Arial"/>
          <w:sz w:val="16"/>
          <w:szCs w:val="16"/>
          <w:color w:val="auto"/>
        </w:rPr>
      </w:pPr>
    </w:p>
    <w:p>
      <w:pPr>
        <w:ind w:left="720" w:right="24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 and fluctuations or declines in the number of business formations may adversely affect our business.</w:t>
      </w:r>
    </w:p>
    <w:p>
      <w:pPr>
        <w:spacing w:after="0" w:line="46" w:lineRule="exact"/>
        <w:rPr>
          <w:rFonts w:ascii="Arial" w:cs="Arial" w:eastAsia="Arial" w:hAnsi="Arial"/>
          <w:sz w:val="16"/>
          <w:szCs w:val="16"/>
          <w:color w:val="auto"/>
        </w:rPr>
      </w:pPr>
    </w:p>
    <w:p>
      <w:pPr>
        <w:ind w:left="720" w:right="2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substantially on converting our transactional customers to subscribers and our subscribers renewing their subscriptions with us and expanding their use of our platform.</w:t>
      </w:r>
    </w:p>
    <w:p>
      <w:pPr>
        <w:spacing w:after="0" w:line="46" w:lineRule="exact"/>
        <w:rPr>
          <w:rFonts w:ascii="Arial" w:cs="Arial" w:eastAsia="Arial" w:hAnsi="Arial"/>
          <w:sz w:val="16"/>
          <w:szCs w:val="16"/>
          <w:color w:val="auto"/>
        </w:rPr>
      </w:pPr>
    </w:p>
    <w:p>
      <w:pPr>
        <w:ind w:left="720" w:hanging="311"/>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 due to a wide range of factors, which makes our future results difficult to predict.</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maintain profitability.</w:t>
      </w:r>
    </w:p>
    <w:p>
      <w:pPr>
        <w:spacing w:after="0" w:line="105" w:lineRule="exact"/>
        <w:rPr>
          <w:rFonts w:ascii="Arial" w:cs="Arial" w:eastAsia="Arial" w:hAnsi="Arial"/>
          <w:sz w:val="16"/>
          <w:szCs w:val="16"/>
          <w:color w:val="auto"/>
        </w:rPr>
      </w:pPr>
    </w:p>
    <w:p>
      <w:pPr>
        <w:ind w:left="720" w:right="22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fail to provide high-quality services, customer care and customer experience and add new services that meet our customers’ expectations, we may not be able to attract and retain customers.</w:t>
      </w:r>
    </w:p>
    <w:p>
      <w:pPr>
        <w:spacing w:after="0" w:line="72" w:lineRule="exact"/>
        <w:rPr>
          <w:rFonts w:ascii="Arial" w:cs="Arial" w:eastAsia="Arial" w:hAnsi="Arial"/>
          <w:sz w:val="16"/>
          <w:szCs w:val="16"/>
          <w:color w:val="auto"/>
        </w:rPr>
      </w:pPr>
    </w:p>
    <w:p>
      <w:pPr>
        <w:ind w:left="720" w:right="10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59" w:lineRule="exact"/>
        <w:rPr>
          <w:rFonts w:ascii="Arial" w:cs="Arial" w:eastAsia="Arial" w:hAnsi="Arial"/>
          <w:sz w:val="16"/>
          <w:szCs w:val="16"/>
          <w:color w:val="auto"/>
        </w:rPr>
      </w:pPr>
    </w:p>
    <w:p>
      <w:pPr>
        <w:ind w:left="720" w:right="140" w:hanging="311"/>
        <w:spacing w:after="0" w:line="287"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compete successfully could materially and adversely affect our business, results of operations, financial condition and future prospects.</w:t>
      </w:r>
    </w:p>
    <w:p>
      <w:pPr>
        <w:spacing w:after="0" w:line="46" w:lineRule="exact"/>
        <w:rPr>
          <w:rFonts w:ascii="Arial" w:cs="Arial" w:eastAsia="Arial" w:hAnsi="Arial"/>
          <w:sz w:val="16"/>
          <w:szCs w:val="16"/>
          <w:color w:val="auto"/>
        </w:rPr>
      </w:pPr>
    </w:p>
    <w:p>
      <w:pPr>
        <w:ind w:left="720" w:hanging="311"/>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18" w:lineRule="exact"/>
        <w:rPr>
          <w:rFonts w:ascii="Arial" w:cs="Arial" w:eastAsia="Arial" w:hAnsi="Arial"/>
          <w:sz w:val="16"/>
          <w:szCs w:val="16"/>
          <w:color w:val="auto"/>
        </w:rPr>
      </w:pPr>
    </w:p>
    <w:p>
      <w:pPr>
        <w:ind w:left="720" w:right="46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59" w:lineRule="exact"/>
        <w:rPr>
          <w:rFonts w:ascii="Arial" w:cs="Arial" w:eastAsia="Arial" w:hAnsi="Arial"/>
          <w:sz w:val="16"/>
          <w:szCs w:val="16"/>
          <w:color w:val="auto"/>
        </w:rPr>
      </w:pPr>
    </w:p>
    <w:p>
      <w:pPr>
        <w:ind w:left="720" w:hanging="311"/>
        <w:spacing w:after="0" w:line="263"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spacing w:after="0" w:line="79" w:lineRule="exact"/>
        <w:rPr>
          <w:rFonts w:ascii="Arial" w:cs="Arial" w:eastAsia="Arial" w:hAnsi="Arial"/>
          <w:sz w:val="16"/>
          <w:szCs w:val="16"/>
          <w:color w:val="auto"/>
        </w:rPr>
      </w:pPr>
    </w:p>
    <w:p>
      <w:pPr>
        <w:ind w:left="720" w:right="16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and success depends in part on our strategic relationships with third-parties, including our partner ecosystem, and our business would be harmed if we fail to maintain or expand these relationships.</w:t>
      </w:r>
    </w:p>
    <w:p>
      <w:pPr>
        <w:spacing w:after="0" w:line="59" w:lineRule="exact"/>
        <w:rPr>
          <w:rFonts w:ascii="Arial" w:cs="Arial" w:eastAsia="Arial" w:hAnsi="Arial"/>
          <w:sz w:val="16"/>
          <w:szCs w:val="16"/>
          <w:color w:val="auto"/>
        </w:rPr>
      </w:pPr>
    </w:p>
    <w:p>
      <w:pPr>
        <w:jc w:val="both"/>
        <w:ind w:left="720" w:right="40" w:hanging="311"/>
        <w:spacing w:after="0" w:line="263"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79" w:lineRule="exact"/>
        <w:rPr>
          <w:rFonts w:ascii="Arial" w:cs="Arial" w:eastAsia="Arial" w:hAnsi="Arial"/>
          <w:sz w:val="16"/>
          <w:szCs w:val="16"/>
          <w:color w:val="auto"/>
        </w:rPr>
      </w:pPr>
    </w:p>
    <w:p>
      <w:pPr>
        <w:ind w:left="720" w:right="480" w:hanging="311"/>
        <w:spacing w:after="0" w:line="270"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restatement may affect investor confidence and raise reputational issues and may subject us to additional risks and uncertainties, including increased professional costs and the increased possibility of legal proceedings and regulatory inquiries.</w:t>
      </w:r>
    </w:p>
    <w:p>
      <w:pPr>
        <w:spacing w:after="0" w:line="59" w:lineRule="exact"/>
        <w:rPr>
          <w:rFonts w:ascii="Arial" w:cs="Arial" w:eastAsia="Arial" w:hAnsi="Arial"/>
          <w:sz w:val="16"/>
          <w:szCs w:val="16"/>
          <w:color w:val="auto"/>
        </w:rPr>
      </w:pPr>
    </w:p>
    <w:p>
      <w:pPr>
        <w:jc w:val="both"/>
        <w:ind w:left="720" w:right="60" w:hanging="311"/>
        <w:spacing w:after="0" w:line="261"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108"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This Annual Report on Form 10-K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Part I</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Mission</w:t>
      </w:r>
    </w:p>
    <w:p>
      <w:pPr>
        <w:spacing w:after="0" w:line="108"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Our mission is to democratize law. We believe every business deserves the full protection of the legal system and a simple way to stay compliant with it. Our platform helps new businesses form. Once a small business is formed, we offer subscription services to protect the business, its ideas, and the families that create them. LegalZoom empowers small business owners to apply their energy and passion to their businesses instead of the legal and regulatory complexity required to operate them.</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108" w:lineRule="exact"/>
        <w:rPr>
          <w:sz w:val="20"/>
          <w:szCs w:val="20"/>
          <w:color w:val="auto"/>
        </w:rPr>
      </w:pPr>
    </w:p>
    <w:p>
      <w:pPr>
        <w:ind w:right="80" w:firstLine="395"/>
        <w:spacing w:after="0" w:line="256" w:lineRule="auto"/>
        <w:rPr>
          <w:sz w:val="20"/>
          <w:szCs w:val="20"/>
          <w:color w:val="auto"/>
        </w:rPr>
      </w:pPr>
      <w:r>
        <w:rPr>
          <w:rFonts w:ascii="Arial" w:cs="Arial" w:eastAsia="Arial" w:hAnsi="Arial"/>
          <w:sz w:val="16"/>
          <w:szCs w:val="16"/>
          <w:color w:val="auto"/>
        </w:rPr>
        <w:t>LegalZoom is a leading online platform for legal and compliance solutions in the United States, or U.S. Our unique position at business inception allows us to become a trusted business advisor, supporting the evolving needs of a new business across its lifecycle. Along with formation, LegalZoom offerings include ongoing compliance and tax advice and filings, virtual mailbox solutions, trademark filings, and estate plans. We operate across all 50 states and over 3,000 counties in the U.S., and have more than 20 years of experience navigating complex regulation and simplifying the legal and compliance process for our customers.</w:t>
      </w:r>
    </w:p>
    <w:p>
      <w:pPr>
        <w:spacing w:after="0" w:line="71"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Many small businesses operate without forming a legal entity, unintentionally introducing financial risk to the owners’ personal assets. The businesses that recognize that risk upfront often struggle to address it. Once they understand the need to be protected, they often do not know what to do, where to turn or how much it will cost to get help. Even when formed properly, small businesses often fail to comply with ongoing compliance requirements, thereby reintroducing personal liability or facing significant financial and operational risk. Furthermore, these difficulties are becoming more acute as the number of U.S. business formations increase, driven by various macroeconomic factors such as the rise of the gig economy and remote work, accentuating the need for a trusted, cost-effective, digital-first and simple legal and compliance solution.</w:t>
      </w:r>
    </w:p>
    <w:p>
      <w:pPr>
        <w:spacing w:after="0" w:line="73" w:lineRule="exact"/>
        <w:rPr>
          <w:sz w:val="20"/>
          <w:szCs w:val="20"/>
          <w:color w:val="auto"/>
        </w:rPr>
      </w:pPr>
    </w:p>
    <w:p>
      <w:pPr>
        <w:ind w:right="20" w:firstLine="395"/>
        <w:spacing w:after="0" w:line="271" w:lineRule="auto"/>
        <w:rPr>
          <w:sz w:val="20"/>
          <w:szCs w:val="20"/>
          <w:color w:val="auto"/>
        </w:rPr>
      </w:pPr>
      <w:r>
        <w:rPr>
          <w:rFonts w:ascii="Arial" w:cs="Arial" w:eastAsia="Arial" w:hAnsi="Arial"/>
          <w:sz w:val="15"/>
          <w:szCs w:val="15"/>
          <w:color w:val="auto"/>
        </w:rPr>
        <w:t>Our platform combines the power of technology and people to demystify and simplify complicated processes, creating user-friendly experiences for our customers. Our proprietary technology enables us to automate many complex legal and compliance processes, allowing us to offer solutions at transparent, flat-fee prices that are at a significant discount to traditional offline alternatives. While the majority of our customers complete these transactions without human assistance, many prefer to have some guidance through the process. The combination of technology and people is at the heart of our unique customer experience. For our customers looking for general help, our customer care and sales organization is available for real-time guidance on how to use our services. For customers preferring credentialed assistance, we embed the option for them to retain attorneys and certified public accountants, or CPAs, from the beginning of the customer journey. In addition, our unique and trusted position at business formation gives us unparalleled knowledge of our customers’ needs prior to the business being operational or discoverable by other service providers. We leverage this valuable knowledge and our position as a small business’ first advisor to introduce our customers to the most relevant business solutions within our partner ecosystem to help them run other aspects of their business.</w:t>
      </w:r>
    </w:p>
    <w:p>
      <w:pPr>
        <w:spacing w:after="0" w:line="63" w:lineRule="exact"/>
        <w:rPr>
          <w:sz w:val="20"/>
          <w:szCs w:val="20"/>
          <w:color w:val="auto"/>
        </w:rPr>
      </w:pPr>
    </w:p>
    <w:p>
      <w:pPr>
        <w:ind w:right="160" w:firstLine="395"/>
        <w:spacing w:after="0" w:line="256" w:lineRule="auto"/>
        <w:rPr>
          <w:sz w:val="20"/>
          <w:szCs w:val="20"/>
          <w:color w:val="auto"/>
        </w:rPr>
      </w:pPr>
      <w:r>
        <w:rPr>
          <w:rFonts w:ascii="Arial" w:cs="Arial" w:eastAsia="Arial" w:hAnsi="Arial"/>
          <w:sz w:val="16"/>
          <w:szCs w:val="16"/>
          <w:color w:val="auto"/>
        </w:rPr>
        <w:t>We believe we earn small businesses’ trust and drive significant organic traffic through our free proprietary educational content, which is often our first interaction with a potential customer. From there, our small business customers’ initial purchase is typically a formation product that streamlines the process of starting a business. Alongside and after this initial transaction, our customers generally purchase annual subscription services to solve additional legal, compliance and tax needs, deepening our relationship with our customers. With recurring revenue through subscription services and repurchases from existing customers, we continue to benefit from an increasing customer lifetime value.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08"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Millions of people start small businesses every year, a trend driven by digital enablement and the gig economy. Small business owners often do not know that they may face personal liability and tax consequences depending on their business formation decision and many try to figure out legal requirements on their own, often facing regulatory problems for noncompliance. It can be frustrating, time consuming and expensive to navigate multiple layers of legal and compliance requirements. There are structural impediments that make traditional offline attorneys unable to adapt to consumer behaviors and technology advancements. While service industries like accounting, tax, marketing and payments have rapidly transitioned online, legal offerings largely remain offline. Online adoption of legal services lags behind other comparable industries. The gap between a small business owner’s legal and compliance needs and available offline solutions is widening. The challenges associated with traditional offline “do it yourself” or “find an expert” options are becoming relatively worse as service level expectations increase as a result of small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enablement in other industries. Technological advances are transforming consumer expectations for professional services.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121"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We operate in a very competitive industry. We face intense competition from offline law firms and attorneys, online legal document services, legal plans, secretaries of state, tax preparation companies and other service providers. Law firms and solo attorneys, who provide in-person consultations and are able to provide direct legal advice that we generally cannot offer due to laws and regulations regarding the unauthorized practice of law, or UPL, compete with us offline and have and may develop competing online legal services. However, we previously applied for and received a license to operate as an alternative business structure, or ABS, in Arizona, which allows corporate entities to become licensed providers of reserved legal activities in that jurisdiction. As a result, our Arizona ABS is able to compete directly with more traditional offline law firms and solo attorneys. We also compete in the registered agent services business with several companies that target small businesses. In addition, certain U.S. states, including Nevada, California and Louisiana, offer online portals where consumers may file their articles of organization for free, other than filing fees.</w:t>
      </w:r>
    </w:p>
    <w:p>
      <w:pPr>
        <w:spacing w:after="0" w:line="79"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Our direct and indirect competitors, whether they are online legal document providers, legal plan providers, law firms, accounting firms, solo attorneys or large internet providers, may also be developing innovative and cost-effective services that target our existing and potential customers. In recent years, we have seen certain online competitors target more price conscious customers by offering business formation transactions at little or no charge while cross-selling subscription compliance services. We expect to face increasing competition from offline and online legal services providers in our market, and our failure to effectively compete with these providers could result in revenue reductions, reduced margins, and loss of market share, any of which could materially and adversely affect our business, results of operations, financial condition and future prospects.</w:t>
      </w:r>
    </w:p>
    <w:p>
      <w:pPr>
        <w:spacing w:after="0" w:line="73" w:lineRule="exact"/>
        <w:rPr>
          <w:sz w:val="20"/>
          <w:szCs w:val="20"/>
          <w:color w:val="auto"/>
        </w:rPr>
      </w:pPr>
    </w:p>
    <w:p>
      <w:pPr>
        <w:ind w:right="180" w:firstLine="395"/>
        <w:spacing w:after="0" w:line="287" w:lineRule="auto"/>
        <w:rPr>
          <w:sz w:val="20"/>
          <w:szCs w:val="20"/>
          <w:color w:val="auto"/>
        </w:rPr>
      </w:pPr>
      <w:r>
        <w:rPr>
          <w:rFonts w:ascii="Arial" w:cs="Arial" w:eastAsia="Arial" w:hAnsi="Arial"/>
          <w:sz w:val="16"/>
          <w:szCs w:val="16"/>
          <w:color w:val="auto"/>
        </w:rPr>
        <w:t>We believe competitive factors for our services include ease of use, breadth of offerings, brand name recognition, reputation, price, quality and customer service and that we compare favorably on all these bases.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08" w:lineRule="exact"/>
        <w:rPr>
          <w:sz w:val="20"/>
          <w:szCs w:val="20"/>
          <w:color w:val="auto"/>
        </w:rPr>
      </w:pPr>
    </w:p>
    <w:p>
      <w:pPr>
        <w:ind w:right="140" w:firstLine="395"/>
        <w:spacing w:after="0" w:line="287" w:lineRule="auto"/>
        <w:rPr>
          <w:sz w:val="20"/>
          <w:szCs w:val="20"/>
          <w:color w:val="auto"/>
        </w:rPr>
      </w:pPr>
      <w:r>
        <w:rPr>
          <w:rFonts w:ascii="Arial" w:cs="Arial" w:eastAsia="Arial" w:hAnsi="Arial"/>
          <w:sz w:val="16"/>
          <w:szCs w:val="16"/>
          <w:color w:val="auto"/>
        </w:rPr>
        <w:t>We are in the early stages of penetrating and growing the online market for small business legal and compliance services. We expect to continue to grow our customer base and retain and expand our customer relationships following formation with the following strategies:</w:t>
      </w:r>
    </w:p>
    <w:p>
      <w:pPr>
        <w:spacing w:after="0" w:line="47"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b w:val="1"/>
          <w:bCs w:val="1"/>
          <w:i w:val="1"/>
          <w:iCs w:val="1"/>
          <w:color w:val="auto"/>
        </w:rPr>
        <w:t xml:space="preserve">Grow our customer base. </w:t>
      </w:r>
      <w:r>
        <w:rPr>
          <w:rFonts w:ascii="Arial" w:cs="Arial" w:eastAsia="Arial" w:hAnsi="Arial"/>
          <w:sz w:val="16"/>
          <w:szCs w:val="16"/>
          <w:color w:val="auto"/>
        </w:rPr>
        <w:t>We continue to grow the top of our funnel and improve our customer experience in order to grow our customer base.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accelerate growth, we intend to continue to invest in our brand to increase awareness of the protection that legal and compliance services offer small businesses, and the ease and affordability of our platform. We also intend to broaden our customer top of funnel through the introduction of lower-priced products and services targeting more price-sensitive customer segments. Finally, we continue to partner with leading brands that can help our small business customers and improve our partner ecosystem. As we attract more visitors to our website, we believe that we have a large opportunity to increase conversion of prospects into customers.</w:t>
      </w:r>
    </w:p>
    <w:p>
      <w:pPr>
        <w:spacing w:after="0" w:line="86" w:lineRule="exact"/>
        <w:rPr>
          <w:sz w:val="20"/>
          <w:szCs w:val="20"/>
          <w:color w:val="auto"/>
        </w:rPr>
      </w:pPr>
    </w:p>
    <w:p>
      <w:pPr>
        <w:ind w:right="160" w:firstLine="395"/>
        <w:spacing w:after="0" w:line="270" w:lineRule="auto"/>
        <w:rPr>
          <w:sz w:val="20"/>
          <w:szCs w:val="20"/>
          <w:color w:val="auto"/>
        </w:rPr>
      </w:pPr>
      <w:r>
        <w:rPr>
          <w:rFonts w:ascii="Arial" w:cs="Arial" w:eastAsia="Arial" w:hAnsi="Arial"/>
          <w:sz w:val="16"/>
          <w:szCs w:val="16"/>
          <w:b w:val="1"/>
          <w:bCs w:val="1"/>
          <w:i w:val="1"/>
          <w:iCs w:val="1"/>
          <w:color w:val="auto"/>
        </w:rPr>
        <w:t xml:space="preserve">Retain and expand our customer relationships following formation. </w:t>
      </w:r>
      <w:r>
        <w:rPr>
          <w:rFonts w:ascii="Arial" w:cs="Arial" w:eastAsia="Arial" w:hAnsi="Arial"/>
          <w:sz w:val="16"/>
          <w:szCs w:val="16"/>
          <w:color w:val="auto"/>
        </w:rPr>
        <w:t>As we innovate for small businesses, we aim to become their trusted partner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In order to do this, we intend to:</w:t>
      </w:r>
    </w:p>
    <w:p>
      <w:pPr>
        <w:spacing w:after="0" w:line="60" w:lineRule="exact"/>
        <w:rPr>
          <w:sz w:val="20"/>
          <w:szCs w:val="20"/>
          <w:color w:val="auto"/>
        </w:rPr>
      </w:pPr>
    </w:p>
    <w:p>
      <w:pPr>
        <w:ind w:left="720" w:right="360" w:hanging="311"/>
        <w:spacing w:after="0" w:line="287" w:lineRule="auto"/>
        <w:tabs>
          <w:tab w:leader="none" w:pos="7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Launch adjacent services. </w:t>
      </w:r>
      <w:r>
        <w:rPr>
          <w:rFonts w:ascii="Arial" w:cs="Arial" w:eastAsia="Arial" w:hAnsi="Arial"/>
          <w:sz w:val="16"/>
          <w:szCs w:val="16"/>
          <w:color w:val="auto"/>
        </w:rPr>
        <w:t>Our strategy is to meaningfully expand our product line to offer a solution for the majority of small business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needs.</w:t>
      </w:r>
    </w:p>
    <w:p>
      <w:pPr>
        <w:spacing w:after="0" w:line="46" w:lineRule="exact"/>
        <w:rPr>
          <w:rFonts w:ascii="Arial" w:cs="Arial" w:eastAsia="Arial" w:hAnsi="Arial"/>
          <w:sz w:val="16"/>
          <w:szCs w:val="16"/>
          <w:color w:val="auto"/>
        </w:rPr>
      </w:pPr>
    </w:p>
    <w:p>
      <w:pPr>
        <w:ind w:left="720" w:right="260" w:hanging="311"/>
        <w:spacing w:after="0" w:line="287" w:lineRule="auto"/>
        <w:tabs>
          <w:tab w:leader="none" w:pos="7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Partner to offer our customers broader ecosystem solutions. </w:t>
      </w:r>
      <w:r>
        <w:rPr>
          <w:rFonts w:ascii="Arial" w:cs="Arial" w:eastAsia="Arial" w:hAnsi="Arial"/>
          <w:sz w:val="16"/>
          <w:szCs w:val="16"/>
          <w:color w:val="auto"/>
        </w:rPr>
        <w:t>We plan to offer additional access to third-party solutions to further support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needs in areas such as banking, payments, payroll, accounting, and website hosting.</w:t>
      </w:r>
    </w:p>
    <w:p>
      <w:pPr>
        <w:spacing w:after="0" w:line="46" w:lineRule="exact"/>
        <w:rPr>
          <w:rFonts w:ascii="Arial" w:cs="Arial" w:eastAsia="Arial" w:hAnsi="Arial"/>
          <w:sz w:val="16"/>
          <w:szCs w:val="16"/>
          <w:color w:val="auto"/>
        </w:rPr>
      </w:pPr>
    </w:p>
    <w:p>
      <w:pPr>
        <w:ind w:left="720" w:hanging="311"/>
        <w:spacing w:after="0" w:line="263" w:lineRule="auto"/>
        <w:tabs>
          <w:tab w:leader="none" w:pos="7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customer lifetime value. </w:t>
      </w:r>
      <w:r>
        <w:rPr>
          <w:rFonts w:ascii="Arial" w:cs="Arial" w:eastAsia="Arial" w:hAnsi="Arial"/>
          <w:sz w:val="16"/>
          <w:szCs w:val="16"/>
          <w:color w:val="auto"/>
        </w:rPr>
        <w:t>We plan to continue to improve the lifetime value of our customers, particularly by increasing retention of our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subscribers through maintaining engagement post-purchase, adding new solutions to serve additional needs, and improving lifecycle marketing to increase retention rates.</w:t>
      </w:r>
    </w:p>
    <w:p>
      <w:pPr>
        <w:spacing w:after="0" w:line="66" w:lineRule="exact"/>
        <w:rPr>
          <w:rFonts w:ascii="Arial" w:cs="Arial" w:eastAsia="Arial" w:hAnsi="Arial"/>
          <w:sz w:val="16"/>
          <w:szCs w:val="16"/>
          <w:color w:val="auto"/>
        </w:rPr>
      </w:pPr>
    </w:p>
    <w:p>
      <w:pPr>
        <w:ind w:left="720" w:right="40" w:hanging="311"/>
        <w:spacing w:after="0" w:line="255" w:lineRule="auto"/>
        <w:tabs>
          <w:tab w:leader="none" w:pos="70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market opportunity by introducing a new tier of higher-value assisted offerings. </w:t>
      </w:r>
      <w:r>
        <w:rPr>
          <w:rFonts w:ascii="Arial" w:cs="Arial" w:eastAsia="Arial" w:hAnsi="Arial"/>
          <w:sz w:val="16"/>
          <w:szCs w:val="16"/>
          <w:color w:val="auto"/>
        </w:rPr>
        <w:t>We aim to reduce peoples’ uncertainty and doubt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about forming a business on their own by offering “assisted” solutions alongside our “do it yourself” offerings for their legal and compliance needs. We plan to provide more value to our customers from existing product lines by adding a tier of attorney assisted solutions and continuing to expand our professional-assisted offerings to complement our technology-enabled solutions.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Services</w:t>
      </w:r>
    </w:p>
    <w:p>
      <w:pPr>
        <w:spacing w:after="0" w:line="108" w:lineRule="exact"/>
        <w:rPr>
          <w:sz w:val="20"/>
          <w:szCs w:val="20"/>
          <w:color w:val="auto"/>
        </w:rPr>
      </w:pPr>
    </w:p>
    <w:p>
      <w:pPr>
        <w:ind w:right="340" w:firstLine="395"/>
        <w:spacing w:after="0" w:line="255" w:lineRule="auto"/>
        <w:rPr>
          <w:sz w:val="20"/>
          <w:szCs w:val="20"/>
          <w:color w:val="auto"/>
        </w:rPr>
      </w:pPr>
      <w:r>
        <w:rPr>
          <w:rFonts w:ascii="Arial" w:cs="Arial" w:eastAsia="Arial" w:hAnsi="Arial"/>
          <w:sz w:val="16"/>
          <w:szCs w:val="16"/>
          <w:color w:val="auto"/>
        </w:rPr>
        <w:t>We help customers form their businesses, protect their ideas, stay compliant and scale their operations. Our products and services include business formations, creating estate planning documents, protecting intellectual property, completing certain forms and agreements, providing access to independent attorney advice, and connecting customers with experts for tax preparation services. The primary driver of new customers is small business formation transactions, and at that moment we aim to start a deeper relationship reflected in bundled subscription services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6"/>
          <w:szCs w:val="16"/>
          <w:color w:val="auto"/>
        </w:rPr>
        <w:t>partner offerings. This combination creates a suite of legal and compliance solutions that are relevant for our customers’ ongoing needs. We also have a partner ecosystem that enables us to offer third-party services to our customers and to offer our services to our partners’ customers.</w:t>
      </w:r>
    </w:p>
    <w:p>
      <w:pPr>
        <w:sectPr>
          <w:pgSz w:w="11900" w:h="16838" w:orient="portrait"/>
          <w:cols w:equalWidth="0" w:num="1">
            <w:col w:w="11160"/>
          </w:cols>
          <w:pgMar w:left="320" w:top="1022" w:right="41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products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transaction products are listed in the following table:</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Transaction Products for Small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534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Formation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Limited Liability Company (LLC)</w:t>
      </w:r>
    </w:p>
    <w:p>
      <w:pPr>
        <w:ind w:left="20"/>
        <w:spacing w:after="0"/>
        <w:rPr>
          <w:sz w:val="20"/>
          <w:szCs w:val="20"/>
          <w:color w:val="auto"/>
        </w:rPr>
      </w:pPr>
      <w:r>
        <w:rPr>
          <w:rFonts w:ascii="Arial" w:cs="Arial" w:eastAsia="Arial" w:hAnsi="Arial"/>
          <w:sz w:val="16"/>
          <w:szCs w:val="16"/>
          <w:color w:val="auto"/>
        </w:rPr>
        <w:t>Incorporation of C and S Corporations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Nonprofit Formation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Doing-Business-As (DBA)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Changes and Filings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Business Licenses</w:t>
      </w:r>
    </w:p>
    <w:p>
      <w:pPr>
        <w:ind w:left="20"/>
        <w:spacing w:after="0"/>
        <w:rPr>
          <w:sz w:val="20"/>
          <w:szCs w:val="20"/>
          <w:color w:val="auto"/>
        </w:rPr>
      </w:pPr>
      <w:r>
        <w:rPr>
          <w:rFonts w:ascii="Arial" w:cs="Arial" w:eastAsia="Arial" w:hAnsi="Arial"/>
          <w:sz w:val="16"/>
          <w:szCs w:val="16"/>
          <w:color w:val="auto"/>
        </w:rPr>
        <w:t>Legal Forms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Intellectual Property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Trademark Application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Copyright Registration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Provisional Patent Application</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Tax Services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Business and Personal Tax Preparation</w:t>
      </w:r>
    </w:p>
    <w:p>
      <w:pPr>
        <w:ind w:left="20"/>
        <w:spacing w:after="0"/>
        <w:rPr>
          <w:sz w:val="20"/>
          <w:szCs w:val="20"/>
          <w:color w:val="auto"/>
        </w:rPr>
      </w:pPr>
      <w:r>
        <w:rPr>
          <w:rFonts w:ascii="Arial" w:cs="Arial" w:eastAsia="Arial" w:hAnsi="Arial"/>
          <w:sz w:val="16"/>
          <w:szCs w:val="16"/>
          <w:color w:val="auto"/>
        </w:rPr>
        <w:t>Tax Advice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services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primary subscription services are listed in the following table:</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Small Business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534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Registered Agent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Compliance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Attorney Advice through our Legal Plans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Advice and Preparation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Accounting and Payroll</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Legal Forms</w:t>
      </w:r>
    </w:p>
    <w:p>
      <w:pPr>
        <w:ind w:left="20"/>
        <w:spacing w:after="0"/>
        <w:rPr>
          <w:sz w:val="20"/>
          <w:szCs w:val="20"/>
          <w:color w:val="auto"/>
        </w:rPr>
      </w:pPr>
      <w:r>
        <w:rPr>
          <w:rFonts w:ascii="Arial" w:cs="Arial" w:eastAsia="Arial" w:hAnsi="Arial"/>
          <w:sz w:val="16"/>
          <w:szCs w:val="16"/>
          <w:color w:val="auto"/>
        </w:rPr>
        <w:t>Virtual Mail and Check Deposit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Products for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33020</wp:posOffset>
            </wp:positionV>
            <wp:extent cx="35426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6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Estate Planning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Last Will and Testament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Living Will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Living Trust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Power of Attorney</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Legal Matters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Name Change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Real Estate Deed Transfer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Real Estate Leases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Legal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3542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266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Attorney Advice through our Legal Plans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Estate Planning Bundle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Legal Forms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Virtual Mail and Check Deposit Services</w:t>
      </w:r>
    </w:p>
    <w:p>
      <w:pPr>
        <w:spacing w:after="0" w:line="777" w:lineRule="exact"/>
        <w:rPr>
          <w:sz w:val="20"/>
          <w:szCs w:val="20"/>
          <w:color w:val="auto"/>
        </w:rPr>
      </w:pPr>
    </w:p>
    <w:p>
      <w:pPr>
        <w:sectPr>
          <w:pgSz w:w="11900" w:h="16838" w:orient="portrait"/>
          <w:cols w:equalWidth="0" w:num="2">
            <w:col w:w="4960" w:space="720"/>
            <w:col w:w="5480"/>
          </w:cols>
          <w:pgMar w:left="320" w:top="1022" w:right="419" w:bottom="1440" w:gutter="0" w:footer="0" w:header="0"/>
          <w:type w:val="continuous"/>
        </w:sectPr>
      </w:pPr>
    </w:p>
    <w:p>
      <w:pPr>
        <w:spacing w:after="0" w:line="21" w:lineRule="exact"/>
        <w:rPr>
          <w:sz w:val="20"/>
          <w:szCs w:val="20"/>
          <w:color w:val="auto"/>
        </w:rPr>
      </w:pPr>
    </w:p>
    <w:p>
      <w:pPr>
        <w:ind w:right="40" w:firstLine="395"/>
        <w:spacing w:after="0" w:line="279" w:lineRule="auto"/>
        <w:rPr>
          <w:sz w:val="20"/>
          <w:szCs w:val="20"/>
          <w:color w:val="auto"/>
        </w:rPr>
      </w:pPr>
      <w:r>
        <w:rPr>
          <w:rFonts w:ascii="Arial" w:cs="Arial" w:eastAsia="Arial" w:hAnsi="Arial"/>
          <w:sz w:val="15"/>
          <w:szCs w:val="15"/>
          <w:b w:val="1"/>
          <w:bCs w:val="1"/>
          <w:i w:val="1"/>
          <w:iCs w:val="1"/>
          <w:color w:val="auto"/>
        </w:rPr>
        <w:t>Registered agent subscriptions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most states, a business entity, such as an LLC or corporation, is required to appoint and maintain a registered agent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its state of formation to receive service of process and official government communications. The entity must disclose the address of its appointed registered agent and, in many states, the registered agent must be available during business hours. This requirement can be burdensome for many small businesses to handle on their own. Our registered agent services receive, process, and forward served legal documents digitally or physically to the customer.</w:t>
      </w:r>
    </w:p>
    <w:p>
      <w:pPr>
        <w:spacing w:after="0" w:line="53" w:lineRule="exact"/>
        <w:rPr>
          <w:sz w:val="20"/>
          <w:szCs w:val="20"/>
          <w:color w:val="auto"/>
        </w:rPr>
      </w:pPr>
    </w:p>
    <w:p>
      <w:pPr>
        <w:jc w:val="both"/>
        <w:ind w:right="180" w:firstLine="395"/>
        <w:spacing w:after="0" w:line="265" w:lineRule="auto"/>
        <w:rPr>
          <w:sz w:val="20"/>
          <w:szCs w:val="20"/>
          <w:color w:val="auto"/>
        </w:rPr>
      </w:pPr>
      <w:r>
        <w:rPr>
          <w:rFonts w:ascii="Arial" w:cs="Arial" w:eastAsia="Arial" w:hAnsi="Arial"/>
          <w:sz w:val="16"/>
          <w:szCs w:val="16"/>
          <w:b w:val="1"/>
          <w:bCs w:val="1"/>
          <w:i w:val="1"/>
          <w:iCs w:val="1"/>
          <w:color w:val="auto"/>
        </w:rPr>
        <w:t>Compliance subscriptions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compliance subscriptions provide assistance with state-mandated regulatory filings, such as tax returns and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reports that are required to keep a business entity in good standing. The subscription plans also monitor the status of our customers’ businesses with certain state agencies and provide alerts to notify them if they fall out of good standing as well as to stay abreast of important deadlines.</w:t>
      </w:r>
    </w:p>
    <w:p>
      <w:pPr>
        <w:spacing w:after="0" w:line="62" w:lineRule="exact"/>
        <w:rPr>
          <w:sz w:val="20"/>
          <w:szCs w:val="20"/>
          <w:color w:val="auto"/>
        </w:rPr>
      </w:pPr>
    </w:p>
    <w:p>
      <w:pPr>
        <w:ind w:right="320" w:firstLine="395"/>
        <w:spacing w:after="0" w:line="265" w:lineRule="auto"/>
        <w:rPr>
          <w:sz w:val="20"/>
          <w:szCs w:val="20"/>
          <w:color w:val="auto"/>
        </w:rPr>
      </w:pPr>
      <w:r>
        <w:rPr>
          <w:rFonts w:ascii="Arial" w:cs="Arial" w:eastAsia="Arial" w:hAnsi="Arial"/>
          <w:sz w:val="16"/>
          <w:szCs w:val="16"/>
          <w:b w:val="1"/>
          <w:bCs w:val="1"/>
          <w:i w:val="1"/>
          <w:iCs w:val="1"/>
          <w:color w:val="auto"/>
        </w:rPr>
        <w:t>Attorney advice subscriptions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small businesses and consumers seeking legal advice, we offer subscription legal plans that provide access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attorneys in all 50 states. These subscriptions also include other benefits, such as access to legal forms, discounts on additional legal services offered by the network attorney, and, in some cases, an annual checkup with the network attorney for estate planning purposes.</w:t>
      </w:r>
    </w:p>
    <w:p>
      <w:pPr>
        <w:spacing w:after="0" w:line="77"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b w:val="1"/>
          <w:bCs w:val="1"/>
          <w:i w:val="1"/>
          <w:iCs w:val="1"/>
          <w:color w:val="auto"/>
        </w:rPr>
        <w:t>Tax subscriptions</w:t>
      </w:r>
      <w:r>
        <w:rPr>
          <w:rFonts w:ascii="Arial" w:cs="Arial" w:eastAsia="Arial" w:hAnsi="Arial"/>
          <w:sz w:val="16"/>
          <w:szCs w:val="16"/>
          <w:color w:val="auto"/>
        </w:rPr>
        <w:t>. We introduced our LegalZoom-fulfilled tax subscription, or LZ Tax, in October 2020. This subscription includes tax advice on essential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matters at both state and federal levels with the option to add tax preparation, as well as advice from a tax expert, either a CPA or an enrolled agent. In addition, our customers receive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type w:val="continuous"/>
        </w:sectPr>
      </w:pPr>
    </w:p>
    <w:bookmarkStart w:id="8" w:name="page9"/>
    <w:bookmarkEnd w:id="8"/>
    <w:p>
      <w:pPr>
        <w:ind w:right="180"/>
        <w:spacing w:after="0" w:line="270" w:lineRule="auto"/>
        <w:rPr>
          <w:sz w:val="20"/>
          <w:szCs w:val="20"/>
          <w:color w:val="auto"/>
        </w:rPr>
      </w:pPr>
      <w:r>
        <w:rPr>
          <w:rFonts w:ascii="Arial" w:cs="Arial" w:eastAsia="Arial" w:hAnsi="Arial"/>
          <w:sz w:val="16"/>
          <w:szCs w:val="16"/>
          <w:color w:val="auto"/>
        </w:rPr>
        <w:t>a consultation included in their formation that includes guidance on their tax strategy, including how to maximize their deductions and income. Our tax services help small businesses get set up right from the beginning to minimize their tax bill.</w:t>
      </w:r>
    </w:p>
    <w:p>
      <w:pPr>
        <w:spacing w:after="0" w:line="60" w:lineRule="exact"/>
        <w:rPr>
          <w:sz w:val="20"/>
          <w:szCs w:val="20"/>
          <w:color w:val="auto"/>
        </w:rPr>
      </w:pPr>
    </w:p>
    <w:p>
      <w:pPr>
        <w:ind w:firstLine="395"/>
        <w:spacing w:after="0" w:line="239" w:lineRule="auto"/>
        <w:rPr>
          <w:sz w:val="20"/>
          <w:szCs w:val="20"/>
          <w:color w:val="auto"/>
        </w:rPr>
      </w:pPr>
      <w:r>
        <w:rPr>
          <w:rFonts w:ascii="Arial" w:cs="Arial" w:eastAsia="Arial" w:hAnsi="Arial"/>
          <w:sz w:val="16"/>
          <w:szCs w:val="16"/>
          <w:b w:val="1"/>
          <w:bCs w:val="1"/>
          <w:i w:val="1"/>
          <w:iCs w:val="1"/>
          <w:color w:val="auto"/>
        </w:rPr>
        <w:t xml:space="preserve">Legal forms and other subscriptions. </w:t>
      </w:r>
      <w:r>
        <w:rPr>
          <w:rFonts w:ascii="Arial" w:cs="Arial" w:eastAsia="Arial" w:hAnsi="Arial"/>
          <w:sz w:val="16"/>
          <w:szCs w:val="16"/>
          <w:color w:val="auto"/>
        </w:rPr>
        <w:t>We offer other subscriptions, including unlimited access to our library of legal forms, electronic storage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LegalZoom documents, and document revisions. Through our acquisition of Revvsales Inc. in October 2022, we plan to enhance our forms library and legal template offerings and integrate e-signature capabilities into our platform. Additionally, we offer subscriptions that enable customers to monitor trademark applications, create meeting minutes for their board of directors’ meetings and monitor compliance calendar deadlines.</w:t>
      </w:r>
    </w:p>
    <w:p>
      <w:pPr>
        <w:spacing w:after="0" w:line="96"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Our subscription agreements generally have annual terms, while some have monthly terms. They are generally non-refundable during their term, including any renewal term, after a 60-day refund period at the beginning of the initial term and any renewal term. They generally automatically renew at the end of each term unless notice of cancellation of the renewal is provided any time in advance of the renewal date. We generally do not issue pro rata refunds outside of the applicable 60-day refund period. Customers can cancel the automatic renewal on our website or by phone. In the case of our subscriptions for registered agent services, the customer needs to appoint a new registered agent for its business in order to complete a cancellation.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Partner ecosystem</w:t>
      </w:r>
    </w:p>
    <w:p>
      <w:pPr>
        <w:spacing w:after="0" w:line="119" w:lineRule="exact"/>
        <w:rPr>
          <w:sz w:val="20"/>
          <w:szCs w:val="20"/>
          <w:color w:val="auto"/>
        </w:rPr>
      </w:pPr>
    </w:p>
    <w:p>
      <w:pPr>
        <w:ind w:right="160" w:firstLine="395"/>
        <w:spacing w:after="0" w:line="263" w:lineRule="auto"/>
        <w:rPr>
          <w:sz w:val="20"/>
          <w:szCs w:val="20"/>
          <w:color w:val="auto"/>
        </w:rPr>
      </w:pPr>
      <w:r>
        <w:rPr>
          <w:rFonts w:ascii="Arial" w:cs="Arial" w:eastAsia="Arial" w:hAnsi="Arial"/>
          <w:sz w:val="16"/>
          <w:szCs w:val="16"/>
          <w:color w:val="auto"/>
        </w:rPr>
        <w:t>We have unique insights into our customers and leverage our product as a channel to introduce small businesses to our partner ecosystem, solving even more of their needs. Our partnering arrangements include reseller models, revenue share, and flat fees earned by introducing small businesses to leading providers of small business services such as banking, credit cards, business licenses, website design, and payment processing.</w:t>
      </w:r>
    </w:p>
    <w:p>
      <w:pPr>
        <w:spacing w:after="0" w:line="66"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In addition to serving small businesses and consumers, we offer a developer platform, including APIs that enable external developers to co-brand or white-label business formation and compliance services with a highly integrated solution. Our enterprise segment customers include both large enterprises and small business platforms with a significant number of users. Our solutions provide large enterprises the ability to manage their multi-entity legal and compliance needs and small business platforms to offer business formation and compliance services to their own customers, either within their own customer experience or by referring the customer to us.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product development</w:t>
      </w:r>
    </w:p>
    <w:p>
      <w:pPr>
        <w:spacing w:after="0" w:line="106" w:lineRule="exact"/>
        <w:rPr>
          <w:sz w:val="20"/>
          <w:szCs w:val="20"/>
          <w:color w:val="auto"/>
        </w:rPr>
      </w:pPr>
    </w:p>
    <w:p>
      <w:pPr>
        <w:ind w:right="40" w:firstLine="395"/>
        <w:spacing w:after="0" w:line="263" w:lineRule="auto"/>
        <w:rPr>
          <w:sz w:val="20"/>
          <w:szCs w:val="20"/>
          <w:color w:val="auto"/>
        </w:rPr>
      </w:pPr>
      <w:r>
        <w:rPr>
          <w:rFonts w:ascii="Arial" w:cs="Arial" w:eastAsia="Arial" w:hAnsi="Arial"/>
          <w:sz w:val="16"/>
          <w:szCs w:val="16"/>
          <w:color w:val="auto"/>
        </w:rPr>
        <w:t>Our product development strategy is focused on reducing friction and increasing conversion across our existing core products and services, expanding our portfolio of new products and services, gaining market share, and strategically deepening customer relationships, including in ways that will make legal and compliance expertise available to our customers and increase our recurring revenue through subscription offerings.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08" w:lineRule="exact"/>
        <w:rPr>
          <w:sz w:val="20"/>
          <w:szCs w:val="20"/>
          <w:color w:val="auto"/>
        </w:rPr>
      </w:pPr>
    </w:p>
    <w:p>
      <w:pPr>
        <w:ind w:right="180" w:firstLine="395"/>
        <w:spacing w:after="0" w:line="253" w:lineRule="auto"/>
        <w:rPr>
          <w:sz w:val="20"/>
          <w:szCs w:val="20"/>
          <w:color w:val="auto"/>
        </w:rPr>
      </w:pPr>
      <w:r>
        <w:rPr>
          <w:rFonts w:ascii="Arial" w:cs="Arial" w:eastAsia="Arial" w:hAnsi="Arial"/>
          <w:sz w:val="16"/>
          <w:szCs w:val="16"/>
          <w:color w:val="auto"/>
        </w:rPr>
        <w:t>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Also, we have historically seen demand for our services decline around the beginning of the third quarter as a result of summer vacations and in the last two months of the fourth quarter as a result of the winter holidays. While the seasonality of our business was impacted by the COVID-19 pandemic throughout 2020 and into 2021, we have since seen a return to more typical historical trends.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121" w:lineRule="exact"/>
        <w:rPr>
          <w:sz w:val="20"/>
          <w:szCs w:val="20"/>
          <w:color w:val="auto"/>
        </w:rPr>
      </w:pPr>
    </w:p>
    <w:p>
      <w:pPr>
        <w:ind w:right="560" w:firstLine="395"/>
        <w:spacing w:after="0" w:line="255" w:lineRule="auto"/>
        <w:rPr>
          <w:sz w:val="20"/>
          <w:szCs w:val="20"/>
          <w:color w:val="auto"/>
        </w:rPr>
      </w:pPr>
      <w:r>
        <w:rPr>
          <w:rFonts w:ascii="Arial" w:cs="Arial" w:eastAsia="Arial" w:hAnsi="Arial"/>
          <w:sz w:val="16"/>
          <w:szCs w:val="16"/>
          <w:color w:val="auto"/>
        </w:rPr>
        <w:t>We have developed a highly scalable and flexible technology platform that enables us to efficiently process thousands of customer orders daily and facilitate seamless interactions with our customers and the independent attorneys participating in our legal network. We devote substantial resources to consistently enhance our technology platform. Key components of our technology are described below.</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Dynamic online questionnaire</w:t>
      </w:r>
    </w:p>
    <w:p>
      <w:pPr>
        <w:spacing w:after="0" w:line="106" w:lineRule="exact"/>
        <w:rPr>
          <w:sz w:val="20"/>
          <w:szCs w:val="20"/>
          <w:color w:val="auto"/>
        </w:rPr>
      </w:pPr>
    </w:p>
    <w:p>
      <w:pPr>
        <w:jc w:val="both"/>
        <w:ind w:right="380" w:firstLine="395"/>
        <w:spacing w:after="0" w:line="263" w:lineRule="auto"/>
        <w:rPr>
          <w:sz w:val="20"/>
          <w:szCs w:val="20"/>
          <w:color w:val="auto"/>
        </w:rPr>
      </w:pPr>
      <w:r>
        <w:rPr>
          <w:rFonts w:ascii="Arial" w:cs="Arial" w:eastAsia="Arial" w:hAnsi="Arial"/>
          <w:sz w:val="16"/>
          <w:szCs w:val="16"/>
          <w:color w:val="auto"/>
        </w:rPr>
        <w:t>Legal documents are populated by our platform through the use of our dynamic online questionnaires. Our customers complete a comprehensive yet intuitive questionnaire that is powered by a rules-based engine to pose questions based on the customer’s legal jurisdiction, location and prior responses to solicit the information needed to comply with local and state laws and regulations.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Document automation</w:t>
      </w:r>
    </w:p>
    <w:p>
      <w:pPr>
        <w:spacing w:after="0" w:line="119" w:lineRule="exact"/>
        <w:rPr>
          <w:sz w:val="20"/>
          <w:szCs w:val="20"/>
          <w:color w:val="auto"/>
        </w:rPr>
      </w:pPr>
    </w:p>
    <w:p>
      <w:pPr>
        <w:ind w:right="20" w:firstLine="395"/>
        <w:spacing w:after="0" w:line="289" w:lineRule="auto"/>
        <w:rPr>
          <w:sz w:val="20"/>
          <w:szCs w:val="20"/>
          <w:color w:val="auto"/>
        </w:rPr>
      </w:pPr>
      <w:r>
        <w:rPr>
          <w:rFonts w:ascii="Arial" w:cs="Arial" w:eastAsia="Arial" w:hAnsi="Arial"/>
          <w:sz w:val="15"/>
          <w:szCs w:val="15"/>
          <w:color w:val="auto"/>
        </w:rPr>
        <w:t>Our technology platform includes complex automation systems that transfer customer responses into many state or county-specific templates to generate customized legal documents. Our automation unifies the various methods used by states and counties to form businesses into a single easy-to-understand customer experience. We use straight through processing for several products, which has enabled us to deliver the documents to the customer in near real-time.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Compliance platform</w:t>
      </w:r>
    </w:p>
    <w:p>
      <w:pPr>
        <w:spacing w:after="0" w:line="106" w:lineRule="exact"/>
        <w:rPr>
          <w:sz w:val="20"/>
          <w:szCs w:val="20"/>
          <w:color w:val="auto"/>
        </w:rPr>
      </w:pPr>
    </w:p>
    <w:p>
      <w:pPr>
        <w:jc w:val="both"/>
        <w:ind w:right="260" w:firstLine="395"/>
        <w:spacing w:after="0" w:line="263" w:lineRule="auto"/>
        <w:rPr>
          <w:sz w:val="20"/>
          <w:szCs w:val="20"/>
          <w:color w:val="auto"/>
        </w:rPr>
      </w:pPr>
      <w:r>
        <w:rPr>
          <w:rFonts w:ascii="Arial" w:cs="Arial" w:eastAsia="Arial" w:hAnsi="Arial"/>
          <w:sz w:val="16"/>
          <w:szCs w:val="16"/>
          <w:color w:val="auto"/>
        </w:rPr>
        <w:t>We have built a system to notify our customers of upcoming compliance milestones and associated requirements. Additionally, for our registered agent subscribers, we have a system of receiving, scanning, sorting, and labeling documents from state agencies across the country that leverages technology to quickly deliver physical and electronic copies to our customer.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Robust CRM platform</w:t>
      </w:r>
    </w:p>
    <w:p>
      <w:pPr>
        <w:spacing w:after="0" w:line="106"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Our account executives, customer care and sales organization, fulfillment specialists, and tax advisors leverage a multi-channel customer relationship management platform, powered by integrating a variety of tier one contact center technologies. The platform is integrated within our production and fulfillment systems and enables us to support customers through communications via multiple channels including our websites, email, text, phone, online chat, and our mobile applications.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Scalable and secure infrastructure</w:t>
      </w:r>
    </w:p>
    <w:p>
      <w:pPr>
        <w:spacing w:after="0" w:line="106" w:lineRule="exact"/>
        <w:rPr>
          <w:sz w:val="20"/>
          <w:szCs w:val="20"/>
          <w:color w:val="auto"/>
        </w:rPr>
      </w:pPr>
    </w:p>
    <w:p>
      <w:pPr>
        <w:ind w:right="360" w:firstLine="395"/>
        <w:spacing w:after="0" w:line="263" w:lineRule="auto"/>
        <w:rPr>
          <w:sz w:val="20"/>
          <w:szCs w:val="20"/>
          <w:color w:val="auto"/>
        </w:rPr>
      </w:pPr>
      <w:r>
        <w:rPr>
          <w:rFonts w:ascii="Arial" w:cs="Arial" w:eastAsia="Arial" w:hAnsi="Arial"/>
          <w:sz w:val="16"/>
          <w:szCs w:val="16"/>
          <w:color w:val="auto"/>
        </w:rPr>
        <w:t>Our platform resides on a combination of on-premises infrastructure and best-in-class public cloud-based platforms. Our platform is highly scalable to accommodate an increasing volume of customer orders. We have designed our websites to be highly intuitive and secure using proprietary software and commercially supported tools.</w:t>
      </w:r>
    </w:p>
    <w:p>
      <w:pPr>
        <w:spacing w:after="0" w:line="66" w:lineRule="exact"/>
        <w:rPr>
          <w:sz w:val="20"/>
          <w:szCs w:val="20"/>
          <w:color w:val="auto"/>
        </w:rPr>
      </w:pPr>
    </w:p>
    <w:p>
      <w:pPr>
        <w:ind w:right="380" w:firstLine="395"/>
        <w:spacing w:after="0" w:line="270" w:lineRule="auto"/>
        <w:rPr>
          <w:sz w:val="20"/>
          <w:szCs w:val="20"/>
          <w:color w:val="auto"/>
        </w:rPr>
      </w:pPr>
      <w:r>
        <w:rPr>
          <w:rFonts w:ascii="Arial" w:cs="Arial" w:eastAsia="Arial" w:hAnsi="Arial"/>
          <w:sz w:val="16"/>
          <w:szCs w:val="16"/>
          <w:color w:val="auto"/>
        </w:rPr>
        <w:t>Our website allows users to access the same content on our platform from their laptops, tablets, or smart phones. We also maintain apps on iOS and Android that make it easy for customers to access their documents, schedule consultations, and get status updates on their orders.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08" w:lineRule="exact"/>
        <w:rPr>
          <w:sz w:val="20"/>
          <w:szCs w:val="20"/>
          <w:color w:val="auto"/>
        </w:rPr>
      </w:pPr>
    </w:p>
    <w:p>
      <w:pPr>
        <w:ind w:right="20" w:firstLine="395"/>
        <w:spacing w:after="0" w:line="263" w:lineRule="auto"/>
        <w:rPr>
          <w:sz w:val="20"/>
          <w:szCs w:val="20"/>
          <w:color w:val="auto"/>
        </w:rPr>
      </w:pPr>
      <w:r>
        <w:rPr>
          <w:rFonts w:ascii="Arial" w:cs="Arial" w:eastAsia="Arial" w:hAnsi="Arial"/>
          <w:sz w:val="16"/>
          <w:szCs w:val="16"/>
          <w:color w:val="auto"/>
        </w:rPr>
        <w:t>We believe that our proprietary technology is an important and valuable part of our business. We protect this proprietary technology by relying on a variety of intellectual property mechanisms including copyright and trademark laws, restrictions on disclosure and other methods. We frequently file applications for trademarks and service marks in order to protect our intellectual property.</w:t>
      </w:r>
    </w:p>
    <w:p>
      <w:pPr>
        <w:spacing w:after="0" w:line="66"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We have various trademark registrations in the U.S. and in foreign jurisdictions, as well as pending trademark applications in the U.S. We have no issued patents. We also license intellectual property from third-parties, such as software used to support our technology and operations.</w:t>
      </w:r>
    </w:p>
    <w:p>
      <w:pPr>
        <w:spacing w:after="0" w:line="47" w:lineRule="exact"/>
        <w:rPr>
          <w:sz w:val="20"/>
          <w:szCs w:val="20"/>
          <w:color w:val="auto"/>
        </w:rPr>
      </w:pPr>
    </w:p>
    <w:p>
      <w:pPr>
        <w:ind w:right="500" w:firstLine="395"/>
        <w:spacing w:after="0" w:line="289" w:lineRule="auto"/>
        <w:rPr>
          <w:sz w:val="20"/>
          <w:szCs w:val="20"/>
          <w:color w:val="auto"/>
        </w:rPr>
      </w:pPr>
      <w:r>
        <w:rPr>
          <w:rFonts w:ascii="Arial" w:cs="Arial" w:eastAsia="Arial" w:hAnsi="Arial"/>
          <w:sz w:val="15"/>
          <w:szCs w:val="15"/>
          <w:color w:val="auto"/>
        </w:rPr>
        <w:t>In addition, we seek to protect our intellectual property rights by requiring our employees and independent contractors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Attorney Advice Network</w:t>
      </w:r>
    </w:p>
    <w:p>
      <w:pPr>
        <w:spacing w:after="0" w:line="121" w:lineRule="exact"/>
        <w:rPr>
          <w:sz w:val="20"/>
          <w:szCs w:val="20"/>
          <w:color w:val="auto"/>
        </w:rPr>
      </w:pPr>
    </w:p>
    <w:p>
      <w:pPr>
        <w:ind w:right="340" w:firstLine="395"/>
        <w:spacing w:after="0" w:line="270" w:lineRule="auto"/>
        <w:rPr>
          <w:sz w:val="20"/>
          <w:szCs w:val="20"/>
          <w:color w:val="auto"/>
        </w:rPr>
      </w:pPr>
      <w:r>
        <w:rPr>
          <w:rFonts w:ascii="Arial" w:cs="Arial" w:eastAsia="Arial" w:hAnsi="Arial"/>
          <w:sz w:val="16"/>
          <w:szCs w:val="16"/>
          <w:color w:val="auto"/>
        </w:rPr>
        <w:t>We offer attorney advice across all 50 states in the U.S. to our subscribers through a network of independent law firms that manage relationships with independent attorneys.</w:t>
      </w:r>
    </w:p>
    <w:p>
      <w:pPr>
        <w:spacing w:after="0" w:line="73" w:lineRule="exact"/>
        <w:rPr>
          <w:sz w:val="20"/>
          <w:szCs w:val="20"/>
          <w:color w:val="auto"/>
        </w:rPr>
      </w:pPr>
    </w:p>
    <w:p>
      <w:pPr>
        <w:ind w:right="140" w:firstLine="395"/>
        <w:spacing w:after="0" w:line="252" w:lineRule="auto"/>
        <w:rPr>
          <w:sz w:val="20"/>
          <w:szCs w:val="20"/>
          <w:color w:val="auto"/>
        </w:rPr>
      </w:pPr>
      <w:r>
        <w:rPr>
          <w:rFonts w:ascii="Arial" w:cs="Arial" w:eastAsia="Arial" w:hAnsi="Arial"/>
          <w:sz w:val="16"/>
          <w:szCs w:val="16"/>
          <w:color w:val="auto"/>
        </w:rPr>
        <w:t>Our brand and marketing efforts allow the participating attorneys to focus more on the practice of law and less on business development. The initial consultation serves as a platform for business development, where the participating attorney can offer to provide billable legal services to our customers at discounted rates. In addition, participating law firms can leverage our brand awareness as well as the customer feedback and testimonials to market their own practice. Each firm receives a flat administrative fee from us for each legal plan participant in its area to cover the administrative costs associated with participating in our network.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Care</w:t>
      </w:r>
    </w:p>
    <w:p>
      <w:pPr>
        <w:spacing w:after="0" w:line="108" w:lineRule="exact"/>
        <w:rPr>
          <w:sz w:val="20"/>
          <w:szCs w:val="20"/>
          <w:color w:val="auto"/>
        </w:rPr>
      </w:pPr>
    </w:p>
    <w:p>
      <w:pPr>
        <w:ind w:right="380" w:firstLine="395"/>
        <w:spacing w:after="0" w:line="270" w:lineRule="auto"/>
        <w:rPr>
          <w:sz w:val="20"/>
          <w:szCs w:val="20"/>
          <w:color w:val="auto"/>
        </w:rPr>
      </w:pPr>
      <w:r>
        <w:rPr>
          <w:rFonts w:ascii="Arial" w:cs="Arial" w:eastAsia="Arial" w:hAnsi="Arial"/>
          <w:sz w:val="16"/>
          <w:szCs w:val="16"/>
          <w:color w:val="auto"/>
        </w:rPr>
        <w:t>Our customer care representatives provide assistance, support and account management to small businesses and individuals. Exceptional customer experience is central to our culture and we take pride in our customer care team.</w:t>
      </w:r>
    </w:p>
    <w:p>
      <w:pPr>
        <w:spacing w:after="0" w:line="73" w:lineRule="exact"/>
        <w:rPr>
          <w:sz w:val="20"/>
          <w:szCs w:val="20"/>
          <w:color w:val="auto"/>
        </w:rPr>
      </w:pPr>
    </w:p>
    <w:p>
      <w:pPr>
        <w:ind w:right="140" w:firstLine="395"/>
        <w:spacing w:after="0" w:line="255" w:lineRule="auto"/>
        <w:rPr>
          <w:sz w:val="20"/>
          <w:szCs w:val="20"/>
          <w:color w:val="auto"/>
        </w:rPr>
      </w:pPr>
      <w:r>
        <w:rPr>
          <w:rFonts w:ascii="Arial" w:cs="Arial" w:eastAsia="Arial" w:hAnsi="Arial"/>
          <w:sz w:val="16"/>
          <w:szCs w:val="16"/>
          <w:color w:val="auto"/>
        </w:rPr>
        <w:t>Our customers have access to live help from customer care representatives by phone, online chat, text, email, or via our mobile applications. In addition, our website and mobile experience contain extensive educational content in an article center, FAQs and a knowledge center designed to assist customers in choosing the products and services that best suit their needs.</w:t>
      </w:r>
    </w:p>
    <w:p>
      <w:pPr>
        <w:spacing w:after="0" w:line="85" w:lineRule="exact"/>
        <w:rPr>
          <w:sz w:val="20"/>
          <w:szCs w:val="20"/>
          <w:color w:val="auto"/>
        </w:rPr>
      </w:pPr>
    </w:p>
    <w:p>
      <w:pPr>
        <w:ind w:firstLine="395"/>
        <w:spacing w:after="0" w:line="270" w:lineRule="auto"/>
        <w:rPr>
          <w:sz w:val="20"/>
          <w:szCs w:val="20"/>
          <w:color w:val="auto"/>
        </w:rPr>
      </w:pPr>
      <w:r>
        <w:rPr>
          <w:rFonts w:ascii="Arial" w:cs="Arial" w:eastAsia="Arial" w:hAnsi="Arial"/>
          <w:sz w:val="16"/>
          <w:szCs w:val="16"/>
          <w:color w:val="auto"/>
        </w:rPr>
        <w:t>We actively monitor our service levels, fulfillment speed and quality to maintain a high level of customer care. Customer care team members have metrics-driven incentives that further align their goals and compensation with our focus on the customer while maintaining regulatory compliance.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08" w:lineRule="exact"/>
        <w:rPr>
          <w:sz w:val="20"/>
          <w:szCs w:val="20"/>
          <w:color w:val="auto"/>
        </w:rPr>
      </w:pPr>
    </w:p>
    <w:p>
      <w:pPr>
        <w:ind w:right="360" w:firstLine="395"/>
        <w:spacing w:after="0" w:line="270" w:lineRule="auto"/>
        <w:rPr>
          <w:sz w:val="20"/>
          <w:szCs w:val="20"/>
          <w:color w:val="auto"/>
        </w:rPr>
      </w:pPr>
      <w:r>
        <w:rPr>
          <w:rFonts w:ascii="Arial" w:cs="Arial" w:eastAsia="Arial" w:hAnsi="Arial"/>
          <w:sz w:val="16"/>
          <w:szCs w:val="16"/>
          <w:color w:val="auto"/>
        </w:rPr>
        <w:t>We invest significantly to create a highly recognizable legal brand, online and offline and we attract a meaningful percentage of unpaid website traffic, underscoring our brand strength and unique content offering. Our content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10" w:name="page11"/>
    <w:bookmarkEnd w:id="10"/>
    <w:p>
      <w:pPr>
        <w:ind w:right="300"/>
        <w:spacing w:after="0" w:line="270" w:lineRule="auto"/>
        <w:rPr>
          <w:sz w:val="20"/>
          <w:szCs w:val="20"/>
          <w:color w:val="auto"/>
        </w:rPr>
      </w:pPr>
      <w:r>
        <w:rPr>
          <w:rFonts w:ascii="Arial" w:cs="Arial" w:eastAsia="Arial" w:hAnsi="Arial"/>
          <w:sz w:val="16"/>
          <w:szCs w:val="16"/>
          <w:color w:val="auto"/>
        </w:rPr>
        <w:t>marketing includes educational initiatives such as our Article Center on our website, where we create content to better inform our customers on how they can plan for and protect themselves, their families, and their businesses.</w:t>
      </w:r>
    </w:p>
    <w:p>
      <w:pPr>
        <w:spacing w:after="0" w:line="73" w:lineRule="exact"/>
        <w:rPr>
          <w:sz w:val="20"/>
          <w:szCs w:val="20"/>
          <w:color w:val="auto"/>
        </w:rPr>
      </w:pPr>
    </w:p>
    <w:p>
      <w:pPr>
        <w:ind w:right="40" w:firstLine="395"/>
        <w:spacing w:after="0" w:line="263" w:lineRule="auto"/>
        <w:rPr>
          <w:sz w:val="20"/>
          <w:szCs w:val="20"/>
          <w:color w:val="auto"/>
        </w:rPr>
      </w:pPr>
      <w:r>
        <w:rPr>
          <w:rFonts w:ascii="Arial" w:cs="Arial" w:eastAsia="Arial" w:hAnsi="Arial"/>
          <w:sz w:val="16"/>
          <w:szCs w:val="16"/>
          <w:color w:val="auto"/>
        </w:rPr>
        <w:t>We use a strategic mix of online and offline marketing in combination with inbound sales. Our largest customer acquisition media spend is in search engine marketing to capture demand generated by our other paid and organic channels. We also advertise from time to time across television, radio, podcasts, digital video, and social media.</w:t>
      </w:r>
    </w:p>
    <w:p>
      <w:pPr>
        <w:spacing w:after="0" w:line="66" w:lineRule="exact"/>
        <w:rPr>
          <w:sz w:val="20"/>
          <w:szCs w:val="20"/>
          <w:color w:val="auto"/>
        </w:rPr>
      </w:pPr>
    </w:p>
    <w:p>
      <w:pPr>
        <w:jc w:val="both"/>
        <w:ind w:right="400" w:firstLine="395"/>
        <w:spacing w:after="0" w:line="289" w:lineRule="auto"/>
        <w:rPr>
          <w:sz w:val="20"/>
          <w:szCs w:val="20"/>
          <w:color w:val="auto"/>
        </w:rPr>
      </w:pPr>
      <w:r>
        <w:rPr>
          <w:rFonts w:ascii="Arial" w:cs="Arial" w:eastAsia="Arial" w:hAnsi="Arial"/>
          <w:sz w:val="15"/>
          <w:szCs w:val="15"/>
          <w:color w:val="auto"/>
        </w:rPr>
        <w:t>In taking customer calls, our sales team uses a conversational approach to introduce our services, explain features and recommend various partners. When our sales team becomes involved, the average order size frequently increases due to our team’s effectiveness in selling ancillary offerings. Our sales teams also proactively target qualified prospects, such as those who began a questionnaire in our customer experience journey but have yet to 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121" w:lineRule="exact"/>
        <w:rPr>
          <w:sz w:val="20"/>
          <w:szCs w:val="20"/>
          <w:color w:val="auto"/>
        </w:rPr>
      </w:pPr>
    </w:p>
    <w:p>
      <w:pPr>
        <w:jc w:val="both"/>
        <w:ind w:firstLine="395"/>
        <w:spacing w:after="0" w:line="255" w:lineRule="auto"/>
        <w:rPr>
          <w:sz w:val="20"/>
          <w:szCs w:val="20"/>
          <w:color w:val="auto"/>
        </w:rPr>
      </w:pPr>
      <w:r>
        <w:rPr>
          <w:rFonts w:ascii="Arial" w:cs="Arial" w:eastAsia="Arial" w:hAnsi="Arial"/>
          <w:sz w:val="16"/>
          <w:szCs w:val="16"/>
          <w:color w:val="auto"/>
        </w:rPr>
        <w:t>At December 31, 2022, we, together with all our subsidiaries, had 1,383 employees worldwide. At December 31, 2022, we also engaged approximately 400 contractors and consultants in the U.S. None of our employees are represented by a labor union. We have not experienced any work stoppages, and we believe that our employee relations are strong.</w:t>
      </w:r>
    </w:p>
    <w:p>
      <w:pPr>
        <w:spacing w:after="0" w:line="85"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Our primary compensation strategy is to promote a pay-for-performance culture. Our guiding principles are anchored on the goals of being able to attract, incentivize, and retain talented employees who can develop, implement, and drive long-term value creation strategies. We’ve designed our compensation approach so that every U.S. based employee has a component of their compensation that is performance or incentive driven. We offer competitive compensation that we believe is aligned with the market and fair relative to our peers.</w:t>
      </w:r>
    </w:p>
    <w:p>
      <w:pPr>
        <w:spacing w:after="0" w:line="73" w:lineRule="exact"/>
        <w:rPr>
          <w:sz w:val="20"/>
          <w:szCs w:val="20"/>
          <w:color w:val="auto"/>
        </w:rPr>
      </w:pPr>
    </w:p>
    <w:p>
      <w:pPr>
        <w:ind w:right="160" w:firstLine="395"/>
        <w:spacing w:after="0" w:line="256" w:lineRule="auto"/>
        <w:rPr>
          <w:sz w:val="20"/>
          <w:szCs w:val="20"/>
          <w:color w:val="auto"/>
        </w:rPr>
      </w:pPr>
      <w:r>
        <w:rPr>
          <w:rFonts w:ascii="Arial" w:cs="Arial" w:eastAsia="Arial" w:hAnsi="Arial"/>
          <w:sz w:val="16"/>
          <w:szCs w:val="16"/>
          <w:color w:val="auto"/>
        </w:rPr>
        <w:t>At LegalZoom, one of our core values is People First. By that, we not only mean caring for and protecting the millions of customers we have served since inception, but investing in, empowering and fostering trust and wellness among our employees. In order to better understand the needs of our employees, we launched a new employee feedback platform that allows us to survey our employees on a regular basis. We were able to establish baseline employee net promoter, or NPS, and employee satisfaction scores, along with other feedback that measures satisfaction in a variety of areas. We are now able to take very specific action based on the voice of the employee to better serve our organization.</w:t>
      </w:r>
    </w:p>
    <w:p>
      <w:pPr>
        <w:spacing w:after="0" w:line="71" w:lineRule="exact"/>
        <w:rPr>
          <w:sz w:val="20"/>
          <w:szCs w:val="20"/>
          <w:color w:val="auto"/>
        </w:rPr>
      </w:pPr>
    </w:p>
    <w:p>
      <w:pPr>
        <w:ind w:right="120" w:firstLine="395"/>
        <w:spacing w:after="0" w:line="250" w:lineRule="auto"/>
        <w:rPr>
          <w:sz w:val="20"/>
          <w:szCs w:val="20"/>
          <w:color w:val="auto"/>
        </w:rPr>
      </w:pPr>
      <w:r>
        <w:rPr>
          <w:rFonts w:ascii="Arial" w:cs="Arial" w:eastAsia="Arial" w:hAnsi="Arial"/>
          <w:sz w:val="16"/>
          <w:szCs w:val="16"/>
          <w:color w:val="auto"/>
        </w:rPr>
        <w:t>We have remained agile to accommodate the ever-changing needs of our employees since the pandemic. In 2021, we announced the adoption of our remote first model, which required coordinated efforts across the organization to operationalize. Over the last year, our strategy has been focused on engaging employees virtually to support working from home by launching virtual productivity and collaboration tools, and driving engagement through virtual events. In addition, while they remain primarily remote, we engaged with corporate employees who are located near our existing offices to enable them to leverage offices for in-person meetings where live collaboration could help foster improved productivity and engagement. To facilitate this, in the summer of 2022, we re-opened our Glendale, California, and Austin, Texas, locations to our remote first teams, creating intentional collaboration spaces that would enable in-person working sessions and team engagement. We also opened a new location in Mountain View, California and Playa Vista, California, where we had a large cluster of employees residing, to have a space where our remote first teams could have the opportunity to engage with their co-workers in person. This approach has allowed us to build foundational infrastructure and establish a stronger culture both virtually and in-person.</w:t>
      </w:r>
    </w:p>
    <w:p>
      <w:pPr>
        <w:spacing w:after="0" w:line="91"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We have also invested in employee engagement to help improve connectedness in our remote-first work environment. In 2022, we launched an employee recognition tool that rewards and provides visibility to our employees’ accomplishments. We also continue to fuel our organization’s passion for social good, and launched a new employee giving program and tool that provides dollar-for-dollar matching and paid time off or volunteering for causes our employees care about most. Finally, we continue to engage our employees in in-person and remote social impact events, like our second annual Impact Week, where we come together to volunteer and raise funds for various causes.</w:t>
      </w:r>
    </w:p>
    <w:p>
      <w:pPr>
        <w:spacing w:after="0" w:line="87"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In 2022, we remained committed to our principles of taking care of our employees holistically while continuously looking for ways to improve our overall benefits offering. We offer competitive benefits including: 100% employer-paid medical, travel reimbursement for out-of-state procedures, dental and vision plans, fertility coverage, mental health coverage, physical wellness, and paid-time off, including a continuous week off, called Wellness Break for all employees. In addition, we made a number of meaningful enhancements in 2022’s November Open Enrollment for 2023, including increasing our offerings on mental health and parental leave for non-birthing parents, additional gender equality benefits, additional sick-time off and paid company holidays, and new lifestyle benefits for our employees to use in a way that represents them and expanding coverage on our dental and vision plans.</w:t>
      </w:r>
    </w:p>
    <w:p>
      <w:pPr>
        <w:spacing w:after="0" w:line="73" w:lineRule="exact"/>
        <w:rPr>
          <w:sz w:val="20"/>
          <w:szCs w:val="20"/>
          <w:color w:val="auto"/>
        </w:rPr>
      </w:pPr>
    </w:p>
    <w:p>
      <w:pPr>
        <w:ind w:right="280" w:firstLine="395"/>
        <w:spacing w:after="0" w:line="255" w:lineRule="auto"/>
        <w:rPr>
          <w:sz w:val="20"/>
          <w:szCs w:val="20"/>
          <w:color w:val="auto"/>
        </w:rPr>
      </w:pPr>
      <w:r>
        <w:rPr>
          <w:rFonts w:ascii="Arial" w:cs="Arial" w:eastAsia="Arial" w:hAnsi="Arial"/>
          <w:sz w:val="16"/>
          <w:szCs w:val="16"/>
          <w:color w:val="auto"/>
        </w:rPr>
        <w:t>We believe we are thriving when every voice is nurtured and heard. We have six employee resource groups today, including Pride Zoomer Alliance Network, Lift Every Voice Black Network, RiseUp Women’s Network, Women in Tech Network, and Nos Unimos LatinX Network, each with dedicated internal funding, executive sponsorship and a focus on supporting diversity, equity, and inclusion within and outside of LegalZoom. These networks have built internal mentorship and development programs, and contributed to their broader communities outside of LegalZoom through their initiatives.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Government Regulation</w:t>
      </w:r>
    </w:p>
    <w:p>
      <w:pPr>
        <w:spacing w:after="0" w:line="108" w:lineRule="exact"/>
        <w:rPr>
          <w:sz w:val="20"/>
          <w:szCs w:val="20"/>
          <w:color w:val="auto"/>
        </w:rPr>
      </w:pPr>
    </w:p>
    <w:p>
      <w:pPr>
        <w:ind w:firstLine="395"/>
        <w:spacing w:after="0" w:line="261" w:lineRule="auto"/>
        <w:rPr>
          <w:sz w:val="20"/>
          <w:szCs w:val="20"/>
          <w:color w:val="auto"/>
        </w:rPr>
      </w:pPr>
      <w:r>
        <w:rPr>
          <w:rFonts w:ascii="Arial" w:cs="Arial" w:eastAsia="Arial" w:hAnsi="Arial"/>
          <w:sz w:val="16"/>
          <w:szCs w:val="16"/>
          <w:color w:val="auto"/>
        </w:rPr>
        <w:t>We operate in a particularly complex legal and regulatory environment. We are subject to a variety of U.S. and foreign laws, rules and regulations, including those related to internet activities, UPL, the corporate practice of law, or CPL, privacy, data protection, cybersecurity, data retention, consumer protection, content regulation, the processing of legal documents, legal plans, the provision of online payment services and other matters, which are continuously evolving and developing.</w:t>
      </w:r>
    </w:p>
    <w:p>
      <w:pPr>
        <w:spacing w:after="0" w:line="68"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Our business model includes the provision of services that represent an alternative to traditional legal services, which has subjected us to allegations of UPL in the U.S. UPL generally refers to an entity or person giving or offering legal advice who is not licensed to practice law. However, laws and regulations defining UPL, and the governing bodies that enforce UPL rules, differ among the various jurisdictions in which we operate. The regulatory environment in the U.S. is evolving slowly with two states so far, Arizona and Utah, approving regulatory reform that permits non-lawyers to co-own law firms and other legal service operations. We applied for and received a license to operate as an Arizona ABS on September 30, 2021, through our U.S. subsidiary, LZ Legal Services, LLC. This Arizona ABS employs and contracts with licensed attorneys to provide limited scope legal services to U.S.-based consumers who purchase such services on our websites. While we believe this ABS structure is legally permissible, it is generally untested in U.S. courts and we cannot assure you that it will insulate us from claims of CPL or UPL. These laws and regulations are regularly evolving and tested in courts, and may be interpreted, applied, created, or amended, in a manner that could harm our business.</w:t>
      </w:r>
    </w:p>
    <w:p>
      <w:pPr>
        <w:spacing w:after="0" w:line="78" w:lineRule="exact"/>
        <w:rPr>
          <w:sz w:val="20"/>
          <w:szCs w:val="20"/>
          <w:color w:val="auto"/>
        </w:rPr>
      </w:pPr>
    </w:p>
    <w:p>
      <w:pPr>
        <w:ind w:right="120" w:firstLine="395"/>
        <w:spacing w:after="0" w:line="256" w:lineRule="auto"/>
        <w:rPr>
          <w:sz w:val="20"/>
          <w:szCs w:val="20"/>
          <w:color w:val="auto"/>
        </w:rPr>
      </w:pPr>
      <w:r>
        <w:rPr>
          <w:rFonts w:ascii="Arial" w:cs="Arial" w:eastAsia="Arial" w:hAnsi="Arial"/>
          <w:sz w:val="16"/>
          <w:szCs w:val="16"/>
          <w:color w:val="auto"/>
        </w:rPr>
        <w:t>In addition, we are subject to numerous foreign and domestic laws, regulations, and standards regarding privacy and data security governing the personal information and other data that we may collect, store, use, or process. Such privacy and data security laws and regulations, including with respect to the European Union's General Data Protection Regulation and the California Consumer Privacy Act of 2018,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spacing w:after="0" w:line="71" w:lineRule="exact"/>
        <w:rPr>
          <w:sz w:val="20"/>
          <w:szCs w:val="20"/>
          <w:color w:val="auto"/>
        </w:rPr>
      </w:pPr>
    </w:p>
    <w:p>
      <w:pPr>
        <w:ind w:right="80" w:firstLine="395"/>
        <w:spacing w:after="0" w:line="261" w:lineRule="auto"/>
        <w:rPr>
          <w:sz w:val="20"/>
          <w:szCs w:val="20"/>
          <w:color w:val="auto"/>
        </w:rPr>
      </w:pPr>
      <w:r>
        <w:rPr>
          <w:rFonts w:ascii="Arial" w:cs="Arial" w:eastAsia="Arial" w:hAnsi="Arial"/>
          <w:sz w:val="16"/>
          <w:szCs w:val="16"/>
          <w:color w:val="auto"/>
        </w:rPr>
        <w:t>Our compliance with applicable government laws and regulations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See Part I, Item 1A, “Risk Factors” of this Annual Report on Form 10-K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08" w:lineRule="exact"/>
        <w:rPr>
          <w:sz w:val="20"/>
          <w:szCs w:val="20"/>
          <w:color w:val="auto"/>
        </w:rPr>
      </w:pPr>
    </w:p>
    <w:p>
      <w:pPr>
        <w:ind w:right="20" w:firstLine="395"/>
        <w:spacing w:after="0" w:line="256" w:lineRule="auto"/>
        <w:rPr>
          <w:sz w:val="20"/>
          <w:szCs w:val="20"/>
          <w:color w:val="auto"/>
        </w:rPr>
      </w:pPr>
      <w:r>
        <w:rPr>
          <w:rFonts w:ascii="Arial" w:cs="Arial" w:eastAsia="Arial" w:hAnsi="Arial"/>
          <w:sz w:val="16"/>
          <w:szCs w:val="16"/>
          <w:color w:val="auto"/>
        </w:rPr>
        <w:t>Our Investor Relations website is https://investors.legalzoom.com/ and we encourage investors to use it as a way of easily finding information about us. We make available on this website, free of charge, the reports that we file or furnish with the SEC including our Annual Reports on Form 10-K, Quarterly Reports on Form 10-Q, Current Reports on Form 8-K, and our Proxy Statements, and any amendments to these reports, as soon as reasonably practicable after we file such material with, or furnish it to, the SEC. We also make available certain corporate governance information, including our Code of Business Conduct and Ethics, and select press releases.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Item 1A. Risk Factors</w:t>
      </w:r>
    </w:p>
    <w:p>
      <w:pPr>
        <w:spacing w:after="0" w:line="108"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Annual Report on Form 10-K, including our consolidated financial statements and related notes.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06"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color w:val="auto"/>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also effectively integrate, develop and motivate our employees, and maintain the beneficial aspects of our corporate culture.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79"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Our growth also makes it difficult to evaluate future prospects. Our ability to forecast our future operating results is subject to a number of uncertainties, including our ability to plan for and model future growth. If the assumptions regarding these uncertainties, which we use to plan our business, are incorrect or change in reaction to changes in our markets, our results of operations and financial condition could differ materially from our expectations, our business could suffer and the trading price of our stock may decline.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106"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Our success significantly depends on business formations. The majority of our transaction revenue is generated by providing formation services to guide our customers through the transition from being aspiring business owners to launching their entities. In 2022 and 2021,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rates, government assistance or other risks, and dissatisfaction with our services. Declines in the overall number of business formations or the number of business formations on our platform have adversely affected, and may continue to adversely affect, our business, results of operations, financial condition or future prospects. If growth rates continue to decline, these impacts can be expected to intensify.</w:t>
      </w:r>
    </w:p>
    <w:p>
      <w:pPr>
        <w:spacing w:after="0" w:line="91"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i w:val="1"/>
          <w:iCs w:val="1"/>
          <w:color w:val="auto"/>
        </w:rPr>
        <w:t>Our business depends substantially on converting our transactional customer to subscribers and our subscribers renewing their subscriptions with us and expanding their use of our platform</w:t>
      </w:r>
    </w:p>
    <w:p>
      <w:pPr>
        <w:spacing w:after="0" w:line="44" w:lineRule="exact"/>
        <w:rPr>
          <w:sz w:val="20"/>
          <w:szCs w:val="20"/>
          <w:color w:val="auto"/>
        </w:rPr>
      </w:pPr>
    </w:p>
    <w:p>
      <w:pPr>
        <w:ind w:right="40" w:firstLine="395"/>
        <w:spacing w:after="0" w:line="249" w:lineRule="auto"/>
        <w:rPr>
          <w:sz w:val="20"/>
          <w:szCs w:val="20"/>
          <w:color w:val="auto"/>
        </w:rPr>
      </w:pPr>
      <w:r>
        <w:rPr>
          <w:rFonts w:ascii="Arial" w:cs="Arial" w:eastAsia="Arial" w:hAnsi="Arial"/>
          <w:sz w:val="16"/>
          <w:szCs w:val="16"/>
          <w:color w:val="auto"/>
        </w:rPr>
        <w:t>For the past few years, a significant amount of our revenue has been derived from our subscriptions for small businesses and individuals. In 2022, approximately 58% of our revenue came from subscriptions. Subscriptions have primarily originated from transactional customers who opted to become subscribers. For us to maintain or improve our operating results, it is important that we convert transactional customers into subscribers, we retain our existing customers and that our subscribers renew their subscriptions with us when the existing subscription term expires.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cannot accurately predict subscription renewal rates, whether a sufficient number of our existing or new customers will subscribe to our registered agent services, legal plans or other subscription services, or whether they will continue to subscribe at the same rate as they have historically. Our retention rate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legal offering, our pricing, the prices of competing products or services, the effects of global economic conditions, regulatory changes and reductions in subscribers’ discretionary income and spending levels. If we are unable to continue to convert our transactional customers to subscribers, retain our existing subscribers or our existing subscribers do not expand the use of our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3" w:name="page14"/>
    <w:bookmarkEnd w:id="13"/>
    <w:p>
      <w:pPr>
        <w:ind w:right="60"/>
        <w:spacing w:after="0" w:line="270" w:lineRule="auto"/>
        <w:rPr>
          <w:sz w:val="20"/>
          <w:szCs w:val="20"/>
          <w:color w:val="auto"/>
        </w:rPr>
      </w:pPr>
      <w:r>
        <w:rPr>
          <w:rFonts w:ascii="Arial" w:cs="Arial" w:eastAsia="Arial" w:hAnsi="Arial"/>
          <w:sz w:val="16"/>
          <w:szCs w:val="16"/>
          <w:color w:val="auto"/>
        </w:rPr>
        <w:t>platform, our business, results of operations, financial condition and future prospects would be adversely affected. If our subscription renewal rates fall below the expectations of the public market, securities analysts or investors, the price of our common stock could also be harmed.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117"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spacing w:after="0" w:line="47" w:lineRule="exact"/>
        <w:rPr>
          <w:sz w:val="20"/>
          <w:szCs w:val="20"/>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business formations and the rate of failure of small businesses;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of renewal of subscriptions by, and extent of sales of additional subscriptions to, existing customers;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to our product offerings, including pricing changes such as the offering of free or even lower cost products;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mix of subscriptions and services sold during a period;</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stock-based compensation expense;</w:t>
      </w:r>
    </w:p>
    <w:p>
      <w:pPr>
        <w:spacing w:after="0" w:line="118" w:lineRule="exact"/>
        <w:rPr>
          <w:rFonts w:ascii="Arial" w:cs="Arial" w:eastAsia="Arial" w:hAnsi="Arial"/>
          <w:sz w:val="16"/>
          <w:szCs w:val="16"/>
          <w:color w:val="auto"/>
        </w:rPr>
      </w:pPr>
    </w:p>
    <w:p>
      <w:pPr>
        <w:ind w:left="720" w:right="480" w:hanging="311"/>
        <w:spacing w:after="0" w:line="270" w:lineRule="auto"/>
        <w:tabs>
          <w:tab w:leader="none" w:pos="70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59"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delaying purchasing decisions in anticipation of new developments or enhancements by us or our competitors or otherwise;</w:t>
      </w:r>
    </w:p>
    <w:p>
      <w:pPr>
        <w:spacing w:after="0" w:line="118" w:lineRule="exact"/>
        <w:rPr>
          <w:rFonts w:ascii="Arial" w:cs="Arial" w:eastAsia="Arial" w:hAnsi="Arial"/>
          <w:sz w:val="16"/>
          <w:szCs w:val="16"/>
          <w:color w:val="auto"/>
        </w:rPr>
      </w:pPr>
    </w:p>
    <w:p>
      <w:pPr>
        <w:ind w:left="720" w:right="240" w:hanging="311"/>
        <w:spacing w:after="0" w:line="270" w:lineRule="auto"/>
        <w:tabs>
          <w:tab w:leader="none" w:pos="709" w:val="left"/>
        </w:tabs>
        <w:numPr>
          <w:ilvl w:val="0"/>
          <w:numId w:val="4"/>
        </w:numPr>
        <w:rPr>
          <w:rFonts w:ascii="Arial" w:cs="Arial" w:eastAsia="Arial" w:hAnsi="Arial"/>
          <w:sz w:val="16"/>
          <w:szCs w:val="16"/>
          <w:color w:val="auto"/>
        </w:rPr>
      </w:pPr>
      <w:r>
        <w:rPr>
          <w:rFonts w:ascii="Arial" w:cs="Arial" w:eastAsia="Arial" w:hAnsi="Arial"/>
          <w:sz w:val="16"/>
          <w:szCs w:val="16"/>
          <w:color w:val="auto"/>
        </w:rPr>
        <w:t>seasonal variations, including those related to orders placed, sales and marketing and other activities or other seasonal fluctuations in our results of operations that are out of our control;</w:t>
      </w:r>
    </w:p>
    <w:p>
      <w:pPr>
        <w:spacing w:after="0" w:line="72"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new customers or retain existing customers;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05" w:lineRule="exact"/>
        <w:rPr>
          <w:rFonts w:ascii="Arial" w:cs="Arial" w:eastAsia="Arial" w:hAnsi="Arial"/>
          <w:sz w:val="16"/>
          <w:szCs w:val="16"/>
          <w:color w:val="auto"/>
        </w:rPr>
      </w:pPr>
    </w:p>
    <w:p>
      <w:pPr>
        <w:ind w:left="720" w:right="140" w:hanging="311"/>
        <w:spacing w:after="0" w:line="287" w:lineRule="auto"/>
        <w:tabs>
          <w:tab w:leader="none" w:pos="709"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to government agency practices, staffing and their websites, which may cause delay or disruptions in our business, including the processing of business formations or Employer Identification Numbers, or EIN, numbers;</w:t>
      </w:r>
    </w:p>
    <w:p>
      <w:pPr>
        <w:spacing w:after="0" w:line="46" w:lineRule="exact"/>
        <w:rPr>
          <w:rFonts w:ascii="Arial" w:cs="Arial" w:eastAsia="Arial" w:hAnsi="Arial"/>
          <w:sz w:val="16"/>
          <w:szCs w:val="16"/>
          <w:color w:val="auto"/>
        </w:rPr>
      </w:pPr>
    </w:p>
    <w:p>
      <w:pPr>
        <w:ind w:left="720" w:right="40" w:hanging="311"/>
        <w:spacing w:after="0" w:line="270" w:lineRule="auto"/>
        <w:tabs>
          <w:tab w:leader="none" w:pos="70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as well as economic conditions specifically affecting industries in which our customers operate; and</w:t>
      </w:r>
    </w:p>
    <w:p>
      <w:pPr>
        <w:spacing w:after="0" w:line="72" w:lineRule="exact"/>
        <w:rPr>
          <w:rFonts w:ascii="Arial" w:cs="Arial" w:eastAsia="Arial" w:hAnsi="Arial"/>
          <w:sz w:val="16"/>
          <w:szCs w:val="16"/>
          <w:color w:val="auto"/>
        </w:rPr>
      </w:pPr>
    </w:p>
    <w:p>
      <w:pPr>
        <w:ind w:left="720" w:hanging="311"/>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 (such as the conflict in Ukraine).</w:t>
      </w:r>
    </w:p>
    <w:p>
      <w:pPr>
        <w:spacing w:after="0" w:line="106"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global macroeconomic environment, including due to uncertainty caused by recessionary fears, inflation, rising interest rates and lingering effects of the COVID-19 pandemic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spacing w:after="0" w:line="77"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6"/>
          <w:szCs w:val="16"/>
          <w:color w:val="auto"/>
        </w:rPr>
        <w:t>Our quarterly operating results may vary in the future and that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maintain profitability</w:t>
      </w:r>
    </w:p>
    <w:p>
      <w:pPr>
        <w:spacing w:after="0" w:line="106" w:lineRule="exact"/>
        <w:rPr>
          <w:sz w:val="20"/>
          <w:szCs w:val="20"/>
          <w:color w:val="auto"/>
        </w:rPr>
      </w:pPr>
    </w:p>
    <w:p>
      <w:pPr>
        <w:ind w:right="840" w:firstLine="395"/>
        <w:spacing w:after="0" w:line="287"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At December 31, 2022, we had an accumulated deficit of $891.9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p>
      <w:pPr>
        <w:ind w:right="20" w:firstLine="395"/>
        <w:spacing w:after="0" w:line="251"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We expect our cost of revenue and operating expenses to increase as we continue to invest in enhancing our customer experience and in new product development, including expert-assisted offerings for our tax and attorney-assisted legal offerings. Furthermore, as a public company, we are incurring legal, accounting and other expenses that we did not incur as a private company. If our revenue and gross profit do not grow at a greater rate than our operating expenses, we will not be able to maintain or increase profitability and our business may be harmed. We may incur significant losses in the future for a number of reasons, including due to, among other things, the other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spacing w:after="0" w:line="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32"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rate at which new and existing customers purchase and renew subscriptions to our services depends on a number of factors, many of which are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73" w:lineRule="exact"/>
        <w:rPr>
          <w:sz w:val="20"/>
          <w:szCs w:val="20"/>
          <w:color w:val="auto"/>
        </w:rPr>
      </w:pPr>
    </w:p>
    <w:p>
      <w:pPr>
        <w:ind w:right="160" w:firstLine="395"/>
        <w:spacing w:after="0" w:line="251" w:lineRule="auto"/>
        <w:rPr>
          <w:sz w:val="20"/>
          <w:szCs w:val="20"/>
          <w:color w:val="auto"/>
        </w:rPr>
      </w:pPr>
      <w:r>
        <w:rPr>
          <w:rFonts w:ascii="Arial" w:cs="Arial" w:eastAsia="Arial" w:hAnsi="Arial"/>
          <w:sz w:val="16"/>
          <w:szCs w:val="16"/>
          <w:color w:val="auto"/>
        </w:rPr>
        <w:t>We intend to add new services and enhance our existing product and services, which will require us to devote significant resources before we know whether such products or services will be successful. We have in the past invested resources and introduced new services that have failed to produce the customer interest that we expected. We may fail to attract new customers or lose existing customers if current or future development efforts or services fail to meet customer expectations on a timely basis if at all. For example, in October 2020, we introduced LZ Tax, a LegalZoom fulfilled tax advisory and preparation service, and in 2022, we began our first cycle of preparing tax filings at scale. We could fail to attract or retain existing customers if the independent attorneys who participate in our legal services plan or the tax experts who complete the tax preparation services fail to provide accurate, high-quality services, customer care and customer experience. In addition, larger enterprises may demand more support services and features, which puts additional pressure on us to satisfy the increased support required for these customers.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76" w:lineRule="exact"/>
        <w:rPr>
          <w:sz w:val="20"/>
          <w:szCs w:val="20"/>
          <w:color w:val="auto"/>
        </w:rPr>
      </w:pPr>
    </w:p>
    <w:p>
      <w:pPr>
        <w:ind w:right="820"/>
        <w:spacing w:after="0" w:line="297"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32" w:lineRule="exact"/>
        <w:rPr>
          <w:sz w:val="20"/>
          <w:szCs w:val="20"/>
          <w:color w:val="auto"/>
        </w:rPr>
      </w:pPr>
    </w:p>
    <w:p>
      <w:pPr>
        <w:ind w:right="80" w:firstLine="395"/>
        <w:spacing w:after="0" w:line="256" w:lineRule="auto"/>
        <w:rPr>
          <w:sz w:val="20"/>
          <w:szCs w:val="20"/>
          <w:color w:val="auto"/>
        </w:rPr>
      </w:pPr>
      <w:r>
        <w:rPr>
          <w:rFonts w:ascii="Arial" w:cs="Arial" w:eastAsia="Arial" w:hAnsi="Arial"/>
          <w:sz w:val="16"/>
          <w:szCs w:val="16"/>
          <w:color w:val="auto"/>
        </w:rPr>
        <w:t>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and there is no assurance that our past or future investments will provide us with the benefits we expect. In addition, we have and may continue to introduce significant changes to our product offerings, including the offering of free or even lower cost products, or changes to our platform or develop and introduce new and unproven services, including using technologies with which we have little or no prior development or operating experience.</w:t>
      </w:r>
    </w:p>
    <w:p>
      <w:pPr>
        <w:spacing w:after="0" w:line="71"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We also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 consequences to our customers, legal liability, and harm our brand, which could adversely affect our business, results of operations, financial condition and future prospects.</w:t>
      </w:r>
    </w:p>
    <w:p>
      <w:pPr>
        <w:spacing w:after="0" w:line="87"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legal solutions market is highly competitive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 w:name="page16"/>
    <w:bookmarkEnd w:id="15"/>
    <w:p>
      <w:pPr>
        <w:ind w:firstLine="395"/>
        <w:spacing w:after="0" w:line="249" w:lineRule="auto"/>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compete in the registered agent services business with several companies that target small businesses,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certain U.S. states, including Nevada, California and Louisiana, offer online portals where consumers may file their articles of organization for free, other than filing fees. We also compete in the tax advisory and preparation services business with several companies. To the extent we are unable to compete, our business, results of operations, financial condition or future prospects may be harmed.</w:t>
      </w:r>
    </w:p>
    <w:p>
      <w:pPr>
        <w:spacing w:after="0" w:line="91" w:lineRule="exact"/>
        <w:rPr>
          <w:sz w:val="20"/>
          <w:szCs w:val="20"/>
          <w:color w:val="auto"/>
        </w:rPr>
      </w:pPr>
    </w:p>
    <w:p>
      <w:pPr>
        <w:ind w:right="200" w:firstLine="395"/>
        <w:spacing w:after="0" w:line="252" w:lineRule="auto"/>
        <w:rPr>
          <w:sz w:val="20"/>
          <w:szCs w:val="20"/>
          <w:color w:val="auto"/>
        </w:rPr>
      </w:pPr>
      <w:r>
        <w:rPr>
          <w:rFonts w:ascii="Arial" w:cs="Arial" w:eastAsia="Arial" w:hAnsi="Arial"/>
          <w:sz w:val="16"/>
          <w:szCs w:val="16"/>
          <w:color w:val="auto"/>
        </w:rPr>
        <w:t>Any of our existing competitors, or other potential competitors that have not yet entered the market, may also develop innovative and cost-effective services, including automated corporate formation document processing, that target our existing and potential customers. We expect to face increasing competition from offline and online legal services providers in our market,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106" w:lineRule="exact"/>
        <w:rPr>
          <w:sz w:val="20"/>
          <w:szCs w:val="20"/>
          <w:color w:val="auto"/>
        </w:rPr>
      </w:pPr>
    </w:p>
    <w:p>
      <w:pPr>
        <w:ind w:right="60" w:firstLine="395"/>
        <w:spacing w:after="0" w:line="277" w:lineRule="auto"/>
        <w:rPr>
          <w:sz w:val="20"/>
          <w:szCs w:val="20"/>
          <w:color w:val="auto"/>
        </w:rPr>
      </w:pPr>
      <w:r>
        <w:rPr>
          <w:rFonts w:ascii="Arial" w:cs="Arial" w:eastAsia="Arial" w:hAnsi="Arial"/>
          <w:sz w:val="15"/>
          <w:szCs w:val="15"/>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spacing w:after="0" w:line="57" w:lineRule="exact"/>
        <w:rPr>
          <w:sz w:val="20"/>
          <w:szCs w:val="20"/>
          <w:color w:val="auto"/>
        </w:rPr>
      </w:pPr>
    </w:p>
    <w:p>
      <w:pPr>
        <w:ind w:right="40" w:firstLine="395"/>
        <w:spacing w:after="0" w:line="271" w:lineRule="auto"/>
        <w:rPr>
          <w:sz w:val="20"/>
          <w:szCs w:val="20"/>
          <w:color w:val="auto"/>
        </w:rPr>
      </w:pPr>
      <w:r>
        <w:rPr>
          <w:rFonts w:ascii="Arial" w:cs="Arial" w:eastAsia="Arial" w:hAnsi="Arial"/>
          <w:sz w:val="15"/>
          <w:szCs w:val="15"/>
          <w:color w:val="auto"/>
        </w:rPr>
        <w:t>In addition, 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60" w:lineRule="exact"/>
        <w:rPr>
          <w:sz w:val="20"/>
          <w:szCs w:val="20"/>
          <w:color w:val="auto"/>
        </w:rPr>
      </w:pPr>
    </w:p>
    <w:p>
      <w:pPr>
        <w:jc w:val="both"/>
        <w:ind w:right="200" w:firstLine="395"/>
        <w:spacing w:after="0" w:line="263" w:lineRule="auto"/>
        <w:rPr>
          <w:sz w:val="20"/>
          <w:szCs w:val="20"/>
          <w:color w:val="auto"/>
        </w:rPr>
      </w:pPr>
      <w:r>
        <w:rPr>
          <w:rFonts w:ascii="Arial" w:cs="Arial" w:eastAsia="Arial" w:hAnsi="Arial"/>
          <w:sz w:val="16"/>
          <w:szCs w:val="16"/>
          <w:color w:val="auto"/>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66"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32" w:lineRule="exact"/>
        <w:rPr>
          <w:sz w:val="20"/>
          <w:szCs w:val="20"/>
          <w:color w:val="auto"/>
        </w:rPr>
      </w:pPr>
    </w:p>
    <w:p>
      <w:pPr>
        <w:ind w:right="120" w:firstLine="395"/>
        <w:spacing w:after="0" w:line="270" w:lineRule="auto"/>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73" w:lineRule="exact"/>
        <w:rPr>
          <w:sz w:val="20"/>
          <w:szCs w:val="20"/>
          <w:color w:val="auto"/>
        </w:rPr>
      </w:pPr>
    </w:p>
    <w:p>
      <w:pPr>
        <w:ind w:right="60" w:firstLine="395"/>
        <w:spacing w:after="0" w:line="271" w:lineRule="auto"/>
        <w:rPr>
          <w:sz w:val="20"/>
          <w:szCs w:val="20"/>
          <w:color w:val="auto"/>
        </w:rPr>
      </w:pPr>
      <w:r>
        <w:rPr>
          <w:rFonts w:ascii="Arial" w:cs="Arial" w:eastAsia="Arial" w:hAnsi="Arial"/>
          <w:sz w:val="15"/>
          <w:szCs w:val="15"/>
          <w:color w:val="auto"/>
        </w:rPr>
        <w:t>We rely on both algorithmic and paid listing internet search results to drive customer traffic to our websites. Algorithmic listings are determined and displayed solely by a set of formulas designed by internet search engine companies. Paid listings can be purchased and then are displayed if particular words or terms are included in a customer’s internet search.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which could cause our websites to receive less favorable placement and reduce traffic to our websites. In addition, we bid for paid listings against our competitors and third-parties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 w:name="page17"/>
    <w:bookmarkEnd w:id="16"/>
    <w:p>
      <w:pPr>
        <w:ind w:right="160"/>
        <w:spacing w:after="0" w:line="255" w:lineRule="auto"/>
        <w:rPr>
          <w:sz w:val="20"/>
          <w:szCs w:val="20"/>
          <w:color w:val="auto"/>
        </w:rPr>
      </w:pPr>
      <w:r>
        <w:rPr>
          <w:rFonts w:ascii="Arial" w:cs="Arial" w:eastAsia="Arial" w:hAnsi="Arial"/>
          <w:sz w:val="16"/>
          <w:szCs w:val="16"/>
          <w:color w:val="auto"/>
        </w:rPr>
        <w:t>Additionally, changes in regulations or the business practices of third-parties could limit our ability and the ability of search engines and social media platforms, including but not limited to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spacing w:after="0" w:line="87" w:lineRule="exact"/>
        <w:rPr>
          <w:sz w:val="20"/>
          <w:szCs w:val="20"/>
          <w:color w:val="auto"/>
        </w:rPr>
      </w:pPr>
    </w:p>
    <w:p>
      <w:pPr>
        <w:ind w:right="100" w:firstLine="395"/>
        <w:spacing w:after="0" w:line="270"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6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18" w:lineRule="exact"/>
        <w:rPr>
          <w:sz w:val="20"/>
          <w:szCs w:val="20"/>
          <w:color w:val="auto"/>
        </w:rPr>
      </w:pPr>
    </w:p>
    <w:p>
      <w:pPr>
        <w:ind w:right="140" w:firstLine="395"/>
        <w:spacing w:after="0" w:line="235"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w:t>
      </w:r>
      <w:r>
        <w:rPr>
          <w:rFonts w:ascii="Arial" w:cs="Arial" w:eastAsia="Arial" w:hAnsi="Arial"/>
          <w:sz w:val="16"/>
          <w:szCs w:val="16"/>
          <w:color w:val="008080"/>
        </w:rPr>
        <w:t>f employee relations deteriorate or a portion of our employees were to become unionized,</w:t>
      </w:r>
      <w:r>
        <w:rPr>
          <w:rFonts w:ascii="Arial" w:cs="Arial" w:eastAsia="Arial" w:hAnsi="Arial"/>
          <w:sz w:val="16"/>
          <w:szCs w:val="16"/>
          <w:color w:val="auto"/>
        </w:rPr>
        <w:t xml:space="preserve">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the growth and operation of our business.</w:t>
      </w:r>
    </w:p>
    <w:p>
      <w:pPr>
        <w:spacing w:after="0" w:line="84" w:lineRule="exact"/>
        <w:rPr>
          <w:sz w:val="20"/>
          <w:szCs w:val="20"/>
          <w:color w:val="auto"/>
        </w:rPr>
      </w:pPr>
    </w:p>
    <w:p>
      <w:pPr>
        <w:ind w:firstLine="395"/>
        <w:spacing w:after="0" w:line="256" w:lineRule="auto"/>
        <w:rPr>
          <w:sz w:val="20"/>
          <w:szCs w:val="20"/>
          <w:color w:val="auto"/>
        </w:rPr>
      </w:pPr>
      <w:r>
        <w:rPr>
          <w:rFonts w:ascii="Arial" w:cs="Arial" w:eastAsia="Arial" w:hAnsi="Arial"/>
          <w:sz w:val="16"/>
          <w:szCs w:val="16"/>
          <w:color w:val="auto"/>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spacing w:after="0" w:line="71"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third-parties, including our partner ecosystem, and our business would be harmed if we fail to maintain or expand these relationships</w:t>
      </w:r>
    </w:p>
    <w:p>
      <w:pPr>
        <w:spacing w:after="0" w:line="58" w:lineRule="exact"/>
        <w:rPr>
          <w:sz w:val="20"/>
          <w:szCs w:val="20"/>
          <w:color w:val="auto"/>
        </w:rPr>
      </w:pPr>
    </w:p>
    <w:p>
      <w:pPr>
        <w:ind w:right="180" w:firstLine="395"/>
        <w:spacing w:after="0" w:line="253"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partner with a variety of third-parties to provide business license services, website development,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third-parties’ failure to maintain, 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73"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As we seek to add different types of partners to our partner ecosystem, it is uncertain whether these third-parties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and will continue to devote the resources necessary to operate and expand our platform. In addition, integrating third-party technology can be complex, costly and time-consuming. Third-parties may be unwilling to build integrations, and we may be required to devote additional resources to develop integrations for business applications on our own. The contracts applicable to third-parties’ development tools may be unfavorable and add costs or risks to our business or may require us to push additional contract terms to our customers that affect our relationship with our customers. Third-parties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third-parties. If we are unable to respond to these failures in a cost-effective manner, our solutions may become less marketable, less competitive or obsolete, and our results of operations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7" w:name="page18"/>
    <w:bookmarkEnd w:id="17"/>
    <w:p>
      <w:pPr>
        <w:ind w:right="20"/>
        <w:spacing w:after="0" w:line="269" w:lineRule="auto"/>
        <w:rPr>
          <w:sz w:val="20"/>
          <w:szCs w:val="20"/>
          <w:color w:val="auto"/>
        </w:rPr>
      </w:pPr>
      <w:r>
        <w:rPr>
          <w:rFonts w:ascii="Arial" w:cs="Arial" w:eastAsia="Arial" w:hAnsi="Arial"/>
          <w:sz w:val="16"/>
          <w:szCs w:val="16"/>
          <w:b w:val="1"/>
          <w:bCs w:val="1"/>
          <w:i w:val="1"/>
          <w:iCs w:val="1"/>
          <w:color w:val="auto"/>
        </w:rPr>
        <w:t>If we are unable to effectively manage and minimize errors, failures, interruptions or delays caused by third-parties, or if our third-party service providers cease to do business with us, our ability to deliver services to our customers and our business, brand, reputation and results of operations may be adversely affected</w:t>
      </w:r>
    </w:p>
    <w:p>
      <w:pPr>
        <w:spacing w:after="0" w:line="52"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We rely on third-parties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customers may seek other avenues for their business formation, tax or intellectual property needs. We also utilize other third-parties in connection with the fulfillment and distribution of our services, including the independent attorneys in our legal plan network, as well as accountants and tax professionals through our subscription plans, and a third-party to support our registered agent subscription services. Our platform also interoperates with certain third-party sites. As a result, our results may be affected by the performance of those parties and the interoperability of our platform with other sites. If certain third-parties limit certain integration functionality, change their treatment of our services at any time, or experience quality issues, such as bugs and defects, our revenue, results of operations and future prospects may be adversely affected.</w:t>
      </w:r>
    </w:p>
    <w:p>
      <w:pPr>
        <w:spacing w:after="0" w:line="76"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third-parties in order to provide certain elements of our solutions. We exercise limited control over these third-parties,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91"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i w:val="1"/>
          <w:iCs w:val="1"/>
          <w:color w:val="auto"/>
        </w:rPr>
        <w:t>Our failure to successfully address the evolving market for transactions on mobile devices and to build mobile products could harm our business</w:t>
      </w:r>
    </w:p>
    <w:p>
      <w:pPr>
        <w:spacing w:after="0" w:line="117"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106" w:lineRule="exact"/>
        <w:rPr>
          <w:sz w:val="20"/>
          <w:szCs w:val="20"/>
          <w:color w:val="auto"/>
        </w:rPr>
      </w:pPr>
    </w:p>
    <w:p>
      <w:pPr>
        <w:ind w:right="200" w:firstLine="395"/>
        <w:spacing w:after="0" w:line="256"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such acquisitions or investments, whether or not they are consummated, include, but are not limited to:</w:t>
      </w:r>
    </w:p>
    <w:p>
      <w:pPr>
        <w:spacing w:after="0" w:line="71" w:lineRule="exact"/>
        <w:rPr>
          <w:sz w:val="20"/>
          <w:szCs w:val="20"/>
          <w:color w:val="auto"/>
        </w:rPr>
      </w:pPr>
    </w:p>
    <w:p>
      <w:pPr>
        <w:ind w:left="720" w:right="80" w:hanging="311"/>
        <w:spacing w:after="0" w:line="263" w:lineRule="auto"/>
        <w:tabs>
          <w:tab w:leader="none" w:pos="70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spacing w:after="0" w:line="66" w:lineRule="exact"/>
        <w:rPr>
          <w:rFonts w:ascii="Arial" w:cs="Arial" w:eastAsia="Arial" w:hAnsi="Arial"/>
          <w:sz w:val="16"/>
          <w:szCs w:val="16"/>
          <w:color w:val="auto"/>
        </w:rPr>
      </w:pPr>
    </w:p>
    <w:p>
      <w:pPr>
        <w:ind w:left="720" w:right="80" w:hanging="311"/>
        <w:spacing w:after="0" w:line="287" w:lineRule="auto"/>
        <w:tabs>
          <w:tab w:leader="none" w:pos="70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8" w:name="page19"/>
    <w:bookmarkEnd w:id="18"/>
    <w:p>
      <w:pPr>
        <w:ind w:left="720" w:hanging="311"/>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 on a timely basis, if at all;</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acquisition or investment may disrupt our ongoing business, divert resources, increase our expenses and distract our management;</w:t>
      </w:r>
    </w:p>
    <w:p>
      <w:pPr>
        <w:spacing w:after="0" w:line="118" w:lineRule="exact"/>
        <w:rPr>
          <w:rFonts w:ascii="Arial" w:cs="Arial" w:eastAsia="Arial" w:hAnsi="Arial"/>
          <w:sz w:val="16"/>
          <w:szCs w:val="16"/>
          <w:color w:val="auto"/>
        </w:rPr>
      </w:pPr>
    </w:p>
    <w:p>
      <w:pPr>
        <w:ind w:left="720" w:right="660" w:hanging="311"/>
        <w:spacing w:after="0" w:line="270" w:lineRule="auto"/>
        <w:tabs>
          <w:tab w:leader="none" w:pos="70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acquisition or investment may result in a delay or reduction of customer purchases for both us and the company acquired due to customer uncertainty about continuity and effectiveness of service from either company;</w:t>
      </w:r>
    </w:p>
    <w:p>
      <w:pPr>
        <w:spacing w:after="0" w:line="72" w:lineRule="exact"/>
        <w:rPr>
          <w:rFonts w:ascii="Arial" w:cs="Arial" w:eastAsia="Arial" w:hAnsi="Arial"/>
          <w:sz w:val="16"/>
          <w:szCs w:val="16"/>
          <w:color w:val="auto"/>
        </w:rPr>
      </w:pPr>
    </w:p>
    <w:p>
      <w:pPr>
        <w:ind w:left="720" w:hanging="311"/>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use of cash to pay for acquisitions or other investments would limit other potential uses for our cash;</w:t>
      </w:r>
    </w:p>
    <w:p>
      <w:pPr>
        <w:spacing w:after="0" w:line="105" w:lineRule="exact"/>
        <w:rPr>
          <w:rFonts w:ascii="Arial" w:cs="Arial" w:eastAsia="Arial" w:hAnsi="Arial"/>
          <w:sz w:val="16"/>
          <w:szCs w:val="16"/>
          <w:color w:val="auto"/>
        </w:rPr>
      </w:pPr>
    </w:p>
    <w:p>
      <w:pPr>
        <w:ind w:left="720" w:right="200" w:hanging="311"/>
        <w:spacing w:after="0" w:line="287" w:lineRule="auto"/>
        <w:tabs>
          <w:tab w:leader="none" w:pos="70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46" w:lineRule="exact"/>
        <w:rPr>
          <w:rFonts w:ascii="Arial" w:cs="Arial" w:eastAsia="Arial" w:hAnsi="Arial"/>
          <w:sz w:val="16"/>
          <w:szCs w:val="16"/>
          <w:color w:val="auto"/>
        </w:rPr>
      </w:pPr>
    </w:p>
    <w:p>
      <w:pPr>
        <w:ind w:left="720" w:right="200" w:hanging="311"/>
        <w:spacing w:after="0" w:line="287" w:lineRule="auto"/>
        <w:tabs>
          <w:tab w:leader="none" w:pos="70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any future acquisitions, existing stockholders may be diluted and earnings per share may decrease.</w:t>
      </w:r>
    </w:p>
    <w:p>
      <w:pPr>
        <w:spacing w:after="0" w:line="47"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our revenue growth rate, we may not maintain profitability in the future</w:t>
      </w:r>
    </w:p>
    <w:p>
      <w:pPr>
        <w:spacing w:after="0" w:line="106"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w:t>
      </w:r>
    </w:p>
    <w:p>
      <w:pPr>
        <w:spacing w:after="0" w:line="66" w:lineRule="exact"/>
        <w:rPr>
          <w:sz w:val="20"/>
          <w:szCs w:val="20"/>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 and expand our customer base;</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 revenue from existing customers through increased or broader use of our services; provide high-quality services to customers;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improve the performance and capabilities of our services through research and development;</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 new services;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 the rate at which customers purchase our subscriptions;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identify and acquire or invest in new businesses, products or technologies that we believe could complement or expand our platform;</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continue to successfully expand our business; and</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successfully compete with other companies.</w:t>
      </w:r>
    </w:p>
    <w:p>
      <w:pPr>
        <w:spacing w:after="0" w:line="119" w:lineRule="exact"/>
        <w:rPr>
          <w:sz w:val="20"/>
          <w:szCs w:val="20"/>
          <w:color w:val="auto"/>
        </w:rPr>
      </w:pPr>
    </w:p>
    <w:p>
      <w:pPr>
        <w:ind w:right="380" w:firstLine="395"/>
        <w:spacing w:after="0" w:line="270"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60"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66"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9" w:name="page20"/>
    <w:bookmarkEnd w:id="19"/>
    <w:p>
      <w:pPr>
        <w:ind w:right="40"/>
        <w:spacing w:after="0" w:line="263" w:lineRule="auto"/>
        <w:rPr>
          <w:sz w:val="20"/>
          <w:szCs w:val="20"/>
          <w:color w:val="auto"/>
        </w:rPr>
      </w:pPr>
      <w:r>
        <w:rPr>
          <w:rFonts w:ascii="Arial" w:cs="Arial" w:eastAsia="Arial" w:hAnsi="Arial"/>
          <w:sz w:val="16"/>
          <w:szCs w:val="16"/>
          <w:color w:val="auto"/>
        </w:rPr>
        <w:t>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spacing w:after="0" w:line="66" w:lineRule="exact"/>
        <w:rPr>
          <w:sz w:val="20"/>
          <w:szCs w:val="20"/>
          <w:color w:val="auto"/>
        </w:rPr>
      </w:pPr>
    </w:p>
    <w:p>
      <w:pPr>
        <w:ind w:right="60" w:firstLine="395"/>
        <w:spacing w:after="0" w:line="256" w:lineRule="auto"/>
        <w:rPr>
          <w:sz w:val="20"/>
          <w:szCs w:val="20"/>
          <w:color w:val="auto"/>
        </w:rPr>
      </w:pPr>
      <w:r>
        <w:rPr>
          <w:rFonts w:ascii="Arial" w:cs="Arial" w:eastAsia="Arial" w:hAnsi="Arial"/>
          <w:sz w:val="16"/>
          <w:szCs w:val="16"/>
          <w:color w:val="auto"/>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71"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52"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disruptions, outages and other performance problems due to a variety of factors, including infrastructure maintenance, human or software errors, ransomware attacks, capacity constraints, denial or degradation of service, fraud or security attacks. In some instances, the steps we have taken to try to prevent these attacks and disruptions and mitigate their potential impact on our systems and operations may be expensive and may not be successful in preventing system failures. In addition, dependence upon automated systems may further increase the risk that operational system flaws, employee error or tampering,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98"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LegalZoom or our service providers. These physical locations are vulnerable to damage or interruption from natural disasters, adverse weather conditions, power losses, telecommunication failures, terrorist attacks, human errors,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7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i w:val="1"/>
          <w:iCs w:val="1"/>
          <w:color w:val="auto"/>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spacing w:after="0" w:line="58"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We have been or could become involved in lawsuits and other actions brought by customers, purported competitors, regulators, and other parties alleging that we engage in the unauthorized practice of law, unfairly compete or otherwise violate the law. We could also be subject to claims, lawsuits, arbitrations, regulatory actions, or other legal proceedings involving a litany of issues, including patent, trademark, trade secret and other intellectual property matters, taxes, labor and employment, competition and antitrust, privacy, data use, data protection,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6"/>
          <w:szCs w:val="16"/>
          <w:color w:val="auto"/>
        </w:rPr>
        <w:t>security, network security, consumer protection, unfair business practices, breach of contract and other matters. We anticipate that we will continue to be a target for such lawsuits in the future.</w:t>
      </w:r>
    </w:p>
    <w:p>
      <w:pPr>
        <w:spacing w:after="0" w:line="73" w:lineRule="exact"/>
        <w:rPr>
          <w:sz w:val="20"/>
          <w:szCs w:val="20"/>
          <w:color w:val="auto"/>
        </w:rPr>
      </w:pPr>
    </w:p>
    <w:p>
      <w:pPr>
        <w:ind w:firstLine="395"/>
        <w:spacing w:after="0" w:line="269" w:lineRule="auto"/>
        <w:rPr>
          <w:sz w:val="20"/>
          <w:szCs w:val="20"/>
          <w:color w:val="auto"/>
        </w:rPr>
      </w:pPr>
      <w:r>
        <w:rPr>
          <w:rFonts w:ascii="Arial" w:cs="Arial" w:eastAsia="Arial" w:hAnsi="Arial"/>
          <w:sz w:val="15"/>
          <w:szCs w:val="15"/>
          <w:color w:val="auto"/>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63"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We also may encounter future claims. For example, our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79" w:lineRule="exact"/>
        <w:rPr>
          <w:sz w:val="20"/>
          <w:szCs w:val="20"/>
          <w:color w:val="auto"/>
        </w:rPr>
      </w:pPr>
    </w:p>
    <w:p>
      <w:pPr>
        <w:ind w:right="680"/>
        <w:spacing w:after="0" w:line="297"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32" w:lineRule="exact"/>
        <w:rPr>
          <w:sz w:val="20"/>
          <w:szCs w:val="20"/>
          <w:color w:val="auto"/>
        </w:rPr>
      </w:pPr>
    </w:p>
    <w:p>
      <w:pPr>
        <w:ind w:right="80" w:firstLine="395"/>
        <w:spacing w:after="0" w:line="251"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76"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108"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58" w:lineRule="exact"/>
        <w:rPr>
          <w:sz w:val="20"/>
          <w:szCs w:val="20"/>
          <w:color w:val="auto"/>
        </w:rPr>
      </w:pPr>
    </w:p>
    <w:p>
      <w:pPr>
        <w:ind w:right="100" w:firstLine="395"/>
        <w:spacing w:after="0" w:line="251"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p>
      <w:pPr>
        <w:ind w:right="80"/>
        <w:spacing w:after="0" w:line="263" w:lineRule="auto"/>
        <w:rPr>
          <w:sz w:val="20"/>
          <w:szCs w:val="20"/>
          <w:color w:val="auto"/>
        </w:rPr>
      </w:pPr>
      <w:r>
        <w:rPr>
          <w:rFonts w:ascii="Arial" w:cs="Arial" w:eastAsia="Arial" w:hAnsi="Arial"/>
          <w:sz w:val="16"/>
          <w:szCs w:val="16"/>
          <w:color w:val="auto"/>
        </w:rPr>
        <w:t>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52"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79" w:lineRule="exact"/>
        <w:rPr>
          <w:sz w:val="20"/>
          <w:szCs w:val="20"/>
          <w:color w:val="auto"/>
        </w:rPr>
      </w:pPr>
    </w:p>
    <w:p>
      <w:pPr>
        <w:ind w:right="40" w:firstLine="395"/>
        <w:spacing w:after="0" w:line="261"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68"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58"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implemented the initial phase of our new ERP software system and related infrastructure in the first quarter of 2022. We will continue the process of implementing the ERP on a company-wide basis to support future growth and to integrate our processes.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73" w:lineRule="exact"/>
        <w:rPr>
          <w:sz w:val="20"/>
          <w:szCs w:val="20"/>
          <w:color w:val="auto"/>
        </w:rPr>
      </w:pPr>
    </w:p>
    <w:p>
      <w:pPr>
        <w:ind w:right="60"/>
        <w:spacing w:after="0" w:line="333" w:lineRule="auto"/>
        <w:rPr>
          <w:sz w:val="20"/>
          <w:szCs w:val="20"/>
          <w:color w:val="auto"/>
        </w:rPr>
      </w:pPr>
      <w:r>
        <w:rPr>
          <w:rFonts w:ascii="Arial" w:cs="Arial" w:eastAsia="Arial" w:hAnsi="Arial"/>
          <w:sz w:val="15"/>
          <w:szCs w:val="15"/>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8" w:lineRule="exact"/>
        <w:rPr>
          <w:sz w:val="20"/>
          <w:szCs w:val="20"/>
          <w:color w:val="auto"/>
        </w:rPr>
      </w:pPr>
    </w:p>
    <w:p>
      <w:pPr>
        <w:ind w:right="60" w:firstLine="395"/>
        <w:spacing w:after="0" w:line="250" w:lineRule="auto"/>
        <w:rPr>
          <w:sz w:val="20"/>
          <w:szCs w:val="20"/>
          <w:color w:val="auto"/>
        </w:rPr>
      </w:pPr>
      <w:r>
        <w:rPr>
          <w:rFonts w:ascii="Arial" w:cs="Arial" w:eastAsia="Arial" w:hAnsi="Arial"/>
          <w:sz w:val="16"/>
          <w:szCs w:val="16"/>
          <w:color w:val="auto"/>
        </w:rPr>
        <w:t>As discussed in the Explanatory Note preceding Part I, Item I above and in Note 24 to our consolidated financial statements included elsewhere in this Annual Report on Form 10-K, we determined to restate our unaudited condensed consolidated financial statements as of and for the three months ended March 31, 2022, three and six months ended June 30, 2022 and three and nine months ended September 30, 2022 after we identified an error within our income tax provision relating to the identification of named executive officers subject to limitation on the deductibility of executive compensation under Internal Revenue Code Section 162(m).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78"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disclosed in Part II, Item 9A, “Controls and Procedures” in this Annual Report on Form 10-K, we identified the following material weaknesses as of</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w:t>
      </w:r>
    </w:p>
    <w:p>
      <w:pPr>
        <w:spacing w:after="0" w:line="78" w:lineRule="exact"/>
        <w:rPr>
          <w:sz w:val="20"/>
          <w:szCs w:val="20"/>
          <w:color w:val="auto"/>
        </w:rPr>
      </w:pPr>
    </w:p>
    <w:p>
      <w:pPr>
        <w:ind w:left="720" w:right="620" w:hanging="311"/>
        <w:spacing w:after="0" w:line="304" w:lineRule="auto"/>
        <w:tabs>
          <w:tab w:leader="none" w:pos="709"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23" w:lineRule="exact"/>
        <w:rPr>
          <w:rFonts w:ascii="Arial" w:cs="Arial" w:eastAsia="Arial" w:hAnsi="Arial"/>
          <w:sz w:val="15"/>
          <w:szCs w:val="15"/>
          <w:color w:val="auto"/>
        </w:rPr>
      </w:pPr>
    </w:p>
    <w:p>
      <w:pPr>
        <w:ind w:left="720" w:right="300" w:hanging="311"/>
        <w:spacing w:after="0" w:line="270" w:lineRule="auto"/>
        <w:tabs>
          <w:tab w:leader="none" w:pos="709"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2" w:name="page23"/>
    <w:bookmarkEnd w:id="22"/>
    <w:p>
      <w:pPr>
        <w:ind w:left="720" w:right="340" w:hanging="311"/>
        <w:spacing w:after="0" w:line="253" w:lineRule="auto"/>
        <w:tabs>
          <w:tab w:leader="none" w:pos="70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the income tax provision and certain account analyses and account reconciliations.</w:t>
      </w:r>
    </w:p>
    <w:p>
      <w:pPr>
        <w:spacing w:after="0" w:line="86"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or transactions and certain account reconciliations and certain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74" w:lineRule="exact"/>
        <w:rPr>
          <w:sz w:val="20"/>
          <w:szCs w:val="20"/>
          <w:color w:val="auto"/>
        </w:rPr>
      </w:pPr>
    </w:p>
    <w:p>
      <w:pPr>
        <w:ind w:right="20" w:firstLine="395"/>
        <w:spacing w:after="0" w:line="233" w:lineRule="auto"/>
        <w:rPr>
          <w:sz w:val="20"/>
          <w:szCs w:val="20"/>
          <w:color w:val="auto"/>
        </w:rPr>
      </w:pPr>
      <w:r>
        <w:rPr>
          <w:rFonts w:ascii="Arial" w:cs="Arial" w:eastAsia="Arial" w:hAnsi="Arial"/>
          <w:sz w:val="16"/>
          <w:szCs w:val="16"/>
          <w:color w:val="auto"/>
        </w:rPr>
        <w:t>As a result of the foregoing material weaknesses, management concluded that our internal control over financial reporting was not effective as of December 31, 2022. We have designed and implemented a plan to remediate the material weaknesses identified. See Part II, Item 9A, “Controls and Procedures” in this Annual Report on Form 10-K for additional information regarding our remediation plan. We cannot assure you that these measures will significantly improve or remediate the material weaknesses described above on a timely basis, if at all. The implementation of these remediation measures will require validation and testing of the design and operating effectiveness of internal control over a sustained period of financial reporting cycles. If the steps we have taken do not remediate the material weaknesses in a timely manner, there could continue to be a reasonable possibility that these control deficiencies or others would result in an additional material misstatement of our annual or interim financial statements that would not be prevented or detected on a timely basis. If this occurs, it could adversely impact the accuracy and timing of our financial reporting and our stock price which, in turn, could jeopardize our ability to comply with our reporting obligations, limit our ability to access the capital markets and adversely impact our stock price. In addition, investors’ perceptions that our internal control over financial reporting is inadequate or that we are unable to produce accurate financial statements on a timely basis may make it more difficult for us to effectively market and sell our services to new and existing customers.</w:t>
      </w:r>
    </w:p>
    <w:p>
      <w:pPr>
        <w:spacing w:after="0" w:line="88" w:lineRule="exact"/>
        <w:rPr>
          <w:sz w:val="20"/>
          <w:szCs w:val="20"/>
          <w:color w:val="auto"/>
        </w:rPr>
      </w:pPr>
    </w:p>
    <w:p>
      <w:pPr>
        <w:ind w:right="520"/>
        <w:spacing w:after="0" w:line="297"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32"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We are required to maintain internal control over financial reporting and to report any material weaknesses in such internal control. Beginning with this Annual Report on Form 10-K, we are required to furnish a report by management on the effectiveness of our internal control over financial reporting pursuant to Section 404 and our independent registered public accounting firm is required to attest to the effectiveness of our internal control over financial reporting.</w:t>
      </w:r>
    </w:p>
    <w:p>
      <w:pPr>
        <w:spacing w:after="0" w:line="66" w:lineRule="exact"/>
        <w:rPr>
          <w:sz w:val="20"/>
          <w:szCs w:val="20"/>
          <w:color w:val="auto"/>
        </w:rPr>
      </w:pPr>
    </w:p>
    <w:p>
      <w:pPr>
        <w:ind w:right="180" w:firstLine="395"/>
        <w:spacing w:after="0" w:line="261" w:lineRule="auto"/>
        <w:rPr>
          <w:sz w:val="20"/>
          <w:szCs w:val="20"/>
          <w:color w:val="auto"/>
        </w:rPr>
      </w:pPr>
      <w:r>
        <w:rPr>
          <w:rFonts w:ascii="Arial" w:cs="Arial" w:eastAsia="Arial" w:hAnsi="Arial"/>
          <w:sz w:val="16"/>
          <w:szCs w:val="16"/>
          <w:color w:val="auto"/>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spacing w:after="0" w:line="68"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During the evaluation and testing process of our internal control over financial reporting, we identified material weaknesses in our internal control over financial reporting and, as a result, we are unable to assert that our internal control over financial reporting is effective as of December 31, 2022.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As a result of our material weaknesses in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remedy the material weaknesses in our internal control over financial reporting on a timely basis, if at all, or to implement or maintain other effective control systems required of public companies could also restrict our future access to the capital markets.</w:t>
      </w:r>
    </w:p>
    <w:p>
      <w:pPr>
        <w:spacing w:after="0" w:line="78" w:lineRule="exact"/>
        <w:rPr>
          <w:sz w:val="20"/>
          <w:szCs w:val="20"/>
          <w:color w:val="auto"/>
        </w:rPr>
      </w:pPr>
    </w:p>
    <w:p>
      <w:pPr>
        <w:jc w:val="both"/>
        <w:ind w:right="220"/>
        <w:spacing w:after="0" w:line="269" w:lineRule="auto"/>
        <w:rPr>
          <w:sz w:val="20"/>
          <w:szCs w:val="20"/>
          <w:color w:val="auto"/>
        </w:rPr>
      </w:pPr>
      <w:r>
        <w:rPr>
          <w:rFonts w:ascii="Arial" w:cs="Arial" w:eastAsia="Arial" w:hAnsi="Arial"/>
          <w:sz w:val="16"/>
          <w:szCs w:val="16"/>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66" w:lineRule="exact"/>
        <w:rPr>
          <w:sz w:val="20"/>
          <w:szCs w:val="20"/>
          <w:color w:val="auto"/>
        </w:rPr>
      </w:pPr>
    </w:p>
    <w:p>
      <w:pPr>
        <w:ind w:right="100" w:firstLine="395"/>
        <w:spacing w:after="0" w:line="255" w:lineRule="auto"/>
        <w:rPr>
          <w:sz w:val="20"/>
          <w:szCs w:val="20"/>
          <w:color w:val="auto"/>
        </w:rPr>
      </w:pPr>
      <w:r>
        <w:rPr>
          <w:rFonts w:ascii="Arial" w:cs="Arial" w:eastAsia="Arial" w:hAnsi="Arial"/>
          <w:sz w:val="16"/>
          <w:szCs w:val="16"/>
          <w:color w:val="auto"/>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3" w:name="page24"/>
    <w:bookmarkEnd w:id="23"/>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06" w:lineRule="exact"/>
        <w:rPr>
          <w:sz w:val="20"/>
          <w:szCs w:val="20"/>
          <w:color w:val="auto"/>
        </w:rPr>
      </w:pPr>
    </w:p>
    <w:p>
      <w:pPr>
        <w:ind w:firstLine="395"/>
        <w:spacing w:after="0" w:line="272" w:lineRule="auto"/>
        <w:rPr>
          <w:sz w:val="20"/>
          <w:szCs w:val="20"/>
          <w:color w:val="auto"/>
        </w:rPr>
      </w:pPr>
      <w:r>
        <w:rPr>
          <w:rFonts w:ascii="Arial" w:cs="Arial" w:eastAsia="Arial" w:hAnsi="Arial"/>
          <w:sz w:val="15"/>
          <w:szCs w:val="15"/>
          <w:color w:val="auto"/>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w:t>
      </w:r>
    </w:p>
    <w:p>
      <w:pPr>
        <w:spacing w:after="0" w:line="14"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spacing w:after="0" w:line="62"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spacing w:after="0" w:line="6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i w:val="1"/>
          <w:iCs w:val="1"/>
          <w:color w:val="auto"/>
        </w:rPr>
        <w:t>When the London Interbank Offered Rate, or LIBOR is discontinued, borrowing costs under the 2021 Revolving Facility or agreements governing any of our future indebtedness will be calculated using another reference rate, which may cause substantial uncertainty as to the effect of such replacement on our borrowing costs</w:t>
      </w:r>
    </w:p>
    <w:p>
      <w:pPr>
        <w:spacing w:after="0" w:line="52"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On March 5, 2021, the ICE Benchmark Administration, or IBA, the administrator of the London Interbank Offered Rate, or LIBOR, the U.K. Financial Conduct Authority, or FCA, the regulatory supervisor of the IBA, announced in public statements, or Announcements, that the final publication or representativeness date for one-week and two-month USD LIBOR would be December 31, 2021 and all other USD LIBOR tenors (overnight, one-month, three-month, nine-month and 12-month) will be June 30, 2023. As a result, USD LIBOR will not be available for use in agreement and other instruments after the relevant cessation date and may ultimately cease to be utilized in advance of such relevant cessation date. In April 2018, the Federal Reserve Bank of New York commenced publishing the Secured Overnight Financing Rate, or SOFR, an alternative reference rate to USD LIBOR. USD LIBOR is used as a benchmark reference throughout the 2021 Revolving Facility. While the 2021 Revolving Facility provides fallback language in the event USD LIBOR ceases to be published, including the possibility of designation of a replacement rate by the administrative agent under the 2021 Revolving Facility, there is uncertainty as to the effect of such replacement on our borrowing costs. If future rates based upon SOFR are higher or more volatile than USD LIBOR rates as currently determined or if our lenders have increased costs due to changes in LIBOR, we may experience potential increases in interest rates on any variable rate debt, which could adversely impact our interest expense, results of operations and cash flows. In addition, we will need to renegotiate the 2021 Revolving Facility in order to replace USD LIBOR with SOFR. As such, the full effect of any such event on our borrowing costs or the effectiveness of certain related transactions such as hedges cannot yet be determined.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119"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In the future, we may enter into contractual arrangements designed to hedge our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24" w:name="page25"/>
    <w:bookmarkEnd w:id="24"/>
    <w:p>
      <w:pPr>
        <w:ind w:right="40"/>
        <w:spacing w:after="0" w:line="255" w:lineRule="auto"/>
        <w:rPr>
          <w:sz w:val="20"/>
          <w:szCs w:val="20"/>
          <w:color w:val="auto"/>
        </w:rPr>
      </w:pPr>
      <w:r>
        <w:rPr>
          <w:rFonts w:ascii="Arial" w:cs="Arial" w:eastAsia="Arial" w:hAnsi="Arial"/>
          <w:sz w:val="16"/>
          <w:szCs w:val="16"/>
          <w:color w:val="auto"/>
        </w:rPr>
        <w:t>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could affect our financial condition, results of operations, and cash flows</w:t>
      </w:r>
    </w:p>
    <w:p>
      <w:pPr>
        <w:spacing w:after="0" w:line="106"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Under the Tax Cuts and Jobs Act of 2017, research and development costs are no longer fully deductible and are required to be capitalized and amortized for U.S. tax purposes effective January 1, 2022. The mandatory capitalization requirement could have an impact on our deferred tax assets and cash tax liabilities.</w:t>
      </w:r>
    </w:p>
    <w:p>
      <w:pPr>
        <w:spacing w:after="0" w:line="79"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73" w:lineRule="exact"/>
        <w:rPr>
          <w:sz w:val="20"/>
          <w:szCs w:val="20"/>
          <w:color w:val="auto"/>
        </w:rPr>
      </w:pPr>
    </w:p>
    <w:p>
      <w:pPr>
        <w:ind w:right="20" w:firstLine="395"/>
        <w:spacing w:after="0" w:line="238" w:lineRule="auto"/>
        <w:rPr>
          <w:sz w:val="20"/>
          <w:szCs w:val="20"/>
          <w:color w:val="auto"/>
        </w:rPr>
      </w:pPr>
      <w:r>
        <w:rPr>
          <w:rFonts w:ascii="Arial" w:cs="Arial" w:eastAsia="Arial" w:hAnsi="Arial"/>
          <w:sz w:val="15"/>
          <w:szCs w:val="15"/>
          <w:color w:val="auto"/>
        </w:rPr>
        <w:t>In addition, the Inflation Reduction Act of 2022, enacted in August 2022, imposes a 1% excise tax on net repurchases of shares by domestic corporations whose stock is traded on an established securities market. The excise tax will be imposed on repurchases that occur after December 31, 2022. The imposition of</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6"/>
          <w:szCs w:val="16"/>
          <w:color w:val="auto"/>
        </w:rPr>
        <w:t>the excise tax on repurchases of our shares will increase the cost to us of making repurchases and could cause management to reduce the number of shares repurchased pursuant to our stock repurchase program.</w:t>
      </w:r>
    </w:p>
    <w:p>
      <w:pPr>
        <w:spacing w:after="0" w:line="83"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119"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w:t>
      </w:r>
    </w:p>
    <w:p>
      <w:pPr>
        <w:spacing w:after="0" w:line="87"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color w:val="auto"/>
        </w:rPr>
        <w:t>At December 31, 2022, we had federal NOL carryforwards of $16.8 million, which will begin to expire in 2032. At December 31, 2022, we had state NOL carryforwards of $59.9 million, which will begin to expire in 2027 and we had foreign NOL carryforwards of $33.6 million, which can be carried forward indefinitely and are not subject to expiration.</w:t>
      </w:r>
    </w:p>
    <w:p>
      <w:pPr>
        <w:spacing w:after="0" w:line="85"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06"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5" w:name="page26"/>
    <w:bookmarkEnd w:id="25"/>
    <w:p>
      <w:pPr>
        <w:jc w:val="both"/>
        <w:ind w:right="200"/>
        <w:spacing w:after="0" w:line="263" w:lineRule="auto"/>
        <w:rPr>
          <w:sz w:val="20"/>
          <w:szCs w:val="20"/>
          <w:color w:val="auto"/>
        </w:rPr>
      </w:pPr>
      <w:r>
        <w:rPr>
          <w:rFonts w:ascii="Arial" w:cs="Arial" w:eastAsia="Arial" w:hAnsi="Arial"/>
          <w:sz w:val="16"/>
          <w:szCs w:val="16"/>
          <w:color w:val="auto"/>
        </w:rPr>
        <w:t>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19" w:lineRule="exact"/>
        <w:rPr>
          <w:sz w:val="20"/>
          <w:szCs w:val="20"/>
          <w:color w:val="auto"/>
        </w:rPr>
      </w:pPr>
    </w:p>
    <w:p>
      <w:pPr>
        <w:ind w:left="720" w:hanging="311"/>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Tax Act and the CARES Act;</w:t>
      </w:r>
    </w:p>
    <w:p>
      <w:pPr>
        <w:spacing w:after="0" w:line="105" w:lineRule="exact"/>
        <w:rPr>
          <w:rFonts w:ascii="Arial" w:cs="Arial" w:eastAsia="Arial" w:hAnsi="Arial"/>
          <w:sz w:val="16"/>
          <w:szCs w:val="16"/>
          <w:color w:val="auto"/>
        </w:rPr>
      </w:pPr>
    </w:p>
    <w:p>
      <w:pPr>
        <w:ind w:left="720" w:right="380" w:hanging="311"/>
        <w:spacing w:after="0" w:line="287" w:lineRule="auto"/>
        <w:tabs>
          <w:tab w:leader="none" w:pos="7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6" w:lineRule="exact"/>
        <w:rPr>
          <w:rFonts w:ascii="Arial" w:cs="Arial" w:eastAsia="Arial" w:hAnsi="Arial"/>
          <w:sz w:val="16"/>
          <w:szCs w:val="16"/>
          <w:color w:val="auto"/>
        </w:rPr>
      </w:pPr>
    </w:p>
    <w:p>
      <w:pPr>
        <w:ind w:left="720" w:hanging="311"/>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10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32"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may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108"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32" w:lineRule="exact"/>
        <w:rPr>
          <w:sz w:val="20"/>
          <w:szCs w:val="20"/>
          <w:color w:val="auto"/>
        </w:rPr>
      </w:pPr>
    </w:p>
    <w:p>
      <w:pPr>
        <w:ind w:right="40" w:firstLine="395"/>
        <w:spacing w:after="0" w:line="270"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73" w:lineRule="exact"/>
        <w:rPr>
          <w:sz w:val="20"/>
          <w:szCs w:val="20"/>
          <w:color w:val="auto"/>
        </w:rPr>
      </w:pPr>
    </w:p>
    <w:p>
      <w:pPr>
        <w:ind w:left="720" w:right="120" w:hanging="311"/>
        <w:spacing w:after="0" w:line="255" w:lineRule="auto"/>
        <w:tabs>
          <w:tab w:leader="none" w:pos="7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73" w:lineRule="exact"/>
        <w:rPr>
          <w:rFonts w:ascii="Arial" w:cs="Arial" w:eastAsia="Arial" w:hAnsi="Arial"/>
          <w:sz w:val="16"/>
          <w:szCs w:val="16"/>
          <w:color w:val="auto"/>
        </w:rPr>
      </w:pPr>
    </w:p>
    <w:p>
      <w:pPr>
        <w:ind w:left="720" w:right="120" w:hanging="311"/>
        <w:spacing w:after="0" w:line="261" w:lineRule="auto"/>
        <w:tabs>
          <w:tab w:leader="none" w:pos="7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CPL.</w:t>
      </w:r>
    </w:p>
    <w:p>
      <w:pPr>
        <w:spacing w:after="0" w:line="68" w:lineRule="exact"/>
        <w:rPr>
          <w:rFonts w:ascii="Arial" w:cs="Arial" w:eastAsia="Arial" w:hAnsi="Arial"/>
          <w:sz w:val="16"/>
          <w:szCs w:val="16"/>
          <w:color w:val="auto"/>
        </w:rPr>
      </w:pPr>
    </w:p>
    <w:p>
      <w:pPr>
        <w:ind w:left="720" w:hanging="311"/>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05" w:lineRule="exact"/>
        <w:rPr>
          <w:rFonts w:ascii="Arial" w:cs="Arial" w:eastAsia="Arial" w:hAnsi="Arial"/>
          <w:sz w:val="16"/>
          <w:szCs w:val="16"/>
          <w:color w:val="auto"/>
        </w:rPr>
      </w:pPr>
    </w:p>
    <w:p>
      <w:pPr>
        <w:ind w:left="720" w:right="100" w:hanging="311"/>
        <w:spacing w:after="0" w:line="287" w:lineRule="auto"/>
        <w:tabs>
          <w:tab w:leader="none" w:pos="7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47"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spacing w:after="0" w:line="66" w:lineRule="exact"/>
        <w:rPr>
          <w:sz w:val="20"/>
          <w:szCs w:val="20"/>
          <w:color w:val="auto"/>
        </w:rPr>
      </w:pPr>
    </w:p>
    <w:p>
      <w:pPr>
        <w:ind w:right="280" w:firstLine="395"/>
        <w:spacing w:after="0" w:line="289" w:lineRule="auto"/>
        <w:rPr>
          <w:sz w:val="20"/>
          <w:szCs w:val="20"/>
          <w:color w:val="auto"/>
        </w:rPr>
      </w:pPr>
      <w:r>
        <w:rPr>
          <w:rFonts w:ascii="Arial" w:cs="Arial" w:eastAsia="Arial" w:hAnsi="Arial"/>
          <w:sz w:val="15"/>
          <w:szCs w:val="15"/>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we structure our business and services. These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6" w:name="page27"/>
    <w:bookmarkEnd w:id="26"/>
    <w:p>
      <w:pPr>
        <w:ind w:right="360"/>
        <w:spacing w:after="0" w:line="263" w:lineRule="auto"/>
        <w:rPr>
          <w:sz w:val="20"/>
          <w:szCs w:val="20"/>
          <w:color w:val="auto"/>
        </w:rPr>
      </w:pPr>
      <w:r>
        <w:rPr>
          <w:rFonts w:ascii="Arial" w:cs="Arial" w:eastAsia="Arial" w:hAnsi="Arial"/>
          <w:sz w:val="16"/>
          <w:szCs w:val="16"/>
          <w:color w:val="auto"/>
        </w:rPr>
        <w:t>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66"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77" w:lineRule="exact"/>
        <w:rPr>
          <w:sz w:val="20"/>
          <w:szCs w:val="20"/>
          <w:color w:val="auto"/>
        </w:rPr>
      </w:pPr>
    </w:p>
    <w:p>
      <w:pPr>
        <w:ind w:right="860"/>
        <w:spacing w:after="0" w:line="280" w:lineRule="auto"/>
        <w:rPr>
          <w:sz w:val="20"/>
          <w:szCs w:val="20"/>
          <w:color w:val="auto"/>
        </w:rPr>
      </w:pPr>
      <w:r>
        <w:rPr>
          <w:rFonts w:ascii="Arial" w:cs="Arial" w:eastAsia="Arial" w:hAnsi="Arial"/>
          <w:sz w:val="16"/>
          <w:szCs w:val="16"/>
          <w:b w:val="1"/>
          <w:bCs w:val="1"/>
          <w:i w:val="1"/>
          <w:iCs w:val="1"/>
          <w:color w:val="auto"/>
        </w:rPr>
        <w:t>Our Arizona subsidiary, which is licensed as an ABS, may not insulate us from claims of the unauthorized practice of law and is subject to restrictions under Arizona Code of Judicial Administration</w:t>
      </w:r>
    </w:p>
    <w:p>
      <w:pPr>
        <w:spacing w:after="0" w:line="58"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Arizona currently permits non-lawyers to co-own law firms and other legal service operations. In September 2021, we applied for and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78" w:lineRule="exact"/>
        <w:rPr>
          <w:sz w:val="20"/>
          <w:szCs w:val="20"/>
          <w:color w:val="auto"/>
        </w:rPr>
      </w:pPr>
    </w:p>
    <w:p>
      <w:pPr>
        <w:ind w:right="60" w:firstLine="395"/>
        <w:spacing w:after="0" w:line="256" w:lineRule="auto"/>
        <w:rPr>
          <w:sz w:val="20"/>
          <w:szCs w:val="20"/>
          <w:color w:val="auto"/>
        </w:rPr>
      </w:pPr>
      <w:r>
        <w:rPr>
          <w:rFonts w:ascii="Arial" w:cs="Arial" w:eastAsia="Arial" w:hAnsi="Arial"/>
          <w:sz w:val="16"/>
          <w:szCs w:val="16"/>
          <w:color w:val="auto"/>
        </w:rPr>
        <w:t>In addition, under Section 7-209 of the Arizona Code of Judicial Administration, or ACJA, there are restrictions on the holding of an interest of 10% or more in the issued share capital of a licensed ABS or the parent company of such licensed ABS. As our wholly owned Arizona subsidiary is a licensed ABS for the purposes of the ACJA, these restrictions apply to any holder(s) of 10% or more of our common stock. Each “authorized person”, as defined in ACJA 702-9, including the members of our Board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71" w:lineRule="exact"/>
        <w:rPr>
          <w:sz w:val="20"/>
          <w:szCs w:val="20"/>
          <w:color w:val="auto"/>
        </w:rPr>
      </w:pPr>
    </w:p>
    <w:p>
      <w:pPr>
        <w:ind w:right="140" w:firstLine="395"/>
        <w:spacing w:after="0" w:line="256"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spacing w:after="0" w:line="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spacing w:after="0" w:line="32" w:lineRule="exact"/>
        <w:rPr>
          <w:sz w:val="20"/>
          <w:szCs w:val="20"/>
          <w:color w:val="auto"/>
        </w:rPr>
      </w:pPr>
    </w:p>
    <w:p>
      <w:pPr>
        <w:ind w:right="60" w:firstLine="395"/>
        <w:spacing w:after="0" w:line="249" w:lineRule="auto"/>
        <w:rPr>
          <w:sz w:val="20"/>
          <w:szCs w:val="20"/>
          <w:color w:val="auto"/>
        </w:rPr>
      </w:pPr>
      <w:r>
        <w:rPr>
          <w:rFonts w:ascii="Arial" w:cs="Arial" w:eastAsia="Arial" w:hAnsi="Arial"/>
          <w:sz w:val="16"/>
          <w:szCs w:val="16"/>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as well as our intellectual property offerings are fulfilled by our or subsidiary’s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7" w:name="page28"/>
    <w:bookmarkEnd w:id="27"/>
    <w:p>
      <w:pPr>
        <w:ind w:right="80"/>
        <w:spacing w:after="0" w:line="270" w:lineRule="auto"/>
        <w:rPr>
          <w:sz w:val="20"/>
          <w:szCs w:val="20"/>
          <w:color w:val="auto"/>
        </w:rPr>
      </w:pPr>
      <w:r>
        <w:rPr>
          <w:rFonts w:ascii="Arial" w:cs="Arial" w:eastAsia="Arial" w:hAnsi="Arial"/>
          <w:sz w:val="16"/>
          <w:szCs w:val="16"/>
          <w:color w:val="auto"/>
        </w:rPr>
        <w:t>as a consultant, temporary employee, or contractor, if they were to pursue employment claims against LegalZoom. If a joint employment relationship is found to exist, joint liability for any successful claims would also likely exist.</w:t>
      </w:r>
    </w:p>
    <w:p>
      <w:pPr>
        <w:spacing w:after="0" w:line="73"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b w:val="1"/>
          <w:bCs w:val="1"/>
          <w:i w:val="1"/>
          <w:iCs w:val="1"/>
          <w:color w:val="auto"/>
        </w:rPr>
        <w:t>Compliance with U.S. and global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spacing w:after="0" w:line="52" w:lineRule="exact"/>
        <w:rPr>
          <w:sz w:val="20"/>
          <w:szCs w:val="20"/>
          <w:color w:val="auto"/>
        </w:rPr>
      </w:pPr>
    </w:p>
    <w:p>
      <w:pPr>
        <w:ind w:right="40" w:firstLine="395"/>
        <w:spacing w:after="0" w:line="267" w:lineRule="auto"/>
        <w:rPr>
          <w:sz w:val="20"/>
          <w:szCs w:val="20"/>
          <w:color w:val="auto"/>
        </w:rPr>
      </w:pPr>
      <w:r>
        <w:rPr>
          <w:rFonts w:ascii="Arial" w:cs="Arial" w:eastAsia="Arial" w:hAnsi="Arial"/>
          <w:sz w:val="15"/>
          <w:szCs w:val="15"/>
          <w:color w:val="auto"/>
        </w:rPr>
        <w:t>In the ordinary course of business, we collect and process information supplied by our customers, which may include personal information and other data. As a result, aspects of our business are subject to laws, rules and regulations in the U.S. and in other countries relating to privacy and the collection, use and security of personal information, including but not limited to the General Data Protection Regulation, or GDPR, the California Consumer Privacy Act of 2018, or CCPA, and the California Privacy Rights Act, or CRPA. We are also subject to the terms of our privacy policies and obligations to third-parties related to privacy, data protection and information security. Any actual or perceived failure by us or third-parties working on our behalf to comply with applicable privacy and data security laws, rules and regulations, including the GDPR and the CCPA/CPRA or related contractual or other obligations, or any perceived privacy rights violation, could lead to investigations, claims, and proceedings by governmental entities and private parties, damages for contract breach,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regulations that apply to us, we have made and continue to make certain operational changes to our products and business practices. Preparing for and complying with these laws, rules and regulations requires significant time and resources and may necessitate further changes to our information technologies, systems, and practices and to those of our customers, and of any third-parties that process personal data on our behalf. In addition, these obligations may require us to change our business model.</w:t>
      </w:r>
    </w:p>
    <w:p>
      <w:pPr>
        <w:spacing w:after="0" w:line="64"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In addition, a growing number of legislative and regulatory bodies have adopted consumer notification and other requirements in the event that consumer information is accessed by unauthorized persons, and additional regulations regarding the use, access, accuracy, and security of such data are possible. In the U.S., state laws provide for disparate notification regimes. If our practices are deemed to be an invasion of privacy,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laws, or any future laws or regulations of a similar nature, could result in substantial regulatory penalties, litigation expense, and loss of revenue.</w:t>
      </w:r>
    </w:p>
    <w:p>
      <w:pPr>
        <w:spacing w:after="0" w:line="86" w:lineRule="exact"/>
        <w:rPr>
          <w:sz w:val="20"/>
          <w:szCs w:val="20"/>
          <w:color w:val="auto"/>
        </w:rPr>
      </w:pPr>
    </w:p>
    <w:p>
      <w:pPr>
        <w:ind w:right="140" w:firstLine="395"/>
        <w:spacing w:after="0" w:line="267" w:lineRule="auto"/>
        <w:rPr>
          <w:sz w:val="20"/>
          <w:szCs w:val="20"/>
          <w:color w:val="auto"/>
        </w:rPr>
      </w:pPr>
      <w:r>
        <w:rPr>
          <w:rFonts w:ascii="Arial" w:cs="Arial" w:eastAsia="Arial" w:hAnsi="Arial"/>
          <w:sz w:val="15"/>
          <w:szCs w:val="15"/>
          <w:color w:val="auto"/>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81"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73" w:lineRule="exact"/>
        <w:rPr>
          <w:sz w:val="20"/>
          <w:szCs w:val="20"/>
          <w:color w:val="auto"/>
        </w:rPr>
      </w:pPr>
    </w:p>
    <w:p>
      <w:pPr>
        <w:ind w:right="100" w:firstLine="395"/>
        <w:spacing w:after="0" w:line="251" w:lineRule="auto"/>
        <w:rPr>
          <w:sz w:val="20"/>
          <w:szCs w:val="20"/>
          <w:color w:val="auto"/>
        </w:rPr>
      </w:pPr>
      <w:r>
        <w:rPr>
          <w:rFonts w:ascii="Arial" w:cs="Arial" w:eastAsia="Arial" w:hAnsi="Arial"/>
          <w:sz w:val="16"/>
          <w:szCs w:val="16"/>
          <w:color w:val="auto"/>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discontinuance in use and failure to renew could harm our business, results of operations, financial condition and future prospects.</w:t>
      </w:r>
    </w:p>
    <w:p>
      <w:pPr>
        <w:spacing w:after="0" w:line="106"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 of a ransomware attack, but we may be unwilling or unable to make such payments due to, for example, applicable laws or regulations prohibiting such payments.</w:t>
      </w:r>
    </w:p>
    <w:p>
      <w:pPr>
        <w:spacing w:after="0" w:line="86"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74" w:lineRule="exact"/>
        <w:rPr>
          <w:sz w:val="20"/>
          <w:szCs w:val="20"/>
          <w:color w:val="auto"/>
        </w:rPr>
      </w:pPr>
    </w:p>
    <w:p>
      <w:pPr>
        <w:ind w:right="60" w:firstLine="395"/>
        <w:spacing w:after="0" w:line="250"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89"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Like many companies, we rely on third-party service providers to operate critical business systems to process sensitive information in a variety of contexts, including, without limitation, third-party providers of cloud-based infrastructure, employee email, and other functions. We may share or receive sensitive information with or from third-parties. Our ability to monitor these third-parties’ information security practices is limited, and these third-parties may not have adequate information security measures in place.</w:t>
      </w:r>
    </w:p>
    <w:p>
      <w:pPr>
        <w:spacing w:after="0" w:line="73"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If we, or third-parties upon which we rely, experience or are perceived to have experienced (in the past or future) a security breach, we may experience adverse consequences. 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for which we were legally required to notify individuals, customers, regulators, the media and others. Data breach notification disclosures are costly, and could lead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w:t>
      </w:r>
    </w:p>
    <w:p>
      <w:pPr>
        <w:spacing w:after="0" w:line="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sufficient to protect us from liabilities, damages, or claims related to our data privacy and security obligations, including under the recently expanded private right of action in the CPRA.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9" w:name="page30"/>
    <w:bookmarkEnd w:id="29"/>
    <w:p>
      <w:pPr>
        <w:ind w:right="560"/>
        <w:spacing w:after="0" w:line="270" w:lineRule="auto"/>
        <w:rPr>
          <w:sz w:val="20"/>
          <w:szCs w:val="20"/>
          <w:color w:val="auto"/>
        </w:rPr>
      </w:pPr>
      <w:r>
        <w:rPr>
          <w:rFonts w:ascii="Arial" w:cs="Arial" w:eastAsia="Arial" w:hAnsi="Arial"/>
          <w:sz w:val="16"/>
          <w:szCs w:val="16"/>
          <w:color w:val="auto"/>
        </w:rPr>
        <w:t>on our business. Our risks are likely to increase as we continue to expand, grow our customer base, and process, increasingly large amounts of sensitive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and changing government regulation of our business may harm our operating results</w:t>
      </w:r>
    </w:p>
    <w:p>
      <w:pPr>
        <w:spacing w:after="0" w:line="106"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We are subject to federal, state, local and international laws and regulations that affect our and our customers' activities, including, without limitation, labor, advertising and marketing,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w:t>
      </w:r>
    </w:p>
    <w:p>
      <w:pPr>
        <w:spacing w:after="0" w:line="77"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In addition, new legislation, regulation, public policy considerations, litigation by the government or private entities, changes to or new interpretations of existing laws may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in turn increase our cost of doing business and limit our revenue opportunities. In addition, if our practices are not consistent with new interpretations of existing laws, we may become subject to lawsuits, penalties, and other liabilities that did not previously apply.</w:t>
      </w:r>
    </w:p>
    <w:p>
      <w:pPr>
        <w:spacing w:after="0" w:line="87"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Changes in state-imposed requirements by one or more of the states, including the required use of specific technologies or technology standards, may also significantly increase the costs of providing those services to our customers and may prevent us from delivering a quality product to our customers in a timely manner.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10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32" w:lineRule="exact"/>
        <w:rPr>
          <w:sz w:val="20"/>
          <w:szCs w:val="20"/>
          <w:color w:val="auto"/>
        </w:rPr>
      </w:pPr>
    </w:p>
    <w:p>
      <w:pPr>
        <w:ind w:firstLine="395"/>
        <w:spacing w:after="0" w:line="266" w:lineRule="auto"/>
        <w:rPr>
          <w:sz w:val="20"/>
          <w:szCs w:val="20"/>
          <w:color w:val="auto"/>
        </w:rPr>
      </w:pPr>
      <w:r>
        <w:rPr>
          <w:rFonts w:ascii="Arial" w:cs="Arial" w:eastAsia="Arial" w:hAnsi="Arial"/>
          <w:sz w:val="15"/>
          <w:szCs w:val="15"/>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73" w:lineRule="exact"/>
        <w:rPr>
          <w:sz w:val="20"/>
          <w:szCs w:val="20"/>
          <w:color w:val="auto"/>
        </w:rPr>
      </w:pPr>
    </w:p>
    <w:p>
      <w:pPr>
        <w:ind w:right="620"/>
        <w:spacing w:after="0" w:line="297"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32"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0" w:name="page31"/>
    <w:bookmarkEnd w:id="30"/>
    <w:p>
      <w:pPr>
        <w:ind w:right="100"/>
        <w:spacing w:after="0" w:line="270" w:lineRule="auto"/>
        <w:rPr>
          <w:sz w:val="20"/>
          <w:szCs w:val="20"/>
          <w:color w:val="auto"/>
        </w:rPr>
      </w:pPr>
      <w:r>
        <w:rPr>
          <w:rFonts w:ascii="Arial" w:cs="Arial" w:eastAsia="Arial" w:hAnsi="Arial"/>
          <w:sz w:val="16"/>
          <w:szCs w:val="16"/>
          <w:color w:val="auto"/>
        </w:rPr>
        <w:t>able to more effectively mimic our services, business practices or operations, which may have an adverse effect on our business, results of operations, financial condition and future prospects.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10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06" w:lineRule="exact"/>
        <w:rPr>
          <w:sz w:val="20"/>
          <w:szCs w:val="20"/>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variance in our financial performance from expectations of securities analysts;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or loss of customers;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capital-raising activities or commitments;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05" w:lineRule="exact"/>
        <w:rPr>
          <w:rFonts w:ascii="Arial" w:cs="Arial" w:eastAsia="Arial" w:hAnsi="Arial"/>
          <w:sz w:val="16"/>
          <w:szCs w:val="16"/>
          <w:color w:val="auto"/>
        </w:rPr>
      </w:pPr>
    </w:p>
    <w:p>
      <w:pPr>
        <w:ind w:left="720" w:right="680" w:hanging="311"/>
        <w:spacing w:after="0" w:line="270" w:lineRule="auto"/>
        <w:tabs>
          <w:tab w:leader="none" w:pos="7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72"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05" w:lineRule="exact"/>
        <w:rPr>
          <w:rFonts w:ascii="Arial" w:cs="Arial" w:eastAsia="Arial" w:hAnsi="Arial"/>
          <w:sz w:val="16"/>
          <w:szCs w:val="16"/>
          <w:color w:val="auto"/>
        </w:rPr>
      </w:pPr>
    </w:p>
    <w:p>
      <w:pPr>
        <w:ind w:left="720" w:right="160" w:hanging="311"/>
        <w:spacing w:after="0" w:line="255" w:lineRule="auto"/>
        <w:tabs>
          <w:tab w:leader="none" w:pos="7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86" w:lineRule="exact"/>
        <w:rPr>
          <w:rFonts w:ascii="Arial" w:cs="Arial" w:eastAsia="Arial" w:hAnsi="Arial"/>
          <w:sz w:val="16"/>
          <w:szCs w:val="16"/>
          <w:color w:val="auto"/>
        </w:rPr>
      </w:pPr>
    </w:p>
    <w:p>
      <w:pPr>
        <w:ind w:left="720" w:right="440" w:hanging="311"/>
        <w:spacing w:after="0" w:line="270" w:lineRule="auto"/>
        <w:tabs>
          <w:tab w:leader="none" w:pos="7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w:t>
      </w:r>
    </w:p>
    <w:p>
      <w:pPr>
        <w:spacing w:after="0" w:line="72"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or incidents of terrorism, or responses to these events; and</w:t>
      </w:r>
    </w:p>
    <w:p>
      <w:pPr>
        <w:spacing w:after="0" w:line="105" w:lineRule="exact"/>
        <w:rPr>
          <w:rFonts w:ascii="Arial" w:cs="Arial" w:eastAsia="Arial" w:hAnsi="Arial"/>
          <w:sz w:val="16"/>
          <w:szCs w:val="16"/>
          <w:color w:val="auto"/>
        </w:rPr>
      </w:pPr>
    </w:p>
    <w:p>
      <w:pPr>
        <w:ind w:left="720" w:right="380" w:hanging="311"/>
        <w:spacing w:after="0" w:line="287" w:lineRule="auto"/>
        <w:tabs>
          <w:tab w:leader="none" w:pos="7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recessionary fears, the current inflationary and rising interest rate environment and the COVID-19 pandemic.</w:t>
      </w:r>
    </w:p>
    <w:p>
      <w:pPr>
        <w:spacing w:after="0" w:line="47" w:lineRule="exact"/>
        <w:rPr>
          <w:sz w:val="20"/>
          <w:szCs w:val="20"/>
          <w:color w:val="auto"/>
        </w:rPr>
      </w:pPr>
    </w:p>
    <w:p>
      <w:pPr>
        <w:jc w:val="both"/>
        <w:ind w:right="180" w:firstLine="395"/>
        <w:spacing w:after="0" w:line="263"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66" w:lineRule="exact"/>
        <w:rPr>
          <w:sz w:val="20"/>
          <w:szCs w:val="20"/>
          <w:color w:val="auto"/>
        </w:rPr>
      </w:pPr>
    </w:p>
    <w:p>
      <w:pPr>
        <w:ind w:right="620"/>
        <w:spacing w:after="0" w:line="297"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which could cause the market price of our common stock to drop significantly, even if our business is performing well</w:t>
      </w:r>
    </w:p>
    <w:p>
      <w:pPr>
        <w:spacing w:after="0" w:line="32"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holders of approximately 134 million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1" w:name="page32"/>
    <w:bookmarkEnd w:id="31"/>
    <w:p>
      <w:pPr>
        <w:ind w:right="100"/>
        <w:spacing w:after="0" w:line="263" w:lineRule="auto"/>
        <w:rPr>
          <w:sz w:val="20"/>
          <w:szCs w:val="20"/>
          <w:color w:val="auto"/>
        </w:rPr>
      </w:pPr>
      <w:r>
        <w:rPr>
          <w:rFonts w:ascii="Arial" w:cs="Arial" w:eastAsia="Arial" w:hAnsi="Arial"/>
          <w:sz w:val="16"/>
          <w:szCs w:val="16"/>
          <w:color w:val="auto"/>
        </w:rPr>
        <w:t>shares by exercising their registration rights, they could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66"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32" w:lineRule="exact"/>
        <w:rPr>
          <w:sz w:val="20"/>
          <w:szCs w:val="20"/>
          <w:color w:val="auto"/>
        </w:rPr>
      </w:pPr>
    </w:p>
    <w:p>
      <w:pPr>
        <w:ind w:right="220" w:firstLine="395"/>
        <w:spacing w:after="0" w:line="253" w:lineRule="auto"/>
        <w:rPr>
          <w:sz w:val="20"/>
          <w:szCs w:val="20"/>
          <w:color w:val="auto"/>
        </w:rPr>
      </w:pPr>
      <w:r>
        <w:rPr>
          <w:rFonts w:ascii="Arial" w:cs="Arial" w:eastAsia="Arial" w:hAnsi="Arial"/>
          <w:sz w:val="16"/>
          <w:szCs w:val="16"/>
          <w:color w:val="auto"/>
        </w:rPr>
        <w:t>Based upon our shares of our common stock outstanding as of December 31, 2022, our executive officers, directors and stockholders who owned more than 5% of our outstanding common stock, in the aggregate, beneficially own shares representing approximately 58%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73"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91"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58" w:lineRule="exact"/>
        <w:rPr>
          <w:sz w:val="20"/>
          <w:szCs w:val="20"/>
          <w:color w:val="auto"/>
        </w:rPr>
      </w:pPr>
    </w:p>
    <w:p>
      <w:pPr>
        <w:ind w:right="200" w:firstLine="395"/>
        <w:spacing w:after="0" w:line="253"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3" w:lineRule="exact"/>
        <w:rPr>
          <w:sz w:val="20"/>
          <w:szCs w:val="20"/>
          <w:color w:val="auto"/>
        </w:rPr>
      </w:pPr>
    </w:p>
    <w:p>
      <w:pPr>
        <w:ind w:left="720" w:hanging="311"/>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18" w:lineRule="exact"/>
        <w:rPr>
          <w:rFonts w:ascii="Arial" w:cs="Arial" w:eastAsia="Arial" w:hAnsi="Arial"/>
          <w:sz w:val="16"/>
          <w:szCs w:val="16"/>
          <w:color w:val="auto"/>
        </w:rPr>
      </w:pPr>
    </w:p>
    <w:p>
      <w:pPr>
        <w:ind w:left="720" w:hanging="311"/>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05" w:lineRule="exact"/>
        <w:rPr>
          <w:rFonts w:ascii="Arial" w:cs="Arial" w:eastAsia="Arial" w:hAnsi="Arial"/>
          <w:sz w:val="16"/>
          <w:szCs w:val="16"/>
          <w:color w:val="auto"/>
        </w:rPr>
      </w:pPr>
    </w:p>
    <w:p>
      <w:pPr>
        <w:ind w:left="720" w:right="560" w:hanging="311"/>
        <w:spacing w:after="0" w:line="287" w:lineRule="auto"/>
        <w:tabs>
          <w:tab w:leader="none" w:pos="7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46" w:lineRule="exact"/>
        <w:rPr>
          <w:rFonts w:ascii="Arial" w:cs="Arial" w:eastAsia="Arial" w:hAnsi="Arial"/>
          <w:sz w:val="16"/>
          <w:szCs w:val="16"/>
          <w:color w:val="auto"/>
        </w:rPr>
      </w:pPr>
    </w:p>
    <w:p>
      <w:pPr>
        <w:ind w:left="720" w:hanging="311"/>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05" w:lineRule="exact"/>
        <w:rPr>
          <w:rFonts w:ascii="Arial" w:cs="Arial" w:eastAsia="Arial" w:hAnsi="Arial"/>
          <w:sz w:val="16"/>
          <w:szCs w:val="16"/>
          <w:color w:val="auto"/>
        </w:rPr>
      </w:pPr>
    </w:p>
    <w:p>
      <w:pPr>
        <w:ind w:left="720" w:hanging="311"/>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18" w:lineRule="exact"/>
        <w:rPr>
          <w:rFonts w:ascii="Arial" w:cs="Arial" w:eastAsia="Arial" w:hAnsi="Arial"/>
          <w:sz w:val="16"/>
          <w:szCs w:val="16"/>
          <w:color w:val="auto"/>
        </w:rPr>
      </w:pPr>
    </w:p>
    <w:p>
      <w:pPr>
        <w:ind w:left="720" w:right="80" w:hanging="311"/>
        <w:spacing w:after="0" w:line="255" w:lineRule="auto"/>
        <w:tabs>
          <w:tab w:leader="none" w:pos="7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4" w:lineRule="exact"/>
        <w:rPr>
          <w:rFonts w:ascii="Arial" w:cs="Arial" w:eastAsia="Arial" w:hAnsi="Arial"/>
          <w:sz w:val="16"/>
          <w:szCs w:val="16"/>
          <w:color w:val="auto"/>
        </w:rPr>
      </w:pPr>
    </w:p>
    <w:p>
      <w:pPr>
        <w:ind w:left="720" w:right="580" w:hanging="311"/>
        <w:spacing w:after="0" w:line="270" w:lineRule="auto"/>
        <w:tabs>
          <w:tab w:leader="none" w:pos="7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73"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2" w:name="page33"/>
    <w:bookmarkEnd w:id="32"/>
    <w:p>
      <w:pPr>
        <w:ind w:right="120"/>
        <w:spacing w:after="0" w:line="270" w:lineRule="auto"/>
        <w:rPr>
          <w:sz w:val="20"/>
          <w:szCs w:val="20"/>
          <w:color w:val="auto"/>
        </w:rPr>
      </w:pPr>
      <w:r>
        <w:rPr>
          <w:rFonts w:ascii="Arial" w:cs="Arial" w:eastAsia="Arial" w:hAnsi="Arial"/>
          <w:sz w:val="16"/>
          <w:szCs w:val="16"/>
          <w:color w:val="auto"/>
        </w:rPr>
        <w:t>stock, including transactions that may be in your best interests. These provisions may also prevent changes in our management or limit the price that investors are willing to pay for our stock.</w:t>
      </w:r>
    </w:p>
    <w:p>
      <w:pPr>
        <w:spacing w:after="0" w:line="73" w:lineRule="exact"/>
        <w:rPr>
          <w:sz w:val="20"/>
          <w:szCs w:val="20"/>
          <w:color w:val="auto"/>
        </w:rPr>
      </w:pPr>
    </w:p>
    <w:p>
      <w:pPr>
        <w:ind w:right="340"/>
        <w:spacing w:after="0" w:line="28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58"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7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spacing w:after="0" w:line="87"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The provisions would not apply to suits brought to enforce a duty or liability created by the Securities Exchange Act of 1934, as amended, or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w:t>
      </w:r>
    </w:p>
    <w:p>
      <w:pPr>
        <w:spacing w:after="0" w:line="73" w:lineRule="exact"/>
        <w:rPr>
          <w:sz w:val="20"/>
          <w:szCs w:val="20"/>
          <w:color w:val="auto"/>
        </w:rPr>
      </w:pPr>
    </w:p>
    <w:p>
      <w:pPr>
        <w:ind w:right="20" w:firstLine="395"/>
        <w:spacing w:after="0" w:line="278"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9"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risks arising from epidemic diseases or pandemics, such as the ongoing COVID-19 pandemic</w:t>
      </w:r>
    </w:p>
    <w:p>
      <w:pPr>
        <w:spacing w:after="0" w:line="106" w:lineRule="exact"/>
        <w:rPr>
          <w:sz w:val="20"/>
          <w:szCs w:val="20"/>
          <w:color w:val="auto"/>
        </w:rPr>
      </w:pPr>
    </w:p>
    <w:p>
      <w:pPr>
        <w:ind w:right="220" w:firstLine="395"/>
        <w:spacing w:after="0" w:line="263" w:lineRule="auto"/>
        <w:rPr>
          <w:sz w:val="20"/>
          <w:szCs w:val="20"/>
          <w:color w:val="auto"/>
        </w:rPr>
      </w:pPr>
      <w:r>
        <w:rPr>
          <w:rFonts w:ascii="Arial" w:cs="Arial" w:eastAsia="Arial" w:hAnsi="Arial"/>
          <w:sz w:val="16"/>
          <w:szCs w:val="16"/>
          <w:color w:val="auto"/>
        </w:rPr>
        <w:t>The COVID-19 pandemic caused economic instability and uncertainty globally, which impacted and, in some cases continues to impact, consumer spending patterns, the success of small businesses and the formation of new small businesses. Since the onset of the pandemic, these factors contributed to variation in our operating results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33" w:name="page34"/>
    <w:bookmarkEnd w:id="33"/>
    <w:p>
      <w:pPr>
        <w:spacing w:after="0" w:line="256" w:lineRule="auto"/>
        <w:rPr>
          <w:sz w:val="20"/>
          <w:szCs w:val="20"/>
          <w:color w:val="auto"/>
        </w:rPr>
      </w:pPr>
      <w:r>
        <w:rPr>
          <w:rFonts w:ascii="Arial" w:cs="Arial" w:eastAsia="Arial" w:hAnsi="Arial"/>
          <w:sz w:val="16"/>
          <w:szCs w:val="16"/>
          <w:color w:val="auto"/>
        </w:rPr>
        <w:t>relative to historical and seasonal trends. For example, during its initial phase in the first quarter of 2020, the pandemic had a temporary negative impact on our business as demand for our products and services decreased with the onset of government shelter-in-place directives. By the second quarter of 2020, we began to experience tailwinds from the pandemic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w:t>
      </w:r>
    </w:p>
    <w:p>
      <w:pPr>
        <w:spacing w:after="0" w:line="71"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In the future, direct and indirect impacts of the COVID-19 pandemic or any future public health pandemic or epidemic may cause significant reductions or volatility in demand for our services, as well as the temporary inability of customers to purchase our products due to illness, quarantine or financial hardship, shifts in demand away from one or more of our products, or decreased consumer confidence and spending, any of which may negatively impact our results, including as a result of an increased difficulty in planning for operations. The fluid nature of epidemic diseases or pandemics, including the COVID-19 pandemic, and uncertainties regarding the related economic impact may result in market turmoil, which could also have an adverse effect on our business, financial condition, results of operations and future prospects.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08" w:lineRule="exact"/>
        <w:rPr>
          <w:sz w:val="20"/>
          <w:szCs w:val="20"/>
          <w:color w:val="auto"/>
        </w:rPr>
      </w:pPr>
    </w:p>
    <w:p>
      <w:pPr>
        <w:ind w:firstLine="395"/>
        <w:spacing w:after="0" w:line="258" w:lineRule="auto"/>
        <w:rPr>
          <w:sz w:val="20"/>
          <w:szCs w:val="20"/>
          <w:color w:val="auto"/>
        </w:rPr>
      </w:pPr>
      <w:r>
        <w:rPr>
          <w:rFonts w:ascii="Arial" w:cs="Arial" w:eastAsia="Arial" w:hAnsi="Arial"/>
          <w:sz w:val="16"/>
          <w:szCs w:val="16"/>
          <w:color w:val="auto"/>
        </w:rPr>
        <w:t>Our corporate headquarters are located in Glendale, California, under a lease expiring in 2024. We currently own approximately 209,000 square feet of space in Austin, Texas, which is our operating headquarters. We previously announced our intention to sell our operating headquarters in Austin, Texas, which is discussed in more detail in Note 4 to our consolidated financial statements included elsewhere in this Annual Report on Form 10-K. We also lease office spaces in other locations throughout the U.S. and internationally. We believe that these facilities are sufficient for our current needs and that additional facilities will be available to accommodate the expansion of our business should they be needed</w:t>
      </w:r>
      <w:r>
        <w:rPr>
          <w:rFonts w:ascii="Arial" w:cs="Arial" w:eastAsia="Arial" w:hAnsi="Arial"/>
          <w:sz w:val="16"/>
          <w:szCs w:val="16"/>
          <w:b w:val="1"/>
          <w:b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21"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We are a party to various currently pending legal proceedings and government inquiries, and we anticipate that legal proceedings, government investigations, government inquiries or claims could be brought against us in the future. For more information on our material pending legal proceedings and governmental inquiries, see Note 14 to our consolidated financial statements included elsewhere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Part II</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common stock trades on the Nasdaq Global Select Market under the symbol “LZ.”</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February 23, 2023, there were 154 holders of record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not paid any dividends on our common stock and do not intend to pay dividends in the foreseeable future.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Purchases of Equity Securities</w:t>
      </w:r>
    </w:p>
    <w:p>
      <w:pPr>
        <w:spacing w:after="0" w:line="121" w:lineRule="exact"/>
        <w:rPr>
          <w:sz w:val="20"/>
          <w:szCs w:val="20"/>
          <w:color w:val="auto"/>
        </w:rPr>
      </w:pPr>
    </w:p>
    <w:p>
      <w:pPr>
        <w:ind w:right="100" w:firstLine="395"/>
        <w:spacing w:after="0" w:line="251" w:lineRule="auto"/>
        <w:rPr>
          <w:sz w:val="20"/>
          <w:szCs w:val="20"/>
          <w:color w:val="auto"/>
        </w:rPr>
      </w:pPr>
      <w:r>
        <w:rPr>
          <w:rFonts w:ascii="Arial" w:cs="Arial" w:eastAsia="Arial" w:hAnsi="Arial"/>
          <w:sz w:val="16"/>
          <w:szCs w:val="16"/>
          <w:color w:val="auto"/>
        </w:rPr>
        <w:t>On March 1, 2022, our board of directors authorized the repurchase of up to an aggregate of $150.0 million of our common stock, with no fixed expiration. Stock repurchases under this program may be made through any manner, including open market transactions, accelerated stock repurchase agreements, or privately negotiated transactions with third-parties, and in such amounts as management deems appropriate. 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repurchase activity during the three months ended December 31, 2022 was as follows:</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Total Number of</w:t>
            </w:r>
          </w:p>
        </w:tc>
        <w:tc>
          <w:tcPr>
            <w:tcW w:w="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Approximate Do</w:t>
            </w:r>
          </w:p>
        </w:tc>
        <w:tc>
          <w:tcPr>
            <w:tcW w:w="0" w:type="dxa"/>
            <w:vAlign w:val="bottom"/>
          </w:tcPr>
          <w:p>
            <w:pPr>
              <w:spacing w:after="0"/>
              <w:rPr>
                <w:sz w:val="1"/>
                <w:szCs w:val="1"/>
                <w:color w:val="auto"/>
              </w:rPr>
            </w:pPr>
          </w:p>
        </w:tc>
      </w:tr>
      <w:tr>
        <w:trPr>
          <w:trHeight w:val="158"/>
        </w:trPr>
        <w:tc>
          <w:tcPr>
            <w:tcW w:w="548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Total Number of</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7"/>
              </w:rPr>
              <w:t>Value of Share</w:t>
            </w:r>
          </w:p>
        </w:tc>
        <w:tc>
          <w:tcPr>
            <w:tcW w:w="0" w:type="dxa"/>
            <w:vAlign w:val="bottom"/>
          </w:tcPr>
          <w:p>
            <w:pPr>
              <w:spacing w:after="0"/>
              <w:rPr>
                <w:sz w:val="1"/>
                <w:szCs w:val="1"/>
                <w:color w:val="auto"/>
              </w:rPr>
            </w:pPr>
          </w:p>
        </w:tc>
      </w:tr>
      <w:tr>
        <w:trPr>
          <w:trHeight w:val="158"/>
        </w:trPr>
        <w:tc>
          <w:tcPr>
            <w:tcW w:w="54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Average Price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Purchased as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9"/>
              </w:rPr>
              <w:t>that May Yet b</w:t>
            </w:r>
          </w:p>
        </w:tc>
        <w:tc>
          <w:tcPr>
            <w:tcW w:w="0" w:type="dxa"/>
            <w:vAlign w:val="bottom"/>
          </w:tcPr>
          <w:p>
            <w:pPr>
              <w:spacing w:after="0"/>
              <w:rPr>
                <w:sz w:val="1"/>
                <w:szCs w:val="1"/>
                <w:color w:val="auto"/>
              </w:rPr>
            </w:pPr>
          </w:p>
        </w:tc>
      </w:tr>
      <w:tr>
        <w:trPr>
          <w:trHeight w:val="158"/>
        </w:trPr>
        <w:tc>
          <w:tcPr>
            <w:tcW w:w="5480" w:type="dxa"/>
            <w:vAlign w:val="bottom"/>
            <w:vMerge w:val="restart"/>
          </w:tcPr>
          <w:p>
            <w:pPr>
              <w:ind w:left="250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7"/>
              </w:rPr>
              <w:t>Shares</w:t>
            </w:r>
          </w:p>
        </w:tc>
        <w:tc>
          <w:tcPr>
            <w:tcW w:w="1320" w:type="dxa"/>
            <w:vAlign w:val="bottom"/>
            <w:gridSpan w:val="3"/>
            <w:vMerge w:val="continue"/>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Part of Publicly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2"/>
              </w:rPr>
              <w:t>purchased Und</w:t>
            </w:r>
          </w:p>
        </w:tc>
        <w:tc>
          <w:tcPr>
            <w:tcW w:w="0" w:type="dxa"/>
            <w:vAlign w:val="bottom"/>
          </w:tcPr>
          <w:p>
            <w:pPr>
              <w:spacing w:after="0"/>
              <w:rPr>
                <w:sz w:val="1"/>
                <w:szCs w:val="1"/>
                <w:color w:val="auto"/>
              </w:rPr>
            </w:pPr>
          </w:p>
        </w:tc>
      </w:tr>
      <w:tr>
        <w:trPr>
          <w:trHeight w:val="211"/>
        </w:trPr>
        <w:tc>
          <w:tcPr>
            <w:tcW w:w="54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Purchased</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Paid per Share</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Announced Plans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the Plans</w:t>
            </w:r>
          </w:p>
        </w:tc>
        <w:tc>
          <w:tcPr>
            <w:tcW w:w="0" w:type="dxa"/>
            <w:vAlign w:val="bottom"/>
          </w:tcPr>
          <w:p>
            <w:pPr>
              <w:spacing w:after="0"/>
              <w:rPr>
                <w:sz w:val="1"/>
                <w:szCs w:val="1"/>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2022 through October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1,204,387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8.53</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75,700,</w:t>
            </w: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November 1, 2022 through November 30, 2022</w:t>
            </w:r>
          </w:p>
        </w:tc>
        <w:tc>
          <w:tcPr>
            <w:tcW w:w="1360" w:type="dxa"/>
            <w:vAlign w:val="bottom"/>
          </w:tcPr>
          <w:p>
            <w:pPr>
              <w:jc w:val="right"/>
              <w:spacing w:after="0"/>
              <w:rPr>
                <w:sz w:val="20"/>
                <w:szCs w:val="20"/>
                <w:color w:val="auto"/>
              </w:rPr>
            </w:pPr>
            <w:r>
              <w:rPr>
                <w:rFonts w:ascii="Arial" w:cs="Arial" w:eastAsia="Arial" w:hAnsi="Arial"/>
                <w:sz w:val="16"/>
                <w:szCs w:val="16"/>
                <w:color w:val="auto"/>
              </w:rPr>
              <w:t>745,963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8.92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745,963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69,044,</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2022 through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1,641,767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8.63</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54,873,</w:t>
            </w:r>
          </w:p>
        </w:tc>
        <w:tc>
          <w:tcPr>
            <w:tcW w:w="0" w:type="dxa"/>
            <w:vAlign w:val="bottom"/>
          </w:tcPr>
          <w:p>
            <w:pPr>
              <w:spacing w:after="0"/>
              <w:rPr>
                <w:sz w:val="1"/>
                <w:szCs w:val="1"/>
                <w:color w:val="auto"/>
              </w:rPr>
            </w:pPr>
          </w:p>
        </w:tc>
      </w:tr>
      <w:tr>
        <w:trPr>
          <w:trHeight w:val="205"/>
        </w:trPr>
        <w:tc>
          <w:tcPr>
            <w:tcW w:w="548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3,592,117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8.66</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3,592,117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21" w:lineRule="exact"/>
        <w:rPr>
          <w:sz w:val="20"/>
          <w:szCs w:val="20"/>
          <w:color w:val="auto"/>
        </w:rPr>
      </w:pPr>
    </w:p>
    <w:p>
      <w:pPr>
        <w:ind w:right="140" w:firstLine="395"/>
        <w:spacing w:after="0" w:line="255" w:lineRule="auto"/>
        <w:rPr>
          <w:sz w:val="20"/>
          <w:szCs w:val="20"/>
          <w:color w:val="auto"/>
        </w:rPr>
      </w:pPr>
      <w:r>
        <w:rPr>
          <w:rFonts w:ascii="Arial" w:cs="Arial" w:eastAsia="Arial" w:hAnsi="Arial"/>
          <w:sz w:val="16"/>
          <w:szCs w:val="16"/>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73" w:lineRule="exact"/>
        <w:rPr>
          <w:sz w:val="20"/>
          <w:szCs w:val="20"/>
          <w:color w:val="auto"/>
        </w:rPr>
      </w:pPr>
    </w:p>
    <w:p>
      <w:pPr>
        <w:ind w:right="240" w:firstLine="395"/>
        <w:spacing w:after="0" w:line="255" w:lineRule="auto"/>
        <w:rPr>
          <w:sz w:val="20"/>
          <w:szCs w:val="20"/>
          <w:color w:val="auto"/>
        </w:rPr>
      </w:pPr>
      <w:r>
        <w:rPr>
          <w:rFonts w:ascii="Arial" w:cs="Arial" w:eastAsia="Arial" w:hAnsi="Arial"/>
          <w:sz w:val="16"/>
          <w:szCs w:val="16"/>
          <w:color w:val="auto"/>
        </w:rPr>
        <w:t>The following graph depicts the total cumulative stockholder return on our common stock from June 29, 2021, the first day of trading of our common stock on the Nasdaq Global Select Market, through December 31, 2022, relative to the cumulative total returns of the Nasdaq Composite Index and Nasdaq Internet Index. The graph assumes an initial investment of $100.00 at the close of trading on June 29, 2021 and the reinvestment of all dividends. 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15"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1919605</wp:posOffset>
            </wp:positionH>
            <wp:positionV relativeFrom="page">
              <wp:posOffset>590550</wp:posOffset>
            </wp:positionV>
            <wp:extent cx="3968750" cy="3283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968750" cy="328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980" w:type="dxa"/>
            <w:vAlign w:val="bottom"/>
          </w:tcPr>
          <w:p>
            <w:pPr>
              <w:jc w:val="right"/>
              <w:ind w:right="321"/>
              <w:spacing w:after="0"/>
              <w:rPr>
                <w:sz w:val="20"/>
                <w:szCs w:val="20"/>
                <w:color w:val="auto"/>
              </w:rPr>
            </w:pPr>
            <w:r>
              <w:rPr>
                <w:rFonts w:ascii="Arial" w:cs="Arial" w:eastAsia="Arial" w:hAnsi="Arial"/>
                <w:sz w:val="16"/>
                <w:szCs w:val="16"/>
                <w:b w:val="1"/>
                <w:bCs w:val="1"/>
                <w:color w:val="auto"/>
              </w:rPr>
              <w:t>December 31, 2022</w:t>
            </w:r>
          </w:p>
        </w:tc>
      </w:tr>
      <w:tr>
        <w:trPr>
          <w:trHeight w:val="217"/>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LegalZoom.com, Inc.</w:t>
            </w:r>
          </w:p>
        </w:tc>
        <w:tc>
          <w:tcPr>
            <w:tcW w:w="3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42.46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r>
      <w:tr>
        <w:trPr>
          <w:trHeight w:val="236"/>
        </w:trPr>
        <w:tc>
          <w:tcPr>
            <w:tcW w:w="4340" w:type="dxa"/>
            <w:vAlign w:val="bottom"/>
          </w:tcPr>
          <w:p>
            <w:pPr>
              <w:ind w:left="20"/>
              <w:spacing w:after="0"/>
              <w:rPr>
                <w:sz w:val="20"/>
                <w:szCs w:val="20"/>
                <w:color w:val="auto"/>
              </w:rPr>
            </w:pPr>
            <w:r>
              <w:rPr>
                <w:rFonts w:ascii="Arial" w:cs="Arial" w:eastAsia="Arial" w:hAnsi="Arial"/>
                <w:sz w:val="16"/>
                <w:szCs w:val="16"/>
                <w:color w:val="auto"/>
              </w:rPr>
              <w:t>Nasdaq Composite</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108.20</w:t>
            </w:r>
          </w:p>
        </w:tc>
        <w:tc>
          <w:tcPr>
            <w:tcW w:w="8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73.00</w:t>
            </w:r>
          </w:p>
        </w:tc>
      </w:tr>
      <w:tr>
        <w:trPr>
          <w:trHeight w:val="238"/>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CTA Internet</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84.20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r>
    </w:tbl>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94" w:lineRule="exact"/>
        <w:rPr>
          <w:sz w:val="20"/>
          <w:szCs w:val="20"/>
          <w:color w:val="auto"/>
        </w:rPr>
      </w:pPr>
    </w:p>
    <w:p>
      <w:pPr>
        <w:ind w:right="100" w:firstLine="395"/>
        <w:spacing w:after="0" w:line="24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this Annual Report on Form 10-K. See “Forward-Looking Statements” preceding Part I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1"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LegalZoom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virtual mailbox solutions,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w:t>
      </w:r>
    </w:p>
    <w:p>
      <w:pPr>
        <w:spacing w:after="0" w:line="108"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79" w:lineRule="exact"/>
        <w:rPr>
          <w:sz w:val="20"/>
          <w:szCs w:val="20"/>
          <w:color w:val="auto"/>
        </w:rPr>
      </w:pPr>
    </w:p>
    <w:p>
      <w:pPr>
        <w:jc w:val="both"/>
        <w:ind w:firstLine="395"/>
        <w:spacing w:after="0" w:line="322" w:lineRule="auto"/>
        <w:rPr>
          <w:sz w:val="20"/>
          <w:szCs w:val="20"/>
          <w:color w:val="auto"/>
        </w:rPr>
      </w:pPr>
      <w:r>
        <w:rPr>
          <w:rFonts w:ascii="Arial" w:cs="Arial" w:eastAsia="Arial" w:hAnsi="Arial"/>
          <w:sz w:val="15"/>
          <w:szCs w:val="15"/>
          <w:color w:val="auto"/>
        </w:rPr>
        <w:t>Upon the completion of our IPO, 23,081,080 outstanding shares of redeemable convertible preferred stock with a carrying value of $70.9 million converted into an aggregate of 46,162,160 shares of common stock. Following the completion of the IPO, we have one class of authorized and outstanding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 and Growth Strategy</w:t>
      </w:r>
    </w:p>
    <w:p>
      <w:pPr>
        <w:spacing w:after="0" w:line="121"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and preparation services as well as additional owned services such as virtual mail. We also introduce our customers to a variety of third-party partners, giving them access to critical services they need to start and run their businesses, such as business license services, credit card and banking services, website development, productivity tools, and business insurance, among others.</w:t>
      </w:r>
    </w:p>
    <w:p>
      <w:pPr>
        <w:spacing w:after="0" w:line="74"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color w:val="auto"/>
        </w:rPr>
        <w:t>Our strategy is to scale our existing business and gain market share by investing in core products and sales and marketing; integrating our independent attorney network and tax professionals into our core product set; expanding our addressable market; and attracting additional customers and increasing conversion through the introduction of lower-priced products and services. We are innovating our product lineup to target more price-sensitive customer segments and have made certain of our business formation services available at a low cost or without charge in certain geographies on a test-basis. We expect this new lineup, with a free formation product as a foundational element, will be rolled out to 100% of traffic by the end of the first quarter. We expect to continue to test new products and price points going forward as we seek to optimize our product offerings across our lineup. We also aim to grow average revenue per subscription unit, or ARPU, and partnership revenue through building in-house adjacencies and expanding our partner ecosystem to provide new recurring revenue streams.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additional information regarding our business and strategy, see Part I, Item 1, Business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0" w:right="37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Key Business Metrics</w:t>
      </w:r>
    </w:p>
    <w:p>
      <w:pPr>
        <w:spacing w:after="0" w:line="108" w:lineRule="exact"/>
        <w:rPr>
          <w:sz w:val="20"/>
          <w:szCs w:val="20"/>
          <w:color w:val="auto"/>
        </w:rPr>
      </w:pPr>
    </w:p>
    <w:p>
      <w:pPr>
        <w:jc w:val="both"/>
        <w:ind w:right="580" w:firstLine="395"/>
        <w:spacing w:after="0" w:line="263" w:lineRule="auto"/>
        <w:rPr>
          <w:sz w:val="20"/>
          <w:szCs w:val="20"/>
          <w:color w:val="auto"/>
        </w:rPr>
      </w:pPr>
      <w:r>
        <w:rPr>
          <w:rFonts w:ascii="Arial" w:cs="Arial" w:eastAsia="Arial" w:hAnsi="Arial"/>
          <w:sz w:val="16"/>
          <w:szCs w:val="16"/>
          <w:color w:val="auto"/>
        </w:rPr>
        <w:t>In addition to the measures presented in our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106" w:lineRule="exact"/>
        <w:rPr>
          <w:sz w:val="20"/>
          <w:szCs w:val="20"/>
          <w:color w:val="auto"/>
        </w:rPr>
      </w:pPr>
    </w:p>
    <w:p>
      <w:pPr>
        <w:ind w:right="240" w:firstLine="395"/>
        <w:spacing w:after="0" w:line="256"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or LLC, incorporation, not-for-profit and doing business as, or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customers adopt additional products and services throughout the lifecycle of their business.</w:t>
      </w:r>
    </w:p>
    <w:p>
      <w:pPr>
        <w:spacing w:after="0" w:line="71" w:lineRule="exact"/>
        <w:rPr>
          <w:sz w:val="20"/>
          <w:szCs w:val="20"/>
          <w:color w:val="auto"/>
        </w:rPr>
      </w:pPr>
    </w:p>
    <w:p>
      <w:pPr>
        <w:jc w:val="both"/>
        <w:ind w:right="240" w:firstLine="395"/>
        <w:spacing w:after="0" w:line="263"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66" w:lineRule="exact"/>
        <w:rPr>
          <w:sz w:val="20"/>
          <w:szCs w:val="20"/>
          <w:color w:val="auto"/>
        </w:rPr>
      </w:pPr>
    </w:p>
    <w:p>
      <w:pPr>
        <w:ind w:right="380" w:firstLine="395"/>
        <w:spacing w:after="0" w:line="270" w:lineRule="auto"/>
        <w:rPr>
          <w:sz w:val="20"/>
          <w:szCs w:val="20"/>
          <w:color w:val="auto"/>
        </w:rPr>
      </w:pPr>
      <w:r>
        <w:rPr>
          <w:rFonts w:ascii="Arial" w:cs="Arial" w:eastAsia="Arial" w:hAnsi="Arial"/>
          <w:sz w:val="16"/>
          <w:szCs w:val="16"/>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business formations for the years ended December 31, 2022 and 2021:</w:t>
      </w:r>
    </w:p>
    <w:p>
      <w:pPr>
        <w:spacing w:after="0" w:line="143"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17780</wp:posOffset>
            </wp:positionV>
            <wp:extent cx="17964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0" w:lineRule="exact"/>
        <w:rPr>
          <w:sz w:val="20"/>
          <w:szCs w:val="20"/>
          <w:color w:val="auto"/>
        </w:rPr>
      </w:pPr>
    </w:p>
    <w:p>
      <w:pPr>
        <w:ind w:left="892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17780</wp:posOffset>
            </wp:positionV>
            <wp:extent cx="1796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2" w:lineRule="exact"/>
        <w:rPr>
          <w:sz w:val="20"/>
          <w:szCs w:val="20"/>
          <w:color w:val="auto"/>
        </w:rPr>
      </w:pPr>
    </w:p>
    <w:p>
      <w:pPr>
        <w:ind w:left="9340"/>
        <w:spacing w:after="0"/>
        <w:rPr>
          <w:sz w:val="20"/>
          <w:szCs w:val="20"/>
          <w:color w:val="auto"/>
        </w:rPr>
      </w:pPr>
      <w:r>
        <w:rPr>
          <w:rFonts w:ascii="Arial" w:cs="Arial" w:eastAsia="Arial" w:hAnsi="Arial"/>
          <w:sz w:val="16"/>
          <w:szCs w:val="16"/>
          <w:i w:val="1"/>
          <w:i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business formations</w:t>
            </w:r>
          </w:p>
        </w:tc>
        <w:tc>
          <w:tcPr>
            <w:tcW w:w="424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474</w:t>
            </w:r>
          </w:p>
        </w:tc>
        <w:tc>
          <w:tcPr>
            <w:tcW w:w="14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483</w:t>
            </w:r>
          </w:p>
        </w:tc>
      </w:tr>
    </w:tbl>
    <w:p>
      <w:pPr>
        <w:spacing w:after="0" w:line="290"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We experienced a 2% decrease in business formation transactions during the year ended December 31, 2022 compared to the year ended December 31, 2021. While year-over-year growth in the number of business formations on our platform accelerated in the second half of 2022 due to higher volumes in our partner integration channel and further testing of our lower-priced business formation offerings, the decline for the full year was primarily due to a decline in overall U.S. business formations during this period based on a review of U.S. Census data revealing new applications for EINs. We expect the decline in overall U.S. business formations to continue in 2023.</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106"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transactions for the years ended December 31, 2022 and 2021 :</w:t>
      </w:r>
    </w:p>
    <w:p>
      <w:pPr>
        <w:spacing w:after="0" w:line="143"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17780</wp:posOffset>
            </wp:positionV>
            <wp:extent cx="17964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0" w:lineRule="exact"/>
        <w:rPr>
          <w:sz w:val="20"/>
          <w:szCs w:val="20"/>
          <w:color w:val="auto"/>
        </w:rPr>
      </w:pPr>
    </w:p>
    <w:p>
      <w:pPr>
        <w:ind w:left="892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17780</wp:posOffset>
            </wp:positionV>
            <wp:extent cx="1796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2" w:lineRule="exact"/>
        <w:rPr>
          <w:sz w:val="20"/>
          <w:szCs w:val="20"/>
          <w:color w:val="auto"/>
        </w:rPr>
      </w:pPr>
    </w:p>
    <w:p>
      <w:pPr>
        <w:ind w:left="9320"/>
        <w:spacing w:after="0"/>
        <w:rPr>
          <w:sz w:val="20"/>
          <w:szCs w:val="20"/>
          <w:color w:val="auto"/>
        </w:rPr>
      </w:pPr>
      <w:r>
        <w:rPr>
          <w:rFonts w:ascii="Arial" w:cs="Arial" w:eastAsia="Arial" w:hAnsi="Arial"/>
          <w:sz w:val="16"/>
          <w:szCs w:val="16"/>
          <w:i w:val="1"/>
          <w:i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transactions</w:t>
            </w:r>
          </w:p>
        </w:tc>
        <w:tc>
          <w:tcPr>
            <w:tcW w:w="450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929</w:t>
            </w:r>
          </w:p>
        </w:tc>
        <w:tc>
          <w:tcPr>
            <w:tcW w:w="14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977</w:t>
            </w:r>
          </w:p>
        </w:tc>
      </w:tr>
    </w:tbl>
    <w:p>
      <w:pPr>
        <w:spacing w:after="0" w:line="290"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color w:val="auto"/>
        </w:rPr>
        <w:t>We experienced a 5% decrease in the number of transactions during the year ended December 31, 2022 compared to the year ended December 31, 2021. The decrease in the number of transactions during the year ended December 31, 2022 resulted from a reduction in estate planning and other consumer transactions, lower volumes in our intellectual property business largely due to the discontinuation of our do-it-yourself trademark product in favor of our attorney-assisted solution and, to a lesser extent, the decrease in business formations during this same period.</w:t>
      </w:r>
    </w:p>
    <w:p>
      <w:pPr>
        <w:spacing w:after="0" w:line="73" w:lineRule="exact"/>
        <w:rPr>
          <w:sz w:val="20"/>
          <w:szCs w:val="20"/>
          <w:color w:val="auto"/>
        </w:rPr>
      </w:pPr>
    </w:p>
    <w:p>
      <w:pPr>
        <w:ind w:right="100" w:firstLine="395"/>
        <w:spacing w:after="0" w:line="255" w:lineRule="auto"/>
        <w:rPr>
          <w:sz w:val="20"/>
          <w:szCs w:val="20"/>
          <w:color w:val="auto"/>
        </w:rPr>
      </w:pPr>
      <w:r>
        <w:rPr>
          <w:rFonts w:ascii="Arial" w:cs="Arial" w:eastAsia="Arial" w:hAnsi="Arial"/>
          <w:sz w:val="16"/>
          <w:szCs w:val="16"/>
          <w:color w:val="auto"/>
        </w:rPr>
        <w:t>Our estate planning and other consumer transactions declined as a percentage of total transactions in the year ended December 31, 2022. We expect the proportion of estate planning and other consumer transactions to continue to decrease over time as we focus more of our investment in small business formations. Over the long-term, we expect to continue to grow transactions; however, the growth may fluctuate period-over-period based on the variability of overall business formations and estate planning transactions.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106"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it indicates how much customers are spending on our platform per transaction. Estate planning transactions are generally at a lower price point, making our overall average order value lower than our typical price point for small business formations.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average order value for the years ended December 31, 2022 and 2021:</w:t>
      </w:r>
    </w:p>
    <w:p>
      <w:pPr>
        <w:spacing w:after="0" w:line="143"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17780</wp:posOffset>
            </wp:positionV>
            <wp:extent cx="1812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20"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5495" cy="158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8380" w:val="left"/>
          <w:tab w:leader="none" w:pos="9420" w:val="left"/>
          <w:tab w:leader="none" w:pos="9860" w:val="left"/>
          <w:tab w:leader="none" w:pos="10880" w:val="left"/>
        </w:tabs>
        <w:rPr>
          <w:sz w:val="20"/>
          <w:szCs w:val="20"/>
          <w:color w:val="auto"/>
        </w:rPr>
      </w:pPr>
      <w:r>
        <w:rPr>
          <w:rFonts w:ascii="Arial" w:cs="Arial" w:eastAsia="Arial" w:hAnsi="Arial"/>
          <w:sz w:val="16"/>
          <w:szCs w:val="16"/>
          <w:color w:val="auto"/>
        </w:rPr>
        <w:t>Average order value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258</w:t>
        <w:tab/>
        <w:t>$</w:t>
      </w:r>
      <w:r>
        <w:rPr>
          <w:sz w:val="20"/>
          <w:szCs w:val="20"/>
          <w:color w:val="auto"/>
        </w:rPr>
        <w:tab/>
      </w:r>
      <w:r>
        <w:rPr>
          <w:rFonts w:ascii="Arial" w:cs="Arial" w:eastAsia="Arial" w:hAnsi="Arial"/>
          <w:sz w:val="16"/>
          <w:szCs w:val="16"/>
          <w:color w:val="auto"/>
        </w:rPr>
        <w:t>264</w:t>
      </w:r>
    </w:p>
    <w:p>
      <w:pPr>
        <w:spacing w:after="0" w:line="342" w:lineRule="exact"/>
        <w:rPr>
          <w:sz w:val="20"/>
          <w:szCs w:val="20"/>
          <w:color w:val="auto"/>
        </w:rPr>
      </w:pPr>
    </w:p>
    <w:p>
      <w:pPr>
        <w:ind w:right="120" w:firstLine="395"/>
        <w:spacing w:after="0" w:line="251" w:lineRule="auto"/>
        <w:rPr>
          <w:sz w:val="20"/>
          <w:szCs w:val="20"/>
          <w:color w:val="auto"/>
        </w:rPr>
      </w:pPr>
      <w:r>
        <w:rPr>
          <w:rFonts w:ascii="Arial" w:cs="Arial" w:eastAsia="Arial" w:hAnsi="Arial"/>
          <w:sz w:val="16"/>
          <w:szCs w:val="16"/>
          <w:color w:val="auto"/>
        </w:rPr>
        <w:t>Average order value decreased by 2% during the year ended December 31, 2022 compared to the year ended December 31, 2021. The reduction in average order value for the year ended December 31, 2022 was primarily driven by an increase in transactions from our wholesale-priced partner integration channel as a percentage of total transactions and testing of lower-priced business formation services partially offset by the timing of revenue recognition. Transactions offered through our partner integration channel are generally at lower price points than our other small business products and services. During the year ended December 31, 2022, we also made certain of our business formation services available at a low cost or without charge in certain geographies on a test-basis as we continued to innovate our product lineup to target more price-sensitive customer segments. Finally, we were more efficient in our fulfillment in the year ended December 31, 2022, resulting in additional recognized revenue during the period.</w:t>
      </w:r>
    </w:p>
    <w:p>
      <w:pPr>
        <w:spacing w:after="0" w:line="74" w:lineRule="exact"/>
        <w:rPr>
          <w:sz w:val="20"/>
          <w:szCs w:val="20"/>
          <w:color w:val="auto"/>
        </w:rPr>
      </w:pPr>
    </w:p>
    <w:p>
      <w:pPr>
        <w:ind w:right="200" w:firstLine="395"/>
        <w:spacing w:after="0" w:line="261" w:lineRule="auto"/>
        <w:rPr>
          <w:sz w:val="20"/>
          <w:szCs w:val="20"/>
          <w:color w:val="auto"/>
        </w:rPr>
      </w:pPr>
      <w:r>
        <w:rPr>
          <w:rFonts w:ascii="Arial" w:cs="Arial" w:eastAsia="Arial" w:hAnsi="Arial"/>
          <w:sz w:val="16"/>
          <w:szCs w:val="16"/>
          <w:color w:val="auto"/>
        </w:rPr>
        <w:t>Growth in our average order value may fluctuate period-over-period based on the mix of business formations relative to estate planning and other consumer transactions, the timing of transaction revenue recognition, and our ability to introduce and sell new products. We expect average order value to decline year-over-year in 2023 as we introduce lower-priced products and services. We expect to continue to test new products and price points going forward as we optimize our product offerings across our lineup.</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106" w:lineRule="exact"/>
        <w:rPr>
          <w:sz w:val="20"/>
          <w:szCs w:val="20"/>
          <w:color w:val="auto"/>
        </w:rPr>
      </w:pPr>
    </w:p>
    <w:p>
      <w:pPr>
        <w:jc w:val="both"/>
        <w:ind w:right="240" w:firstLine="395"/>
        <w:spacing w:after="0" w:line="263" w:lineRule="auto"/>
        <w:rPr>
          <w:sz w:val="20"/>
          <w:szCs w:val="20"/>
          <w:color w:val="auto"/>
        </w:rPr>
      </w:pPr>
      <w:r>
        <w:rPr>
          <w:rFonts w:ascii="Arial" w:cs="Arial" w:eastAsia="Arial" w:hAnsi="Arial"/>
          <w:sz w:val="16"/>
          <w:szCs w:val="16"/>
          <w:color w:val="auto"/>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66" w:lineRule="exact"/>
        <w:rPr>
          <w:sz w:val="20"/>
          <w:szCs w:val="20"/>
          <w:color w:val="auto"/>
        </w:rPr>
      </w:pPr>
    </w:p>
    <w:p>
      <w:pPr>
        <w:ind w:firstLine="395"/>
        <w:spacing w:after="0" w:line="261"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the lifetime value of a customer through deeper, longer-term relationships.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subscription units as of December 31, 2022 and 2021:</w:t>
      </w:r>
    </w:p>
    <w:p>
      <w:pPr>
        <w:spacing w:after="0" w:line="143"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17780</wp:posOffset>
            </wp:positionV>
            <wp:extent cx="1796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0" w:lineRule="exact"/>
        <w:rPr>
          <w:sz w:val="20"/>
          <w:szCs w:val="20"/>
          <w:color w:val="auto"/>
        </w:rPr>
      </w:pPr>
    </w:p>
    <w:p>
      <w:pPr>
        <w:ind w:left="892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17780</wp:posOffset>
            </wp:positionV>
            <wp:extent cx="1796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2" w:lineRule="exact"/>
        <w:rPr>
          <w:sz w:val="20"/>
          <w:szCs w:val="20"/>
          <w:color w:val="auto"/>
        </w:rPr>
      </w:pPr>
    </w:p>
    <w:p>
      <w:pPr>
        <w:ind w:left="9320"/>
        <w:spacing w:after="0"/>
        <w:rPr>
          <w:sz w:val="20"/>
          <w:szCs w:val="20"/>
          <w:color w:val="auto"/>
        </w:rPr>
      </w:pPr>
      <w:r>
        <w:rPr>
          <w:rFonts w:ascii="Arial" w:cs="Arial" w:eastAsia="Arial" w:hAnsi="Arial"/>
          <w:sz w:val="16"/>
          <w:szCs w:val="16"/>
          <w:i w:val="1"/>
          <w:i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subscription units</w:t>
            </w:r>
          </w:p>
        </w:tc>
        <w:tc>
          <w:tcPr>
            <w:tcW w:w="436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1,441</w:t>
            </w:r>
          </w:p>
        </w:tc>
        <w:tc>
          <w:tcPr>
            <w:tcW w:w="142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1,329</w:t>
            </w:r>
          </w:p>
        </w:tc>
      </w:tr>
    </w:tbl>
    <w:p>
      <w:pPr>
        <w:spacing w:after="0" w:line="290" w:lineRule="exact"/>
        <w:rPr>
          <w:sz w:val="20"/>
          <w:szCs w:val="20"/>
          <w:color w:val="auto"/>
        </w:rPr>
      </w:pPr>
    </w:p>
    <w:p>
      <w:pPr>
        <w:ind w:right="260" w:firstLine="395"/>
        <w:spacing w:after="0" w:line="255" w:lineRule="auto"/>
        <w:rPr>
          <w:sz w:val="20"/>
          <w:szCs w:val="20"/>
          <w:color w:val="auto"/>
        </w:rPr>
      </w:pPr>
      <w:r>
        <w:rPr>
          <w:rFonts w:ascii="Arial" w:cs="Arial" w:eastAsia="Arial" w:hAnsi="Arial"/>
          <w:sz w:val="16"/>
          <w:szCs w:val="16"/>
          <w:color w:val="auto"/>
        </w:rPr>
        <w:t>We achieved 8% growth in our number of subscription units from December 31, 2021 to December 31, 2022, reflecting strong growth in subscriptions acquired through our partner integration channel, our registered agent, compliance, and tax products, as well as from our purchase of Earth Class Mail during the fourth quarter of 2021. We aim to continue to grow subscription units by increasing the proportion of our small business customers that purchase a subscription service at the time of their initial formation purchase and by improving retention rates.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106" w:lineRule="exact"/>
        <w:rPr>
          <w:sz w:val="20"/>
          <w:szCs w:val="20"/>
          <w:color w:val="auto"/>
        </w:rPr>
      </w:pPr>
    </w:p>
    <w:p>
      <w:pPr>
        <w:ind w:right="20" w:firstLine="395"/>
        <w:spacing w:after="0" w:line="263" w:lineRule="auto"/>
        <w:rPr>
          <w:sz w:val="20"/>
          <w:szCs w:val="20"/>
          <w:color w:val="auto"/>
        </w:rPr>
      </w:pPr>
      <w:r>
        <w:rPr>
          <w:rFonts w:ascii="Arial" w:cs="Arial" w:eastAsia="Arial" w:hAnsi="Arial"/>
          <w:sz w:val="16"/>
          <w:szCs w:val="16"/>
          <w:color w:val="auto"/>
        </w:rPr>
        <w:t>We define average revenue per subscription unit, or ARPU as of a given date as subscription revenue for the last twelve-month period ended on such date, or LTM, divided by the average of the number of subscription units at the beginning and end of the LTM period. We consider ARPU to be an important metric because it helps to illustrate our ability to deepen our relationship with our existing customers as they purchase incremental and higher-value services.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ARPU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9" w:name="page40"/>
    <w:bookmarkEnd w:id="39"/>
    <w:p>
      <w:pPr>
        <w:ind w:left="88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17780</wp:posOffset>
            </wp:positionV>
            <wp:extent cx="1812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20"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5495" cy="15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8380" w:val="left"/>
          <w:tab w:leader="none" w:pos="942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258</w:t>
        <w:tab/>
        <w:t>$</w:t>
      </w:r>
      <w:r>
        <w:rPr>
          <w:sz w:val="20"/>
          <w:szCs w:val="20"/>
          <w:color w:val="auto"/>
        </w:rPr>
        <w:tab/>
      </w:r>
      <w:r>
        <w:rPr>
          <w:rFonts w:ascii="Arial" w:cs="Arial" w:eastAsia="Arial" w:hAnsi="Arial"/>
          <w:sz w:val="16"/>
          <w:szCs w:val="16"/>
          <w:color w:val="auto"/>
        </w:rPr>
        <w:t>236</w:t>
      </w:r>
    </w:p>
    <w:p>
      <w:pPr>
        <w:spacing w:after="0" w:line="342" w:lineRule="exact"/>
        <w:rPr>
          <w:sz w:val="20"/>
          <w:szCs w:val="20"/>
          <w:color w:val="auto"/>
        </w:rPr>
      </w:pPr>
    </w:p>
    <w:p>
      <w:pPr>
        <w:ind w:right="20" w:firstLine="395"/>
        <w:spacing w:after="0" w:line="272" w:lineRule="auto"/>
        <w:rPr>
          <w:sz w:val="20"/>
          <w:szCs w:val="20"/>
          <w:color w:val="auto"/>
        </w:rPr>
      </w:pPr>
      <w:r>
        <w:rPr>
          <w:rFonts w:ascii="Arial" w:cs="Arial" w:eastAsia="Arial" w:hAnsi="Arial"/>
          <w:sz w:val="15"/>
          <w:szCs w:val="15"/>
          <w:color w:val="auto"/>
        </w:rPr>
        <w:t>ARPU increased 9% as of December 31, 2022 as compared to December 31, 2021. The increase in ARPU primarily resulted from growth of our tax service, subscriptions acquired through our purchase of Earth Class Mail and growth of our registered agent and compliance products, which carry higher average price points than our other subscription products. ARPU also increased as a result of a price increase to our small business legal advisory plan that was implemented in the fourth quarter of 2021. These increases were partially offset by an increase in wholesale-priced subscriptions from our partner integration channel. We expect year-over-year ARPU growth to moderate in 2023 as we anniversaried the acquisition of Earth Class Mail in the fourth quarter of 2022.</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104" w:lineRule="exact"/>
        <w:rPr>
          <w:sz w:val="20"/>
          <w:szCs w:val="20"/>
          <w:color w:val="auto"/>
        </w:rPr>
      </w:pPr>
    </w:p>
    <w:p>
      <w:pPr>
        <w:ind w:left="720" w:hanging="311"/>
        <w:spacing w:after="0" w:line="253"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our transaction revenue is generated by providing formation services to guide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transition from being aspiring business owners to actually launching their entities. We offer entity formation services for LLCs, corporations and non-profits. In the years ended December 31, 2022 and 2021,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w:t>
      </w:r>
    </w:p>
    <w:p>
      <w:pPr>
        <w:spacing w:after="0" w:line="86" w:lineRule="exact"/>
        <w:rPr>
          <w:rFonts w:ascii="Arial" w:cs="Arial" w:eastAsia="Arial" w:hAnsi="Arial"/>
          <w:sz w:val="16"/>
          <w:szCs w:val="16"/>
          <w:color w:val="auto"/>
        </w:rPr>
      </w:pPr>
    </w:p>
    <w:p>
      <w:pPr>
        <w:ind w:left="720" w:right="200" w:hanging="311"/>
        <w:spacing w:after="0" w:line="252"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Product leadership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invested significantly and expect to continue to invest in our user experience, which we believe is critical to attracting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converting customers and improving retention. These investments consist mainly of creating educational content, improving our website and application user interface, and creating and offering additional products and services, including the growing use of experts in the customer journey. The performance of our product is important to attracting new customers to our platform, maintaining a healthy subscriber base and retaining our customers.</w:t>
      </w:r>
    </w:p>
    <w:p>
      <w:pPr>
        <w:spacing w:after="0" w:line="88" w:lineRule="exact"/>
        <w:rPr>
          <w:rFonts w:ascii="Arial" w:cs="Arial" w:eastAsia="Arial" w:hAnsi="Arial"/>
          <w:sz w:val="16"/>
          <w:szCs w:val="16"/>
          <w:color w:val="auto"/>
        </w:rPr>
      </w:pPr>
    </w:p>
    <w:p>
      <w:pPr>
        <w:ind w:left="720" w:right="80" w:hanging="311"/>
        <w:spacing w:after="0" w:line="251"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enhance customer lifetime value. </w:t>
      </w:r>
      <w:r>
        <w:rPr>
          <w:rFonts w:ascii="Arial" w:cs="Arial" w:eastAsia="Arial" w:hAnsi="Arial"/>
          <w:sz w:val="16"/>
          <w:szCs w:val="16"/>
          <w:color w:val="auto"/>
        </w:rPr>
        <w:t>Many of our subscribers have increased their cumulative spend with us over time as they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expanded their use of our platform to include additional products and subscription services. Our relationship with our small business customers typically starts with the formation of their business and deepens as their businesses grow and their needs become more complex. By continuing to develop new products and subscription services such as tax advice and preparation to address such needs, we expect to see higher customer engagement and retention, which in turn would further increase our customer lifetime value. Additionally, we offer third-party services via our partner ecosystem, such as our partnership with Wix, which enables our small business customers to build their online presence, and we expect to be able to generate incremental revenue via these offerings.</w:t>
      </w:r>
    </w:p>
    <w:p>
      <w:pPr>
        <w:spacing w:after="0" w:line="74" w:lineRule="exact"/>
        <w:rPr>
          <w:rFonts w:ascii="Arial" w:cs="Arial" w:eastAsia="Arial" w:hAnsi="Arial"/>
          <w:sz w:val="16"/>
          <w:szCs w:val="16"/>
          <w:color w:val="auto"/>
        </w:rPr>
      </w:pPr>
    </w:p>
    <w:p>
      <w:pPr>
        <w:ind w:left="720" w:right="160" w:hanging="311"/>
        <w:spacing w:after="0" w:line="261"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marketing. </w:t>
      </w:r>
      <w:r>
        <w:rPr>
          <w:rFonts w:ascii="Arial" w:cs="Arial" w:eastAsia="Arial" w:hAnsi="Arial"/>
          <w:sz w:val="16"/>
          <w:szCs w:val="16"/>
          <w:color w:val="auto"/>
        </w:rPr>
        <w:t>We have invested, and expect that we will continue to invest, in our brand and the promotion of our services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customer acquisition channels, including search engine marketing, search engine optimization, television, digital video, social, radio, and our inside sales team to acquire new customers and grow our business. We frequently evaluate how we price, market, and sell transaction products in order to optimize our subscription business.</w:t>
      </w:r>
    </w:p>
    <w:p>
      <w:pPr>
        <w:spacing w:after="0" w:line="68" w:lineRule="exact"/>
        <w:rPr>
          <w:rFonts w:ascii="Arial" w:cs="Arial" w:eastAsia="Arial" w:hAnsi="Arial"/>
          <w:sz w:val="16"/>
          <w:szCs w:val="16"/>
          <w:color w:val="auto"/>
        </w:rPr>
      </w:pPr>
    </w:p>
    <w:p>
      <w:pPr>
        <w:ind w:left="720" w:right="80" w:hanging="311"/>
        <w:spacing w:after="0" w:line="255"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tax offerings. </w:t>
      </w:r>
      <w:r>
        <w:rPr>
          <w:rFonts w:ascii="Arial" w:cs="Arial" w:eastAsia="Arial" w:hAnsi="Arial"/>
          <w:sz w:val="16"/>
          <w:szCs w:val="16"/>
          <w:color w:val="auto"/>
        </w:rPr>
        <w:t>Tax represents a natural adjacency in our mission to make legal and compliance services accessible to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To address the customer need, we launched our Tax advisory and preparation offering. We anticipate incurring additional costs related to our tax offerings as we continue to invest in these offerings throughout 2023. We believe that our tax offerings represent an attractive opportunity for incremental revenue growth.</w:t>
      </w:r>
    </w:p>
    <w:p>
      <w:pPr>
        <w:spacing w:after="0" w:line="86" w:lineRule="exact"/>
        <w:rPr>
          <w:rFonts w:ascii="Arial" w:cs="Arial" w:eastAsia="Arial" w:hAnsi="Arial"/>
          <w:sz w:val="16"/>
          <w:szCs w:val="16"/>
          <w:color w:val="auto"/>
        </w:rPr>
      </w:pPr>
    </w:p>
    <w:p>
      <w:pPr>
        <w:ind w:left="720" w:right="180" w:hanging="311"/>
        <w:spacing w:after="0" w:line="255"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and retention. </w:t>
      </w:r>
      <w:r>
        <w:rPr>
          <w:rFonts w:ascii="Arial" w:cs="Arial" w:eastAsia="Arial" w:hAnsi="Arial"/>
          <w:sz w:val="16"/>
          <w:szCs w:val="16"/>
          <w:color w:val="auto"/>
        </w:rPr>
        <w:t>We are focused on providing a quality employee experience as we believe the future success of our business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heavily dependent on our ability to attract and retain talented and highly productive employees. We compete for talent within the technology industry and believe that our strong brand recognition and greater company purpose are important, positive considerations in our ability to recruit talent. We also are scaling an in-house team of certified public accountants or CPAs, and enrolled agents that are critical to our tax offerings.</w:t>
      </w:r>
    </w:p>
    <w:p>
      <w:pPr>
        <w:spacing w:after="0" w:line="71" w:lineRule="exact"/>
        <w:rPr>
          <w:rFonts w:ascii="Arial" w:cs="Arial" w:eastAsia="Arial" w:hAnsi="Arial"/>
          <w:sz w:val="16"/>
          <w:szCs w:val="16"/>
          <w:color w:val="auto"/>
        </w:rPr>
      </w:pPr>
    </w:p>
    <w:p>
      <w:pPr>
        <w:jc w:val="both"/>
        <w:ind w:left="720" w:right="100" w:hanging="311"/>
        <w:spacing w:after="0" w:line="256" w:lineRule="auto"/>
        <w:tabs>
          <w:tab w:leader="none" w:pos="70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Macroeconomic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Fluctuations in general macroeconomic, political, regulatory and market conditions, such as recessionary fears, the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inflationary environment, rising interest rates and lingering effects of the COVID-19 pandemic can adversely impact consumer spending patterns, the success of existing small businesses and the formation of new small businesses. For example, overall U.S. business formations declined in the year ended December 31, 2022 compared to 2021 based on a review of U.S. Census data and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40" w:name="page41"/>
    <w:bookmarkEnd w:id="40"/>
    <w:p>
      <w:pPr>
        <w:ind w:left="720" w:right="40"/>
        <w:spacing w:after="0" w:line="263" w:lineRule="auto"/>
        <w:rPr>
          <w:sz w:val="20"/>
          <w:szCs w:val="20"/>
          <w:color w:val="auto"/>
        </w:rPr>
      </w:pPr>
      <w:r>
        <w:rPr>
          <w:rFonts w:ascii="Arial" w:cs="Arial" w:eastAsia="Arial" w:hAnsi="Arial"/>
          <w:sz w:val="16"/>
          <w:szCs w:val="16"/>
          <w:color w:val="auto"/>
        </w:rPr>
        <w:t>we expect the this decline to continue in 2023 due, in part, to the current challenging macroeconomic environment. While we believe that secular trends toward greater adoption of online services continue to exist, future negative or decelerating impact from sustained inflation, higher interest rates or other macroeconomic fluctuations remains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generate revenue from the sources identified below.</w:t>
      </w:r>
    </w:p>
    <w:p>
      <w:pPr>
        <w:spacing w:after="0" w:line="106" w:lineRule="exact"/>
        <w:rPr>
          <w:sz w:val="20"/>
          <w:szCs w:val="20"/>
          <w:color w:val="auto"/>
        </w:rPr>
      </w:pPr>
    </w:p>
    <w:p>
      <w:pPr>
        <w:ind w:right="180" w:firstLine="395"/>
        <w:spacing w:after="0" w:line="277" w:lineRule="auto"/>
        <w:rPr>
          <w:sz w:val="20"/>
          <w:szCs w:val="20"/>
          <w:color w:val="auto"/>
        </w:rPr>
      </w:pPr>
      <w:r>
        <w:rPr>
          <w:rFonts w:ascii="Arial" w:cs="Arial" w:eastAsia="Arial" w:hAnsi="Arial"/>
          <w:sz w:val="15"/>
          <w:szCs w:val="15"/>
          <w:i w:val="1"/>
          <w:iCs w:val="1"/>
          <w:color w:val="auto"/>
        </w:rPr>
        <w:t>Transaction revenue</w:t>
      </w:r>
      <w:r>
        <w:rPr>
          <w:rFonts w:ascii="Arial" w:cs="Arial" w:eastAsia="Arial" w:hAnsi="Arial"/>
          <w:sz w:val="15"/>
          <w:szCs w:val="15"/>
          <w:color w:val="auto"/>
        </w:rPr>
        <w:t>. Transaction revenue is primarily generated from our customized legal document services upon fulfillment of these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 revenue includes filing fees and is net of cancellations, promotional discounts, sales allowances and credit reserves. Until April 2020, when we ceased providing such services, we also generated transaction revenue from our residential and commercial conveyancing business in the United Kingdom, or U.K., and revenue for these services was recognized when delivered to the customer. In the fourth quarter of 2020, we commenced providing tax preparation services in the U.S. which are recognized at the point in time when the customer’s tax return is filed and accepted by the applicable government authority.</w:t>
      </w:r>
    </w:p>
    <w:p>
      <w:pPr>
        <w:spacing w:after="0" w:line="57"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advisory and preparation services, and virtual mail services in addition to software-as-a-service, or SaaS, subscriptions in the U.K. In the fourth quarter of 2020, we commenced providing tax and payroll subscription services.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86"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73" w:lineRule="exact"/>
        <w:rPr>
          <w:sz w:val="20"/>
          <w:szCs w:val="20"/>
          <w:color w:val="auto"/>
        </w:rPr>
      </w:pPr>
    </w:p>
    <w:p>
      <w:pPr>
        <w:ind w:right="80" w:firstLine="395"/>
        <w:spacing w:after="0" w:line="256"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 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 We expect partner revenue will continue to decline in 2023 as we transition away from legacy partners that do not align with our new strategic direction and focus more on long-term opportunities to have strategic partnerships that build on recurring revenue models.</w:t>
      </w:r>
    </w:p>
    <w:p>
      <w:pPr>
        <w:spacing w:after="0" w:line="71"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color w:val="auto"/>
        </w:rPr>
        <w:t>See the section titled “—Critical Accounting Estimates—Revenue Recognition” for a description of the accounting policies related to revenue recognition, including arrangements that contain multiple deliverables.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06"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and credentialed professionals, and related benefits, including stock-based compensation;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86" w:lineRule="exact"/>
        <w:rPr>
          <w:sz w:val="20"/>
          <w:szCs w:val="20"/>
          <w:color w:val="auto"/>
        </w:rPr>
      </w:pPr>
    </w:p>
    <w:p>
      <w:pPr>
        <w:ind w:right="740" w:firstLine="395"/>
        <w:spacing w:after="0" w:line="270" w:lineRule="auto"/>
        <w:rPr>
          <w:sz w:val="20"/>
          <w:szCs w:val="20"/>
          <w:color w:val="auto"/>
        </w:rPr>
      </w:pPr>
      <w:r>
        <w:rPr>
          <w:rFonts w:ascii="Arial" w:cs="Arial" w:eastAsia="Arial" w:hAnsi="Arial"/>
          <w:sz w:val="16"/>
          <w:szCs w:val="16"/>
          <w:color w:val="auto"/>
        </w:rPr>
        <w:t>We expect our cost of revenue to increase in absolute dollars as we continue to invest in enhancing our customer experience and in new product development, including expert-assisted offerings for our tax and attorney-assisted legal offerings.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119"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1" w:name="page42"/>
    <w:bookmarkEnd w:id="41"/>
    <w:p>
      <w:pPr>
        <w:ind w:right="100" w:firstLine="395"/>
        <w:spacing w:after="0" w:line="255" w:lineRule="auto"/>
        <w:rPr>
          <w:sz w:val="20"/>
          <w:szCs w:val="20"/>
          <w:color w:val="auto"/>
        </w:rPr>
      </w:pPr>
      <w:r>
        <w:rPr>
          <w:rFonts w:ascii="Arial" w:cs="Arial" w:eastAsia="Arial" w:hAnsi="Arial"/>
          <w:sz w:val="16"/>
          <w:szCs w:val="16"/>
          <w:color w:val="auto"/>
        </w:rPr>
        <w:t>In the short term, we expect our gross profit to increase in absolute dollars but our gross margin to be impacted by our continued investment in scaling our tax business, which has lower gross margins than other products in our portfolio. However, we expect our gross margin to increase modestly over the longer term as we continue to focus on growing higher-margin subscription revenue and invest in fulfillment automation technologies. In addition, our gross margin could fluctuate from period to period due to fulfillment rates and seasonality.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06" w:lineRule="exact"/>
        <w:rPr>
          <w:sz w:val="20"/>
          <w:szCs w:val="20"/>
          <w:color w:val="auto"/>
        </w:rPr>
      </w:pPr>
    </w:p>
    <w:p>
      <w:pPr>
        <w:ind w:right="460" w:firstLine="395"/>
        <w:spacing w:after="0" w:line="270"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06" w:lineRule="exact"/>
        <w:rPr>
          <w:sz w:val="20"/>
          <w:szCs w:val="20"/>
          <w:color w:val="auto"/>
        </w:rPr>
      </w:pPr>
    </w:p>
    <w:p>
      <w:pPr>
        <w:ind w:firstLine="395"/>
        <w:spacing w:after="0" w:line="256"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71"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color w:val="auto"/>
        </w:rPr>
        <w:t>We intend to continue to invest in sales and marketing to drive additional revenue, further penetrate our expanding addressable market, and build on our digital brand leadership and awareness. While we anticipate that sales and marketing expenses will continue to be our largest operating expense category for the foreseeable future, we expect marketing expenses to decline in the near-term as we pivot our media spend toward search engine marketing and other performance-based channels to provide additional flexibility given the uncertain macroeconomic environment.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06" w:lineRule="exact"/>
        <w:rPr>
          <w:sz w:val="20"/>
          <w:szCs w:val="20"/>
          <w:color w:val="auto"/>
        </w:rPr>
      </w:pPr>
    </w:p>
    <w:p>
      <w:pPr>
        <w:ind w:right="440" w:firstLine="395"/>
        <w:spacing w:after="0" w:line="256" w:lineRule="auto"/>
        <w:rPr>
          <w:sz w:val="20"/>
          <w:szCs w:val="20"/>
          <w:color w:val="auto"/>
        </w:rPr>
      </w:pPr>
      <w:r>
        <w:rPr>
          <w:rFonts w:ascii="Arial" w:cs="Arial" w:eastAsia="Arial" w:hAnsi="Arial"/>
          <w:sz w:val="16"/>
          <w:szCs w:val="16"/>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71"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5"/>
          <w:szCs w:val="15"/>
          <w:color w:val="auto"/>
        </w:rPr>
        <w:t>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06" w:lineRule="exact"/>
        <w:rPr>
          <w:sz w:val="20"/>
          <w:szCs w:val="20"/>
          <w:color w:val="auto"/>
        </w:rPr>
      </w:pPr>
    </w:p>
    <w:p>
      <w:pPr>
        <w:jc w:val="both"/>
        <w:ind w:right="320" w:firstLine="395"/>
        <w:spacing w:after="0" w:line="263"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spacing w:after="0" w:line="66"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Excluding stock-based compensation, we expect our general and administrative expenses to increase in absolute dollars for the foreseeable future due to additional costs associated with accounting, compliance, insurance and investor relations as we have recently become a public company. Over the next year, we will continue to incur stock-based compensation expense as a result of certain modifications to equity awards that occurred in connection with our IPO; however, 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6" w:lineRule="exact"/>
        <w:rPr>
          <w:sz w:val="20"/>
          <w:szCs w:val="20"/>
          <w:color w:val="auto"/>
        </w:rPr>
      </w:pPr>
    </w:p>
    <w:p>
      <w:pPr>
        <w:ind w:right="180" w:firstLine="395"/>
        <w:spacing w:after="0" w:line="261" w:lineRule="auto"/>
        <w:rPr>
          <w:sz w:val="20"/>
          <w:szCs w:val="20"/>
          <w:color w:val="auto"/>
        </w:rPr>
      </w:pPr>
      <w:r>
        <w:rPr>
          <w:rFonts w:ascii="Arial" w:cs="Arial" w:eastAsia="Arial" w:hAnsi="Arial"/>
          <w:sz w:val="16"/>
          <w:szCs w:val="16"/>
          <w:color w:val="auto"/>
        </w:rPr>
        <w:t>Interest income (expense), net, consists primarily of interest income generated from our investment in money market fund offset by amortization of debt issuance costs related to our Amended and Restated Credit and Guaranty Agreement, or 2021 Revolving Facility. Prior year interest income (expense), net, consisted of interest expense on our prior credit facility, hedging instruments and amortization of debt issuance costs, which were extinguished after our IPO in July 2021.</w:t>
      </w:r>
    </w:p>
    <w:p>
      <w:pPr>
        <w:spacing w:after="0" w:line="68" w:lineRule="exact"/>
        <w:rPr>
          <w:sz w:val="20"/>
          <w:szCs w:val="20"/>
          <w:color w:val="auto"/>
        </w:rPr>
      </w:pPr>
    </w:p>
    <w:p>
      <w:pPr>
        <w:ind w:right="420" w:firstLine="395"/>
        <w:spacing w:after="0" w:line="270" w:lineRule="auto"/>
        <w:rPr>
          <w:sz w:val="20"/>
          <w:szCs w:val="20"/>
          <w:color w:val="auto"/>
        </w:rPr>
      </w:pPr>
      <w:r>
        <w:rPr>
          <w:rFonts w:ascii="Arial" w:cs="Arial" w:eastAsia="Arial" w:hAnsi="Arial"/>
          <w:sz w:val="16"/>
          <w:szCs w:val="16"/>
          <w:color w:val="auto"/>
        </w:rPr>
        <w:t>We expect interest income (expense), net, to remain insignificant in the near term as we have no outstanding indebtedness. However, we would incur interest expense in the longer term should we draw down on our 2021 Revolving Facility or incur other indebtedness.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19" w:lineRule="exact"/>
        <w:rPr>
          <w:sz w:val="20"/>
          <w:szCs w:val="20"/>
          <w:color w:val="auto"/>
        </w:rPr>
      </w:pPr>
    </w:p>
    <w:p>
      <w:pPr>
        <w:ind w:right="120" w:firstLine="395"/>
        <w:spacing w:after="0" w:line="253" w:lineRule="auto"/>
        <w:rPr>
          <w:sz w:val="20"/>
          <w:szCs w:val="20"/>
          <w:color w:val="auto"/>
        </w:rPr>
      </w:pPr>
      <w:r>
        <w:rPr>
          <w:rFonts w:ascii="Arial" w:cs="Arial" w:eastAsia="Arial" w:hAnsi="Arial"/>
          <w:sz w:val="16"/>
          <w:szCs w:val="16"/>
          <w:color w:val="auto"/>
        </w:rPr>
        <w:t>At December 31, 2022, we had federal net operating loss, or NOL, carryforwards of $16.8 million, which will begin to expire in 2032. At December 31, 2022, we had state NOL carryforwards of $59.9 million, which will begin to expire in 2027 and we had foreign NOL carryforwards of $33.6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spacing w:after="0" w:line="73" w:lineRule="exact"/>
        <w:rPr>
          <w:sz w:val="20"/>
          <w:szCs w:val="20"/>
          <w:color w:val="auto"/>
        </w:rPr>
      </w:pPr>
    </w:p>
    <w:p>
      <w:pPr>
        <w:ind w:right="640" w:firstLine="395"/>
        <w:spacing w:after="0" w:line="287" w:lineRule="auto"/>
        <w:rPr>
          <w:sz w:val="20"/>
          <w:szCs w:val="20"/>
          <w:color w:val="auto"/>
        </w:rPr>
      </w:pPr>
      <w:r>
        <w:rPr>
          <w:rFonts w:ascii="Arial" w:cs="Arial" w:eastAsia="Arial" w:hAnsi="Arial"/>
          <w:sz w:val="16"/>
          <w:szCs w:val="16"/>
          <w:color w:val="auto"/>
        </w:rPr>
        <w:t>We had an ownership change in prior years, and as a result certain federal and state NOLs were limited pursuant to Section 382 of the Code. This limitation has been accounted for in calculating our available NOL carryforwards.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8"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8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2"/>
        </w:trPr>
        <w:tc>
          <w:tcPr>
            <w:tcW w:w="8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7"/>
                <w:szCs w:val="17"/>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575,080</w:t>
            </w:r>
          </w:p>
        </w:tc>
      </w:tr>
      <w:tr>
        <w:trPr>
          <w:trHeight w:val="211"/>
        </w:trPr>
        <w:tc>
          <w:tcPr>
            <w:tcW w:w="83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0"/>
                <w:szCs w:val="20"/>
                <w:color w:val="auto"/>
                <w:vertAlign w:val="superscript"/>
              </w:rPr>
              <w:t>(1)(2)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211,095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189,364</w:t>
            </w:r>
          </w:p>
        </w:tc>
      </w:tr>
      <w:tr>
        <w:trPr>
          <w:trHeight w:val="204"/>
        </w:trPr>
        <w:tc>
          <w:tcPr>
            <w:tcW w:w="83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408,884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385,716</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8380" w:type="dxa"/>
            <w:vAlign w:val="bottom"/>
            <w:shd w:val="clear" w:color="auto" w:fill="CCEEFF"/>
          </w:tcPr>
          <w:p>
            <w:pPr>
              <w:ind w:left="340"/>
              <w:spacing w:after="0" w:line="212"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0"/>
                <w:szCs w:val="20"/>
                <w:color w:val="auto"/>
                <w:vertAlign w:val="superscript"/>
              </w:rPr>
              <w:t>(1)(2)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279,281</w:t>
            </w:r>
          </w:p>
        </w:tc>
      </w:tr>
      <w:tr>
        <w:trPr>
          <w:trHeight w:val="211"/>
        </w:trPr>
        <w:tc>
          <w:tcPr>
            <w:tcW w:w="8380" w:type="dxa"/>
            <w:vAlign w:val="bottom"/>
          </w:tcPr>
          <w:p>
            <w:pPr>
              <w:ind w:left="340"/>
              <w:spacing w:after="0" w:line="210" w:lineRule="exact"/>
              <w:rPr>
                <w:sz w:val="20"/>
                <w:szCs w:val="20"/>
                <w:color w:val="auto"/>
              </w:rPr>
            </w:pPr>
            <w:r>
              <w:rPr>
                <w:rFonts w:ascii="Arial" w:cs="Arial" w:eastAsia="Arial" w:hAnsi="Arial"/>
                <w:sz w:val="16"/>
                <w:szCs w:val="16"/>
                <w:color w:val="auto"/>
              </w:rPr>
              <w:t>Technology and development</w:t>
            </w:r>
            <w:r>
              <w:rPr>
                <w:rFonts w:ascii="Arial" w:cs="Arial" w:eastAsia="Arial" w:hAnsi="Arial"/>
                <w:sz w:val="20"/>
                <w:szCs w:val="20"/>
                <w:color w:val="auto"/>
                <w:vertAlign w:val="superscript"/>
              </w:rPr>
              <w:t>(1)(2)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84,003</w:t>
            </w:r>
          </w:p>
        </w:tc>
      </w:tr>
      <w:tr>
        <w:trPr>
          <w:trHeight w:val="211"/>
        </w:trPr>
        <w:tc>
          <w:tcPr>
            <w:tcW w:w="8380" w:type="dxa"/>
            <w:vAlign w:val="bottom"/>
            <w:shd w:val="clear" w:color="auto" w:fill="CCEEFF"/>
          </w:tcPr>
          <w:p>
            <w:pPr>
              <w:ind w:left="340"/>
              <w:spacing w:after="0" w:line="21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0"/>
                <w:szCs w:val="20"/>
                <w:color w:val="auto"/>
                <w:vertAlign w:val="superscript"/>
              </w:rPr>
              <w:t>(1)(2)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106,584</w:t>
            </w:r>
          </w:p>
        </w:tc>
      </w:tr>
      <w:tr>
        <w:trPr>
          <w:trHeight w:val="209"/>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Impairment of long-lived and other 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205"/>
        </w:trPr>
        <w:tc>
          <w:tcPr>
            <w:tcW w:w="83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450,623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470,792</w:t>
            </w:r>
          </w:p>
        </w:tc>
      </w:tr>
      <w:tr>
        <w:trPr>
          <w:trHeight w:val="202"/>
        </w:trPr>
        <w:tc>
          <w:tcPr>
            <w:tcW w:w="83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(41,739)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(85,076)</w:t>
            </w: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(expense),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(27,984)</w:t>
            </w: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other equity security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(7,748)</w:t>
            </w:r>
          </w:p>
        </w:tc>
      </w:tr>
      <w:tr>
        <w:trPr>
          <w:trHeight w:val="205"/>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(47,673)</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(119,615)</w:t>
            </w:r>
          </w:p>
        </w:tc>
      </w:tr>
      <w:tr>
        <w:trPr>
          <w:trHeight w:val="209"/>
        </w:trPr>
        <w:tc>
          <w:tcPr>
            <w:tcW w:w="8380" w:type="dxa"/>
            <w:vAlign w:val="bottom"/>
          </w:tcPr>
          <w:p>
            <w:pPr>
              <w:ind w:left="38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r>
      <w:tr>
        <w:trPr>
          <w:trHeight w:val="205"/>
        </w:trPr>
        <w:tc>
          <w:tcPr>
            <w:tcW w:w="8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(48,733)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(108,664)</w:t>
            </w: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hanging="395"/>
        <w:spacing w:after="0"/>
        <w:tabs>
          <w:tab w:leader="none" w:pos="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8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2"/>
        </w:trPr>
        <w:tc>
          <w:tcPr>
            <w:tcW w:w="8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7"/>
                <w:szCs w:val="17"/>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15,746</w:t>
            </w: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38,796</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56,557</w:t>
            </w:r>
          </w:p>
        </w:tc>
      </w:tr>
      <w:tr>
        <w:trPr>
          <w:trHeight w:val="230"/>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80,469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140" w:firstLine="395"/>
        <w:spacing w:after="0" w:line="263" w:lineRule="auto"/>
        <w:rPr>
          <w:sz w:val="20"/>
          <w:szCs w:val="20"/>
          <w:color w:val="auto"/>
        </w:rPr>
      </w:pPr>
      <w:r>
        <w:rPr>
          <w:rFonts w:ascii="Arial" w:cs="Arial" w:eastAsia="Arial" w:hAnsi="Arial"/>
          <w:sz w:val="16"/>
          <w:szCs w:val="16"/>
          <w:color w:val="auto"/>
        </w:rPr>
        <w:t>Stock-based compensation expense decreased significantly for the year ended December 31, 2022 compared to the year ended December 31, 2021 due to the modification of certain equity awards in connection with our IPO. Refer to Note 16 of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3" w:name="page44"/>
    <w:bookmarkEnd w:id="43"/>
    <w:p>
      <w:pPr>
        <w:ind w:left="400" w:right="520" w:hanging="395"/>
        <w:spacing w:after="0" w:line="270" w:lineRule="auto"/>
        <w:tabs>
          <w:tab w:leader="none" w:pos="4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6"/>
          </w:tcPr>
          <w:p>
            <w:pPr>
              <w:jc w:val="right"/>
              <w:ind w:right="841"/>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7,014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3,316</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depreciation and amortization expense</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21,745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2022 and 2021</w:t>
            </w: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3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8"/>
          </w:tcPr>
          <w:p>
            <w:pPr>
              <w:jc w:val="right"/>
              <w:ind w:right="300"/>
              <w:spacing w:after="0"/>
              <w:rPr>
                <w:sz w:val="20"/>
                <w:szCs w:val="20"/>
                <w:color w:val="auto"/>
              </w:rPr>
            </w:pPr>
            <w:r>
              <w:rPr>
                <w:rFonts w:ascii="Arial" w:cs="Arial" w:eastAsia="Arial" w:hAnsi="Arial"/>
                <w:sz w:val="16"/>
                <w:szCs w:val="16"/>
                <w:i w:val="1"/>
                <w:iCs w:val="1"/>
                <w:color w:val="auto"/>
              </w:rPr>
              <w:t>(in thousands, except percentages)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by type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Transaction</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239,799</w:t>
            </w:r>
          </w:p>
        </w:tc>
        <w:tc>
          <w:tcPr>
            <w:tcW w:w="8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258,122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Subscription</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358,023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69,082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Partner</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22,157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619,979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575,080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44,899</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right="80" w:firstLine="395"/>
        <w:spacing w:after="0" w:line="263" w:lineRule="auto"/>
        <w:rPr>
          <w:sz w:val="20"/>
          <w:szCs w:val="20"/>
          <w:color w:val="auto"/>
        </w:rPr>
      </w:pPr>
      <w:r>
        <w:rPr>
          <w:rFonts w:ascii="Arial" w:cs="Arial" w:eastAsia="Arial" w:hAnsi="Arial"/>
          <w:sz w:val="16"/>
          <w:szCs w:val="16"/>
          <w:color w:val="auto"/>
        </w:rPr>
        <w:t>The increase in total revenue was primarily driven by an increase in subscription revenue. Subscription revenue was 58% and 50% of total revenue for the year ended December 31, 2022 and 2021, respectively, and transaction revenue was 39% and 45% of total revenue for the year ended December 31, 2022 and 2021, respectively.</w:t>
      </w:r>
    </w:p>
    <w:p>
      <w:pPr>
        <w:spacing w:after="0" w:line="66" w:lineRule="exact"/>
        <w:rPr>
          <w:sz w:val="20"/>
          <w:szCs w:val="20"/>
          <w:color w:val="auto"/>
        </w:rPr>
      </w:pPr>
    </w:p>
    <w:p>
      <w:pPr>
        <w:ind w:right="80" w:firstLine="395"/>
        <w:spacing w:after="0" w:line="251" w:lineRule="auto"/>
        <w:rPr>
          <w:sz w:val="20"/>
          <w:szCs w:val="20"/>
          <w:color w:val="auto"/>
        </w:rPr>
      </w:pPr>
      <w:r>
        <w:rPr>
          <w:rFonts w:ascii="Arial" w:cs="Arial" w:eastAsia="Arial" w:hAnsi="Arial"/>
          <w:sz w:val="16"/>
          <w:szCs w:val="16"/>
          <w:color w:val="auto"/>
        </w:rPr>
        <w:t>Subscription revenue for the year ended December 31, 2022 increased primarily due to a 15% increase in the average number of subscription units and a 9% improvement in ARPU compared to the year ended December 31, 2021. The increase in average subscription units was primarily driven by strong growth in subscriptions acquired through our partner integration channel, our registered agent, compliance, and tax products, as well as from our purchase of Earth Class Mail during the fourth quarter of 2021. The increase in ARPU was primarily due to a change in mix, as our tax services, subscriptions from Earth Class Mail, compliance and registered agent products, which carry higher average price points than our other subscription services, increased as a percentage of total subscription units. ARPU also increased as a result of a price increase to our small business legal advisory plan that was implemented in the fourth quarter of 2021. These increases were partially offset by an increase in wholesale-priced subscriptions from our partner integration channel.</w:t>
      </w:r>
    </w:p>
    <w:p>
      <w:pPr>
        <w:spacing w:after="0" w:line="87"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Transaction revenue for the year ended December 31, 2022 decreased due to a 5% decrease in the number of transactions and a 2% reduction in average order value compared to the year ended December 31, 2021. The decrease in the number of transactions resulted from a reduction in estate planning and other consumer transactions, lower volumes in our intellectual property business largely due to the discontinuation of our do-it-yourself trademark product in favor of our attorney-assisted solution and, to a lesser extent, the decrease in business formations during this same period. The reduction in average order value for the year ended December 31, 2022 was primarily driven by an increase in transactions from our wholesale-priced partner integration channel as a percentage of total transactions and testing of lower-priced business formation services partially offset by the timing of revenue recognition.</w:t>
      </w:r>
    </w:p>
    <w:p>
      <w:pPr>
        <w:spacing w:after="0" w:line="73" w:lineRule="exact"/>
        <w:rPr>
          <w:sz w:val="20"/>
          <w:szCs w:val="20"/>
          <w:color w:val="auto"/>
        </w:rPr>
      </w:pPr>
    </w:p>
    <w:p>
      <w:pPr>
        <w:ind w:right="340" w:firstLine="395"/>
        <w:spacing w:after="0" w:line="287" w:lineRule="auto"/>
        <w:rPr>
          <w:sz w:val="20"/>
          <w:szCs w:val="20"/>
          <w:color w:val="auto"/>
        </w:rPr>
      </w:pPr>
      <w:r>
        <w:rPr>
          <w:rFonts w:ascii="Arial" w:cs="Arial" w:eastAsia="Arial" w:hAnsi="Arial"/>
          <w:sz w:val="16"/>
          <w:szCs w:val="16"/>
          <w:color w:val="auto"/>
        </w:rPr>
        <w:t>Partner revenue for the year ended December 31, 2022 decreased due to lower formation volumes and our transition away from certain legacy partner relationships that no longer align with our strategic direction.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29"/>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160" w:firstLine="395"/>
        <w:spacing w:after="0" w:line="256" w:lineRule="auto"/>
        <w:rPr>
          <w:sz w:val="20"/>
          <w:szCs w:val="20"/>
          <w:color w:val="auto"/>
        </w:rPr>
      </w:pPr>
      <w:r>
        <w:rPr>
          <w:rFonts w:ascii="Arial" w:cs="Arial" w:eastAsia="Arial" w:hAnsi="Arial"/>
          <w:sz w:val="16"/>
          <w:szCs w:val="16"/>
          <w:color w:val="auto"/>
        </w:rPr>
        <w:t>Cost of revenue for the year ended December 31, 2022 increased mainly due to higher fulfillment costs, partially offset by a reduction in filing fees and other variable costs related to the decline in transaction revenue. Fulfillment costs increased by $23.4 million compared to the year ended December 31, 2021, including an $8.3 million increase resulting from our acquisition of Earth Class Mail, an $8.0 million increase related to expanded headcount in our tax business for the 2022 tax filing season and to support future growth as well as a $5.1 million increase in our core business due to higher depreciation expense and investment in additional production capacity to enhance our customer experience.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55"/>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4"/>
        </w:trPr>
        <w:tc>
          <w:tcPr>
            <w:tcW w:w="53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increase in gross profit was driven by a $44.9 million increase in revenue partially offset by a $21.7 million increase in cost of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2"/>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4"/>
        </w:trPr>
        <w:tc>
          <w:tcPr>
            <w:tcW w:w="53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263,884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(15,397)</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Sales and marketing expenses for the year ended December 31, 2022 decreased primarily due to a $20.7 million reduction in customer acquisition marketing spend and a $5.6 million decrease in stock-based compensation, mainly in connection with award modifications from our IPO in July 2021, partially offset by a $6.4 million increase in payroll and related costs due to higher average headcount and a $3.8 million increase in media production and other non-programmatic spend. Customer acquisition marketing spend was $174.6 million and $195.4 million for the year ended December 31, 2022 and 2021, respectively, as we reduced our marketing spend in response to the year-over-year decline in overall U.S. business formations and the uncertain macroeconomic environment.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4"/>
        </w:trPr>
        <w:tc>
          <w:tcPr>
            <w:tcW w:w="53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70,434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(13,569)</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20" w:firstLine="395"/>
        <w:spacing w:after="0" w:line="252" w:lineRule="auto"/>
        <w:rPr>
          <w:sz w:val="20"/>
          <w:szCs w:val="20"/>
          <w:color w:val="auto"/>
        </w:rPr>
      </w:pPr>
      <w:r>
        <w:rPr>
          <w:rFonts w:ascii="Arial" w:cs="Arial" w:eastAsia="Arial" w:hAnsi="Arial"/>
          <w:sz w:val="16"/>
          <w:szCs w:val="16"/>
          <w:color w:val="auto"/>
        </w:rPr>
        <w:t>Technology and development expenses for the year ended December 31, 2022 decreased primarily due to a decrease in stock-based compensation of $22.2 million, mainly in connection with award modifications from our IPO in July 2021. This decrease was partially offset by a $3.8 million increase in professional services expense, including contingent staff costs related to our purchase of Earth Class Mail, an increase in other payroll and related benefits of $2.7 million resulting from higher headcount as we added staff to support our investment in new products and services, and a $1.6 million increase in software licensing costs.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116,057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General and administrative expenses for the year ended December 31, 2022 increased primarily due to a $9.0 million increase in payroll and related benefits, largely due to increased headcount, $1.4 million of additional insurance expense as a public company and a $1.9 million increase in restructuring costs, partially offset by a $5.7 million reduction in stock-based compensation, mainly in connection with award modifications from our IPO in July 2021 and a $1.2 million decrease in professional services expense.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long-lived and other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4"/>
        </w:trPr>
        <w:tc>
          <w:tcPr>
            <w:tcW w:w="53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long-lived and other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440" w:firstLine="395"/>
        <w:spacing w:after="0" w:line="270" w:lineRule="auto"/>
        <w:rPr>
          <w:sz w:val="20"/>
          <w:szCs w:val="20"/>
          <w:color w:val="auto"/>
        </w:rPr>
      </w:pPr>
      <w:r>
        <w:rPr>
          <w:rFonts w:ascii="Arial" w:cs="Arial" w:eastAsia="Arial" w:hAnsi="Arial"/>
          <w:sz w:val="16"/>
          <w:szCs w:val="16"/>
          <w:color w:val="auto"/>
        </w:rPr>
        <w:t>In 2022, we recorded non-cash charges related to the impairment of certain customer relationship assets and in 2021 we recorded non-cash charges related to the impairment of internal-use software projects that were no longer aligned with our go-forward strategy.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 expense, net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1"/>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4"/>
        </w:trPr>
        <w:tc>
          <w:tcPr>
            <w:tcW w:w="53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(29,527)</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change in interest (income) expense, net, was primarily due to the repayment of the 2018 term loan in July 2021 in connection with our IPO.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4"/>
        </w:trPr>
        <w:tc>
          <w:tcPr>
            <w:tcW w:w="53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780" w:firstLine="395"/>
        <w:spacing w:after="0" w:line="270" w:lineRule="auto"/>
        <w:rPr>
          <w:sz w:val="20"/>
          <w:szCs w:val="20"/>
          <w:color w:val="auto"/>
        </w:rPr>
      </w:pPr>
      <w:r>
        <w:rPr>
          <w:rFonts w:ascii="Arial" w:cs="Arial" w:eastAsia="Arial" w:hAnsi="Arial"/>
          <w:sz w:val="16"/>
          <w:szCs w:val="16"/>
          <w:color w:val="auto"/>
        </w:rPr>
        <w:t>The change in other (expense) income, net, between 2022 and 2021 was primarily due to changes in foreign currency movements related to our intercompany loans which were denominated in British Pound Sterling, or GBP.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Loss on debt extinguishment</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5380" w:type="dxa"/>
            <w:vAlign w:val="bottom"/>
          </w:tcPr>
          <w:p>
            <w:pPr>
              <w:spacing w:after="0"/>
              <w:rPr>
                <w:sz w:val="18"/>
                <w:szCs w:val="18"/>
                <w:color w:val="auto"/>
              </w:rPr>
            </w:pPr>
          </w:p>
        </w:tc>
        <w:tc>
          <w:tcPr>
            <w:tcW w:w="2880" w:type="dxa"/>
            <w:vAlign w:val="bottom"/>
            <w:gridSpan w:val="6"/>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4"/>
        </w:trPr>
        <w:tc>
          <w:tcPr>
            <w:tcW w:w="53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w w:val="98"/>
              </w:rPr>
              <w:t>(in thousands, except percentages)</w:t>
            </w:r>
          </w:p>
        </w:tc>
        <w:tc>
          <w:tcPr>
            <w:tcW w:w="1540" w:type="dxa"/>
            <w:vAlign w:val="bottom"/>
          </w:tcPr>
          <w:p>
            <w:pPr>
              <w:spacing w:after="0"/>
              <w:rPr>
                <w:sz w:val="17"/>
                <w:szCs w:val="17"/>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660" w:firstLine="395"/>
        <w:spacing w:after="0" w:line="270" w:lineRule="auto"/>
        <w:rPr>
          <w:sz w:val="20"/>
          <w:szCs w:val="20"/>
          <w:color w:val="auto"/>
        </w:rPr>
      </w:pPr>
      <w:r>
        <w:rPr>
          <w:rFonts w:ascii="Arial" w:cs="Arial" w:eastAsia="Arial" w:hAnsi="Arial"/>
          <w:sz w:val="16"/>
          <w:szCs w:val="16"/>
          <w:color w:val="auto"/>
        </w:rPr>
        <w:t>Loss on debt extinguishment for the year ended December 31, 2021 of $7.7 million was due to the write down of unamortized debt issuance costs associated with the full repayment of our 2018 term loan in July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Impairment of other equity security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6"/>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other equity security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Impairment of other equity security for the year ended December 31, 2022 was due to the impairment of our investment in Mylo,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42"/>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4"/>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3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(10,951)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12,011</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100" w:firstLine="395"/>
        <w:spacing w:after="0" w:line="246" w:lineRule="auto"/>
        <w:rPr>
          <w:sz w:val="20"/>
          <w:szCs w:val="20"/>
          <w:color w:val="auto"/>
        </w:rPr>
      </w:pPr>
      <w:r>
        <w:rPr>
          <w:rFonts w:ascii="Arial" w:cs="Arial" w:eastAsia="Arial" w:hAnsi="Arial"/>
          <w:sz w:val="16"/>
          <w:szCs w:val="16"/>
          <w:color w:val="auto"/>
        </w:rPr>
        <w:t>The provision for income taxes for the year ended December 31, 2022 resulted from a $12.0 million unfavorable change in our income taxes as compared to the year ended December 31, 2021. The change was primarily due to changes in pre-tax book income, utilization of net operating losses and capitalization of research expenditures for the year ended December 31, 2022 compared to the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Years Ended December 31, 2021 and 2020</w:t>
      </w:r>
    </w:p>
    <w:p>
      <w:pPr>
        <w:spacing w:after="0" w:line="108" w:lineRule="exact"/>
        <w:rPr>
          <w:sz w:val="20"/>
          <w:szCs w:val="20"/>
          <w:color w:val="auto"/>
        </w:rPr>
      </w:pPr>
    </w:p>
    <w:p>
      <w:pPr>
        <w:jc w:val="both"/>
        <w:ind w:right="80" w:firstLine="395"/>
        <w:spacing w:after="0" w:line="263" w:lineRule="auto"/>
        <w:rPr>
          <w:sz w:val="20"/>
          <w:szCs w:val="20"/>
          <w:color w:val="auto"/>
        </w:rPr>
      </w:pPr>
      <w:r>
        <w:rPr>
          <w:rFonts w:ascii="Arial" w:cs="Arial" w:eastAsia="Arial" w:hAnsi="Arial"/>
          <w:sz w:val="16"/>
          <w:szCs w:val="16"/>
          <w:color w:val="auto"/>
        </w:rPr>
        <w:t>For a discussion related to the results of operations and changes in financial condition for the year ended December 31, 2021 compared to the year ended December 31, 2020, refer to Part II,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in our Annual Report on Form 10-K for the year ended December 31, 2021, which was filed with the Securities and Exchange Commission, or SEC, on March 24,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06"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Since inception, we have funded our operations and capital expenditures primarily from public and private sales of equity securities, cash flows provided by operating activities and equity and debt financing arrangements, including the proceeds of our IPO. Our primary requirements for liquidity and capital are to finance working capital, capital expenditures and general corporate purposes. At December 31, 2022, our principal sources of liquidity were cash and cash equivalents of $189.1 million, which consisted of cash on deposit with banks and a money market fund, of which approximately $1.1 million related to our foreign subsidiaries. Our cash and cash equivalents decreased by $50.2 million from December 31, 2021 to December 31, 2022, primarily from the stock repurchases during the period.</w:t>
      </w:r>
    </w:p>
    <w:p>
      <w:pPr>
        <w:spacing w:after="0" w:line="73" w:lineRule="exact"/>
        <w:rPr>
          <w:sz w:val="20"/>
          <w:szCs w:val="20"/>
          <w:color w:val="auto"/>
        </w:rPr>
      </w:pPr>
    </w:p>
    <w:p>
      <w:pPr>
        <w:ind w:right="120" w:firstLine="395"/>
        <w:spacing w:after="0" w:line="261"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year. We have the ability to supplement our liquidity needs over the longer term with borrowings under our 2021 Revolving Facility. In addition, we previously announced our intention to sell our operating headquarters in Austin, Texas, which is discussed in more detail in Note 4 to our consolidated financial statements included elsewhere in this Annual Report on Form 10-K.</w:t>
      </w:r>
    </w:p>
    <w:p>
      <w:pPr>
        <w:spacing w:after="0" w:line="68" w:lineRule="exact"/>
        <w:rPr>
          <w:sz w:val="20"/>
          <w:szCs w:val="20"/>
          <w:color w:val="auto"/>
        </w:rPr>
      </w:pPr>
    </w:p>
    <w:p>
      <w:pPr>
        <w:ind w:right="20" w:firstLine="395"/>
        <w:spacing w:after="0" w:line="256"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71" w:lineRule="exact"/>
        <w:rPr>
          <w:sz w:val="20"/>
          <w:szCs w:val="20"/>
          <w:color w:val="auto"/>
        </w:rPr>
      </w:pPr>
    </w:p>
    <w:p>
      <w:pPr>
        <w:jc w:val="both"/>
        <w:ind w:right="180" w:firstLine="395"/>
        <w:spacing w:after="0" w:line="263" w:lineRule="auto"/>
        <w:rPr>
          <w:sz w:val="20"/>
          <w:szCs w:val="20"/>
          <w:color w:val="auto"/>
        </w:rPr>
      </w:pPr>
      <w:r>
        <w:rPr>
          <w:rFonts w:ascii="Arial" w:cs="Arial" w:eastAsia="Arial" w:hAnsi="Arial"/>
          <w:sz w:val="16"/>
          <w:szCs w:val="16"/>
          <w:color w:val="auto"/>
        </w:rPr>
        <w:t>Furthermore, our board of directors has authorized our management to repurchase up to $150.0 million of shares of our common stock from time to time. As of the date of this filing, we have repurchased $95.1 million of our common stock under our stock repurchase program. For additional information regarding our stock repurchase program, refer to Note 15 to our consolidated financial statements included elsewhere in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Revolving Facility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7" w:name="page48"/>
    <w:bookmarkEnd w:id="47"/>
    <w:p>
      <w:pPr>
        <w:ind w:right="60" w:firstLine="395"/>
        <w:spacing w:after="0" w:line="278" w:lineRule="auto"/>
        <w:rPr>
          <w:sz w:val="20"/>
          <w:szCs w:val="20"/>
          <w:color w:val="auto"/>
        </w:rPr>
      </w:pPr>
      <w:r>
        <w:rPr>
          <w:rFonts w:ascii="Arial" w:cs="Arial" w:eastAsia="Arial" w:hAnsi="Arial"/>
          <w:sz w:val="15"/>
          <w:szCs w:val="15"/>
          <w:color w:val="auto"/>
        </w:rPr>
        <w:t>On July 2, 2021, we entered into our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no amounts outstanding and $150.0 million available for use under our 2021 Revolving Facility.</w:t>
      </w:r>
    </w:p>
    <w:p>
      <w:pPr>
        <w:spacing w:after="0" w:line="69"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Subject to the satisfaction of certain criteria, we will be able to increase the facility by an amount equal to the sum of (i) the greater of $90.0 million and 75% of consolidated last year cash earnings before interest expense, tax, depreciation and amortization, or Cash EBITDA, which is defined in 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87" w:lineRule="exact"/>
        <w:rPr>
          <w:sz w:val="20"/>
          <w:szCs w:val="20"/>
          <w:color w:val="auto"/>
        </w:rPr>
      </w:pPr>
    </w:p>
    <w:p>
      <w:pPr>
        <w:jc w:val="both"/>
        <w:ind w:right="120" w:firstLine="395"/>
        <w:spacing w:after="0" w:line="266" w:lineRule="auto"/>
        <w:rPr>
          <w:sz w:val="20"/>
          <w:szCs w:val="20"/>
          <w:color w:val="auto"/>
        </w:rPr>
      </w:pPr>
      <w:r>
        <w:rPr>
          <w:rFonts w:ascii="Arial" w:cs="Arial" w:eastAsia="Arial" w:hAnsi="Arial"/>
          <w:sz w:val="15"/>
          <w:szCs w:val="15"/>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The interest rate applicable to the 2021 Revolving Facility is, at our option, at a rate equal to the greatest of</w:t>
      </w:r>
    </w:p>
    <w:p>
      <w:pPr>
        <w:spacing w:after="0" w:line="2" w:lineRule="exact"/>
        <w:rPr>
          <w:sz w:val="20"/>
          <w:szCs w:val="20"/>
          <w:color w:val="auto"/>
        </w:rPr>
      </w:pPr>
    </w:p>
    <w:p>
      <w:pPr>
        <w:ind w:right="180" w:firstLine="5"/>
        <w:spacing w:after="0" w:line="249" w:lineRule="auto"/>
        <w:tabs>
          <w:tab w:leader="none" w:pos="1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administrative agent’s prime rate; (ii) the federal funds effective rate plus 1/2 of 1.0% and (iii) one month LIBOR (subject to a 1.00% floor), plus 1.00% or LIBOR (subject to a 0.00% floor) plus 2.00%. The interest rate margins under the 2021 Revolving Facility are subject to a reduction of 0.25% and a further reduction of 0.25% if the total net first lien leverage ratio does not exceed 3.50 to 1.00 and 2.50 to 1.00, respectively.</w:t>
      </w:r>
    </w:p>
    <w:p>
      <w:pPr>
        <w:spacing w:after="0" w:line="89"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66" w:lineRule="exact"/>
        <w:rPr>
          <w:sz w:val="20"/>
          <w:szCs w:val="20"/>
          <w:color w:val="auto"/>
        </w:rPr>
      </w:pPr>
    </w:p>
    <w:p>
      <w:pPr>
        <w:ind w:right="240" w:firstLine="395"/>
        <w:spacing w:after="0" w:line="263"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spacing w:after="0" w:line="66" w:lineRule="exact"/>
        <w:rPr>
          <w:sz w:val="20"/>
          <w:szCs w:val="20"/>
          <w:color w:val="auto"/>
        </w:rPr>
      </w:pPr>
    </w:p>
    <w:p>
      <w:pPr>
        <w:ind w:right="60" w:firstLine="395"/>
        <w:spacing w:after="0" w:line="255"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87"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1"/>
        </w:trPr>
        <w:tc>
          <w:tcPr>
            <w:tcW w:w="8380" w:type="dxa"/>
            <w:vAlign w:val="bottom"/>
          </w:tcPr>
          <w:p>
            <w:pPr>
              <w:ind w:left="400"/>
              <w:spacing w:after="0"/>
              <w:rPr>
                <w:sz w:val="20"/>
                <w:szCs w:val="20"/>
                <w:color w:val="auto"/>
              </w:rPr>
            </w:pPr>
            <w:r>
              <w:rPr>
                <w:rFonts w:ascii="Arial" w:cs="Arial" w:eastAsia="Arial" w:hAnsi="Arial"/>
                <w:sz w:val="16"/>
                <w:szCs w:val="16"/>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5"/>
        </w:trPr>
        <w:tc>
          <w:tcPr>
            <w:tcW w:w="8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r>
      <w:tr>
        <w:trPr>
          <w:trHeight w:val="223"/>
        </w:trPr>
        <w:tc>
          <w:tcPr>
            <w:tcW w:w="8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9"/>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Borders>
              <w:bottom w:val="single" w:sz="8" w:color="auto"/>
            </w:tcBorders>
          </w:tcPr>
          <w:p>
            <w:pPr>
              <w:spacing w:after="0"/>
              <w:rPr>
                <w:sz w:val="18"/>
                <w:szCs w:val="18"/>
                <w:color w:val="auto"/>
              </w:rPr>
            </w:pPr>
          </w:p>
        </w:tc>
      </w:tr>
      <w:tr>
        <w:trPr>
          <w:trHeight w:val="23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73,837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54,152</w:t>
            </w:r>
          </w:p>
        </w:tc>
      </w:tr>
      <w:tr>
        <w:trPr>
          <w:trHeight w:val="236"/>
        </w:trPr>
        <w:tc>
          <w:tcPr>
            <w:tcW w:w="83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(77,673)</w:t>
            </w:r>
          </w:p>
        </w:tc>
      </w:tr>
      <w:tr>
        <w:trPr>
          <w:trHeight w:val="238"/>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123,359</w:t>
            </w:r>
          </w:p>
        </w:tc>
      </w:tr>
      <w:tr>
        <w:trPr>
          <w:trHeight w:val="23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 equivalent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56"/>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(decrease) increase in cash, cash equivalents and restricted cash equivalent</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99,827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500" w:firstLine="395"/>
        <w:spacing w:after="0" w:line="287" w:lineRule="auto"/>
        <w:rPr>
          <w:sz w:val="20"/>
          <w:szCs w:val="20"/>
          <w:color w:val="auto"/>
        </w:rPr>
      </w:pPr>
      <w:r>
        <w:rPr>
          <w:rFonts w:ascii="Arial" w:cs="Arial" w:eastAsia="Arial" w:hAnsi="Arial"/>
          <w:sz w:val="16"/>
          <w:szCs w:val="16"/>
          <w:color w:val="auto"/>
        </w:rPr>
        <w:t>For a discussion related to our cash flows for the year ended December 31, 2020, refer to Part II, Item 7,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w:t>
      </w:r>
      <w:r>
        <w:rPr>
          <w:rFonts w:ascii="Arial" w:cs="Arial" w:eastAsia="Arial" w:hAnsi="Arial"/>
          <w:sz w:val="16"/>
          <w:szCs w:val="16"/>
          <w:color w:val="auto"/>
        </w:rPr>
        <w:t>” in our Annual Report on Form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10-K for the year ended December 31, 2021, which was filed with the Securities and Exchange Commission on March 24, 2022.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9" w:lineRule="exact"/>
        <w:rPr>
          <w:sz w:val="20"/>
          <w:szCs w:val="20"/>
          <w:color w:val="auto"/>
        </w:rPr>
      </w:pPr>
    </w:p>
    <w:p>
      <w:pPr>
        <w:ind w:right="300" w:firstLine="395"/>
        <w:spacing w:after="0" w:line="278" w:lineRule="auto"/>
        <w:rPr>
          <w:sz w:val="20"/>
          <w:szCs w:val="20"/>
          <w:color w:val="auto"/>
        </w:rPr>
      </w:pPr>
      <w:r>
        <w:rPr>
          <w:rFonts w:ascii="Arial" w:cs="Arial" w:eastAsia="Arial" w:hAnsi="Arial"/>
          <w:sz w:val="15"/>
          <w:szCs w:val="15"/>
          <w:color w:val="auto"/>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loss adjusted for certain non-cash items, including depreciation and amortization expense, stock-based compensation and impairments of long-lived assets, as well as the effect of changes in operating assets and liabilities.</w:t>
      </w:r>
    </w:p>
    <w:p>
      <w:pPr>
        <w:spacing w:after="0" w:line="56"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In 2022, cash provided by operating activities was $73.8 million resulting from a net loss of $48.7 million, adjusted for stock-based compensation and other non-cash expenses of $110.5 million and net cash flows provided by changes in operating assets and liabilities of $12.0 million. The $12.0 million of net cash flows provided from changes in our operating assets and liabilities included a $17.1 million increase in deferred revenue largely due to growth of our subscription units, which are predominantly billed in advance of our revenue recognition, partially offset by a net $2.2 million reduction in accounts payable, accrued expenses, operating lease liability and other liabilities due to the timing of our payments and a $2.8 million net increase in accounts receivable, prepaid expenses and other assets.</w:t>
      </w:r>
    </w:p>
    <w:p>
      <w:pPr>
        <w:spacing w:after="0" w:line="86" w:lineRule="exact"/>
        <w:rPr>
          <w:sz w:val="20"/>
          <w:szCs w:val="20"/>
          <w:color w:val="auto"/>
        </w:rPr>
      </w:pPr>
    </w:p>
    <w:p>
      <w:pPr>
        <w:ind w:right="260" w:firstLine="395"/>
        <w:spacing w:after="0" w:line="272" w:lineRule="auto"/>
        <w:rPr>
          <w:sz w:val="20"/>
          <w:szCs w:val="20"/>
          <w:color w:val="auto"/>
        </w:rPr>
      </w:pPr>
      <w:r>
        <w:rPr>
          <w:rFonts w:ascii="Arial" w:cs="Arial" w:eastAsia="Arial" w:hAnsi="Arial"/>
          <w:sz w:val="15"/>
          <w:szCs w:val="15"/>
          <w:color w:val="auto"/>
        </w:rPr>
        <w:t>In 2021, cash provided by operating activities was $54.2 million resulting from a net loss of $108.7 million, adjusted for stock-based compensation and other non-cash expenses of $139.1 million and net cash flows provided by changes in operating assets and liabilities of $23.7 million. The $23.7 million of net cash flows provided from changes in our operating assets and liabilities included a $17.9 million increase in deferred revenue resulting from growth of our subscription units, which are predominantly billed in advance of our revenue recognition, a $16.0 million increase in accounts payable, accrued expenses and other liabilities due to the timing of our payments, partially offset by a $10.1 million increase in accounts receivable, prepaid expenses and other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06" w:lineRule="exact"/>
        <w:rPr>
          <w:sz w:val="20"/>
          <w:szCs w:val="20"/>
          <w:color w:val="auto"/>
        </w:rPr>
      </w:pPr>
    </w:p>
    <w:p>
      <w:pPr>
        <w:ind w:right="360" w:firstLine="395"/>
        <w:spacing w:after="0" w:line="255"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87" w:lineRule="exact"/>
        <w:rPr>
          <w:sz w:val="20"/>
          <w:szCs w:val="20"/>
          <w:color w:val="auto"/>
        </w:rPr>
      </w:pPr>
    </w:p>
    <w:p>
      <w:pPr>
        <w:ind w:right="100" w:firstLine="395"/>
        <w:spacing w:after="0" w:line="255" w:lineRule="auto"/>
        <w:rPr>
          <w:sz w:val="20"/>
          <w:szCs w:val="20"/>
          <w:color w:val="auto"/>
        </w:rPr>
      </w:pPr>
      <w:r>
        <w:rPr>
          <w:rFonts w:ascii="Arial" w:cs="Arial" w:eastAsia="Arial" w:hAnsi="Arial"/>
          <w:sz w:val="16"/>
          <w:szCs w:val="16"/>
          <w:color w:val="auto"/>
        </w:rPr>
        <w:t>In 2022, net cash used in investing activities was $30.6 million, resulting primarily from $22.1 million paid for property and equipment, including capitalized internal-use software and payments for the acquisition of UA Services of $2.5 million and $6.3 million primarily for developed technology acquired from Revvsales Inc.</w:t>
      </w:r>
    </w:p>
    <w:p>
      <w:pPr>
        <w:spacing w:after="0" w:line="85" w:lineRule="exact"/>
        <w:rPr>
          <w:sz w:val="20"/>
          <w:szCs w:val="20"/>
          <w:color w:val="auto"/>
        </w:rPr>
      </w:pPr>
    </w:p>
    <w:p>
      <w:pPr>
        <w:ind w:right="60" w:firstLine="395"/>
        <w:spacing w:after="0" w:line="263" w:lineRule="auto"/>
        <w:rPr>
          <w:sz w:val="20"/>
          <w:szCs w:val="20"/>
          <w:color w:val="auto"/>
        </w:rPr>
      </w:pPr>
      <w:r>
        <w:rPr>
          <w:rFonts w:ascii="Arial" w:cs="Arial" w:eastAsia="Arial" w:hAnsi="Arial"/>
          <w:sz w:val="16"/>
          <w:szCs w:val="16"/>
          <w:color w:val="auto"/>
        </w:rPr>
        <w:t>In 2021, net cash used in investing activities was $77.7 million, resulting primarily from the acquisition of Earth Class Mail, Inc. in November 2021 for $61.5 million, net of cash acquired, $11.7 million paid for property and equipment, including capitalized internal-use software and a $3.3 million payment on the extinguishment of interest rate swaps in the third quarter.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(used in) financing activities</w:t>
      </w:r>
    </w:p>
    <w:p>
      <w:pPr>
        <w:spacing w:after="0" w:line="106" w:lineRule="exact"/>
        <w:rPr>
          <w:sz w:val="20"/>
          <w:szCs w:val="20"/>
          <w:color w:val="auto"/>
        </w:rPr>
      </w:pPr>
    </w:p>
    <w:p>
      <w:pPr>
        <w:ind w:right="340" w:firstLine="395"/>
        <w:spacing w:after="0" w:line="287" w:lineRule="auto"/>
        <w:rPr>
          <w:sz w:val="20"/>
          <w:szCs w:val="20"/>
          <w:color w:val="auto"/>
        </w:rPr>
      </w:pPr>
      <w:r>
        <w:rPr>
          <w:rFonts w:ascii="Arial" w:cs="Arial" w:eastAsia="Arial" w:hAnsi="Arial"/>
          <w:sz w:val="16"/>
          <w:szCs w:val="16"/>
          <w:color w:val="auto"/>
        </w:rPr>
        <w:t>Our primary uses of cash in financing activities are for repurchases of common stock. Net cash provided by financing activities is primarily impacted by exercises of stock options by our employees and issuance of common stock.</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2022, net cash used in financing activities was $93.3 million, primarily for the repurchase of common stock under our stock repurchase program.</w:t>
      </w:r>
    </w:p>
    <w:p>
      <w:pPr>
        <w:spacing w:after="0" w:line="119" w:lineRule="exact"/>
        <w:rPr>
          <w:sz w:val="20"/>
          <w:szCs w:val="20"/>
          <w:color w:val="auto"/>
        </w:rPr>
      </w:pPr>
    </w:p>
    <w:p>
      <w:pPr>
        <w:ind w:right="100" w:firstLine="395"/>
        <w:spacing w:after="0" w:line="270" w:lineRule="auto"/>
        <w:rPr>
          <w:sz w:val="20"/>
          <w:szCs w:val="20"/>
          <w:color w:val="auto"/>
        </w:rPr>
      </w:pPr>
      <w:r>
        <w:rPr>
          <w:rFonts w:ascii="Arial" w:cs="Arial" w:eastAsia="Arial" w:hAnsi="Arial"/>
          <w:sz w:val="16"/>
          <w:szCs w:val="16"/>
          <w:color w:val="auto"/>
        </w:rPr>
        <w:t>In 2021, net cash provided by financing activities was $123.4 million, primarily from issuance of common stock for net proceeds of $666.9 million, offset by full repayment of our 2018 Term Loan and hybrid debt totaling $525.6 million and payment of offering costs of $5.6 million.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Cash Requirements</w:t>
      </w:r>
    </w:p>
    <w:p>
      <w:pPr>
        <w:spacing w:after="0" w:line="119"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Media and Other Commitments</w:t>
      </w:r>
    </w:p>
    <w:p>
      <w:pPr>
        <w:spacing w:after="0" w:line="119"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We use a variety of media to advertise our services, including search engine marketing, television and radio. At December 31, 2022, we had non-cancelable minimum advertising and media commitments for future advertising spots of $8.1 million, substantially all of which will be paid over a two year period. We also have non-cancelable agreements with various vendors, which require us to pay $67.9 million over a five year period, of which $51.1 million remains to be paid as of December 31,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i w:val="1"/>
          <w:iCs w:val="1"/>
          <w:color w:val="auto"/>
        </w:rPr>
        <w:t>Lease Obligations</w:t>
      </w:r>
    </w:p>
    <w:p>
      <w:pPr>
        <w:spacing w:after="0" w:line="106" w:lineRule="exact"/>
        <w:rPr>
          <w:sz w:val="20"/>
          <w:szCs w:val="20"/>
          <w:color w:val="auto"/>
        </w:rPr>
      </w:pPr>
    </w:p>
    <w:p>
      <w:pPr>
        <w:ind w:right="200" w:firstLine="395"/>
        <w:spacing w:after="0" w:line="261" w:lineRule="auto"/>
        <w:rPr>
          <w:sz w:val="20"/>
          <w:szCs w:val="20"/>
          <w:color w:val="auto"/>
        </w:rPr>
      </w:pPr>
      <w:r>
        <w:rPr>
          <w:rFonts w:ascii="Arial" w:cs="Arial" w:eastAsia="Arial" w:hAnsi="Arial"/>
          <w:sz w:val="16"/>
          <w:szCs w:val="16"/>
          <w:color w:val="auto"/>
        </w:rPr>
        <w:t>At December 31, 2022, we had various non-cancelable operating leases for office space and equipment, which expire between December 31, 2022 and November 30, 2029. As of December 31, 2022, we had total minimum operating lease maturities of $12.8 million, $2.8 million of which mature within twelve months. See Note 9 of our consolidated financial statements included elsewhere in this Annual Report on Form 10-K for additional information regarding our future operating lease payments.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08"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 We believe that these non-GAAP financial measures provide useful information about our financial performance,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06"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We define Adjusted EBITDA as Net (loss) income adjusted to exclude interest expense, net, provision for (benefit from) income taxes, depreciation and amortization, other (income) expense, net, stock-based compensation, impairment of other equity security, loss on debt extinguishment, impairment of goodwill, long-lived and other assets, losses from impairment of available-for-sale debt securities, restructuring expenses, IPO-related costs and other transaction-related expenses and certain other non-recurring expenses. Our Adjusted EBITDA financial measure differs from GAAP in that it excludes certain items of income and expense. We define Adjusted EBITDA margin as Adjusted EBITDA as a percentage of revenue. We define Net (loss) income margin as Net (loss) income as a percentage of revenue based on our consolidated financial statements.</w:t>
      </w:r>
    </w:p>
    <w:p>
      <w:pPr>
        <w:spacing w:after="0" w:line="86"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and presented in accordance with GAAP. There are a number of limitations related to the use of Adjusted EBITDA rather than net (loss) income, which is the nearest GAAP equivalent of Adjusted EBITDA, and it may be calculated differently by other companies in our industry, limiting its usefulness as a comparative measure. Some of these limitations include that the non-GAAP financial measure:</w:t>
      </w:r>
    </w:p>
    <w:p>
      <w:pPr>
        <w:spacing w:after="0" w:line="91" w:lineRule="exact"/>
        <w:rPr>
          <w:sz w:val="20"/>
          <w:szCs w:val="20"/>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reflect interest expense, or the cash requirements necessary to service interest or principal payments, which reduces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reflect provision for income taxes that may result in payments that reduce cash available to us;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reflect foreign currency exchange or other gains or losses, which are included in other (expense) income, net;</w:t>
      </w:r>
    </w:p>
    <w:p>
      <w:pPr>
        <w:spacing w:after="0" w:line="105" w:lineRule="exact"/>
        <w:rPr>
          <w:rFonts w:ascii="Arial" w:cs="Arial" w:eastAsia="Arial" w:hAnsi="Arial"/>
          <w:sz w:val="16"/>
          <w:szCs w:val="16"/>
          <w:color w:val="auto"/>
        </w:rPr>
      </w:pPr>
    </w:p>
    <w:p>
      <w:pPr>
        <w:ind w:left="800" w:right="480" w:hanging="321"/>
        <w:spacing w:after="0" w:line="287"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w:t>
      </w:r>
    </w:p>
    <w:p>
      <w:pPr>
        <w:spacing w:after="0" w:line="46"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impairments of other equity securities;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losses from impairments of long-lived and other assets;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restructuring expenses, which reduce cash available to us;</w:t>
      </w:r>
    </w:p>
    <w:p>
      <w:pPr>
        <w:spacing w:after="0" w:line="105" w:lineRule="exact"/>
        <w:rPr>
          <w:rFonts w:ascii="Arial" w:cs="Arial" w:eastAsia="Arial" w:hAnsi="Arial"/>
          <w:sz w:val="16"/>
          <w:szCs w:val="16"/>
          <w:color w:val="auto"/>
        </w:rPr>
      </w:pPr>
    </w:p>
    <w:p>
      <w:pPr>
        <w:ind w:left="800" w:right="400" w:hanging="321"/>
        <w:spacing w:after="0" w:line="287"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IPO-related costs and other transaction-related expenses that are not considered representative of our underlying performance, which reduce cash available to us; and</w:t>
      </w:r>
    </w:p>
    <w:p>
      <w:pPr>
        <w:spacing w:after="0" w:line="46" w:lineRule="exact"/>
        <w:rPr>
          <w:rFonts w:ascii="Arial" w:cs="Arial" w:eastAsia="Arial" w:hAnsi="Arial"/>
          <w:sz w:val="16"/>
          <w:szCs w:val="16"/>
          <w:color w:val="auto"/>
        </w:rPr>
      </w:pPr>
    </w:p>
    <w:p>
      <w:pPr>
        <w:ind w:left="800" w:right="460" w:hanging="321"/>
        <w:spacing w:after="0" w:line="270"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reflect certain other non-recurring expenses that are not considered representative of our underlying performance, which reduce cash available to us.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50" w:name="page51"/>
    <w:bookmarkEnd w:id="50"/>
    <w:p>
      <w:pPr>
        <w:ind w:left="400"/>
        <w:spacing w:after="0"/>
        <w:rPr>
          <w:sz w:val="20"/>
          <w:szCs w:val="20"/>
          <w:color w:val="auto"/>
        </w:rPr>
      </w:pPr>
      <w:r>
        <w:rPr>
          <w:rFonts w:ascii="Arial" w:cs="Arial" w:eastAsia="Arial" w:hAnsi="Arial"/>
          <w:sz w:val="16"/>
          <w:szCs w:val="16"/>
          <w:color w:val="auto"/>
        </w:rPr>
        <w:t>The following table presents a reconciliation of net (loss) income to Adjusted EBITDA for each of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income (loss) to Adjusted EBITDA</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(48,733)</w:t>
            </w:r>
          </w:p>
        </w:tc>
        <w:tc>
          <w:tcPr>
            <w:tcW w:w="8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(108,664)</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(1,543)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27,984</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Pr>
          <w:p>
            <w:pPr>
              <w:spacing w:after="0"/>
              <w:rPr>
                <w:sz w:val="18"/>
                <w:szCs w:val="18"/>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1,060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21,745</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16,686</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8"/>
                <w:szCs w:val="18"/>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4,477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80,469</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112,596</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other equity security</w:t>
            </w:r>
          </w:p>
        </w:tc>
        <w:tc>
          <w:tcPr>
            <w:tcW w:w="340" w:type="dxa"/>
            <w:vAlign w:val="bottom"/>
          </w:tcPr>
          <w:p>
            <w:pPr>
              <w:spacing w:after="0"/>
              <w:rPr>
                <w:sz w:val="18"/>
                <w:szCs w:val="18"/>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of long-lived and other assets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237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18"/>
                <w:szCs w:val="18"/>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758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1,795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3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7,748</w:t>
            </w: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IPO-related costs and other transaction related expenses</w:t>
            </w:r>
            <w:r>
              <w:rPr>
                <w:rFonts w:ascii="Arial" w:cs="Arial" w:eastAsia="Arial" w:hAnsi="Arial"/>
                <w:sz w:val="20"/>
                <w:szCs w:val="20"/>
                <w:color w:val="auto"/>
                <w:vertAlign w:val="superscript"/>
              </w:rPr>
              <w:t>(2)</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Certain other non-recurring expenses</w:t>
            </w:r>
            <w:r>
              <w:rPr>
                <w:rFonts w:ascii="Arial" w:cs="Arial" w:eastAsia="Arial" w:hAnsi="Arial"/>
                <w:sz w:val="20"/>
                <w:szCs w:val="20"/>
                <w:color w:val="auto"/>
                <w:vertAlign w:val="superscript"/>
              </w:rPr>
              <w:t>(3)</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440</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63,705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47,707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80" w:type="dxa"/>
            <w:vAlign w:val="bottom"/>
            <w:vMerge w:val="restart"/>
          </w:tcPr>
          <w:p>
            <w:pPr>
              <w:ind w:left="340"/>
              <w:spacing w:after="0"/>
              <w:rPr>
                <w:sz w:val="20"/>
                <w:szCs w:val="20"/>
                <w:color w:val="auto"/>
              </w:rPr>
            </w:pPr>
            <w:r>
              <w:rPr>
                <w:rFonts w:ascii="Arial" w:cs="Arial" w:eastAsia="Arial" w:hAnsi="Arial"/>
                <w:sz w:val="16"/>
                <w:szCs w:val="16"/>
                <w:color w:val="auto"/>
              </w:rPr>
              <w:t>Net income (loss) margin</w:t>
            </w:r>
          </w:p>
        </w:tc>
        <w:tc>
          <w:tcPr>
            <w:tcW w:w="34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6"/>
                <w:szCs w:val="16"/>
                <w:color w:val="auto"/>
              </w:rPr>
              <w:t>(8 %)</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9"/>
        </w:trPr>
        <w:tc>
          <w:tcPr>
            <w:tcW w:w="8080" w:type="dxa"/>
            <w:vAlign w:val="bottom"/>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Adjusted EBITDA margin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right="220" w:hanging="395"/>
        <w:spacing w:after="0" w:line="270" w:lineRule="auto"/>
        <w:tabs>
          <w:tab w:leader="none" w:pos="4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Restructuring expenses related to a phased severance event to reduce the U.S. headcount. Restructuring expenses include severance for the impacted employees and are included in general and administrative expenses in the accompanying consolidated statements of operations.</w:t>
      </w:r>
    </w:p>
    <w:p>
      <w:pPr>
        <w:spacing w:after="0" w:line="72" w:lineRule="exact"/>
        <w:rPr>
          <w:rFonts w:ascii="Arial" w:cs="Arial" w:eastAsia="Arial" w:hAnsi="Arial"/>
          <w:sz w:val="16"/>
          <w:szCs w:val="16"/>
          <w:color w:val="auto"/>
        </w:rPr>
      </w:pPr>
    </w:p>
    <w:p>
      <w:pPr>
        <w:ind w:left="420" w:hanging="415"/>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IPO-related costs and other transaction related expenses includes certain non-recurring expenses, which occurred in connection with our IPO in 2021.</w:t>
      </w:r>
    </w:p>
    <w:p>
      <w:pPr>
        <w:spacing w:after="0" w:line="105" w:lineRule="exact"/>
        <w:rPr>
          <w:rFonts w:ascii="Arial" w:cs="Arial" w:eastAsia="Arial" w:hAnsi="Arial"/>
          <w:sz w:val="16"/>
          <w:szCs w:val="16"/>
          <w:color w:val="auto"/>
        </w:rPr>
      </w:pPr>
    </w:p>
    <w:p>
      <w:pPr>
        <w:ind w:left="400" w:right="480" w:hanging="395"/>
        <w:spacing w:after="0" w:line="287" w:lineRule="auto"/>
        <w:tabs>
          <w:tab w:leader="none" w:pos="374"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2022, certain other non-recurring expenses includes severance costs incurred related to the departure of a member of management. In 2021, we incurred expenses related to early termination of our U.K. lease agreement.</w:t>
      </w:r>
    </w:p>
    <w:p>
      <w:pPr>
        <w:spacing w:after="0" w:line="152"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The increase in Adjusted EBITDA of $16.0 million for the year ended December 31, 2022 reflects an increase in revenue of $44.9 million offset by increases in cost of revenue of $18.3 million and other operating expenses of $10.6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06" w:lineRule="exact"/>
        <w:rPr>
          <w:sz w:val="20"/>
          <w:szCs w:val="20"/>
          <w:color w:val="auto"/>
        </w:rPr>
      </w:pPr>
    </w:p>
    <w:p>
      <w:pPr>
        <w:ind w:right="60" w:firstLine="395"/>
        <w:spacing w:after="0" w:line="251"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1" w:name="page52"/>
    <w:bookmarkEnd w:id="51"/>
    <w:p>
      <w:pPr>
        <w:ind w:left="40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 flow: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401"/>
              <w:spacing w:after="0"/>
              <w:rPr>
                <w:sz w:val="20"/>
                <w:szCs w:val="20"/>
                <w:color w:val="auto"/>
              </w:rPr>
            </w:pPr>
            <w:r>
              <w:rPr>
                <w:rFonts w:ascii="Arial" w:cs="Arial" w:eastAsia="Arial" w:hAnsi="Arial"/>
                <w:sz w:val="16"/>
                <w:szCs w:val="16"/>
                <w:color w:val="auto"/>
                <w:w w:val="98"/>
              </w:rPr>
              <w:t>73,837</w:t>
            </w:r>
          </w:p>
        </w:tc>
        <w:tc>
          <w:tcPr>
            <w:tcW w:w="100" w:type="dxa"/>
            <w:vAlign w:val="bottom"/>
          </w:tcPr>
          <w:p>
            <w:pPr>
              <w:spacing w:after="0"/>
              <w:rPr>
                <w:sz w:val="20"/>
                <w:szCs w:val="20"/>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center"/>
              <w:ind w:left="201"/>
              <w:spacing w:after="0"/>
              <w:rPr>
                <w:sz w:val="20"/>
                <w:szCs w:val="20"/>
                <w:color w:val="auto"/>
              </w:rPr>
            </w:pPr>
            <w:r>
              <w:rPr>
                <w:rFonts w:ascii="Arial" w:cs="Arial" w:eastAsia="Arial" w:hAnsi="Arial"/>
                <w:sz w:val="16"/>
                <w:szCs w:val="16"/>
                <w:color w:val="auto"/>
              </w:rPr>
              <w:t>54,152</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97"/>
              </w:rPr>
              <w:t>(22,098)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97"/>
              </w:rPr>
              <w:t>(11,740)</w:t>
            </w:r>
          </w:p>
        </w:tc>
        <w:tc>
          <w:tcPr>
            <w:tcW w:w="0" w:type="dxa"/>
            <w:vAlign w:val="bottom"/>
          </w:tcPr>
          <w:p>
            <w:pPr>
              <w:spacing w:after="0"/>
              <w:rPr>
                <w:sz w:val="1"/>
                <w:szCs w:val="1"/>
                <w:color w:val="auto"/>
              </w:rPr>
            </w:pPr>
          </w:p>
        </w:tc>
      </w:tr>
      <w:tr>
        <w:trPr>
          <w:trHeight w:val="202"/>
        </w:trPr>
        <w:tc>
          <w:tcPr>
            <w:tcW w:w="8380" w:type="dxa"/>
            <w:vAlign w:val="bottom"/>
            <w:vMerge w:val="restart"/>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401"/>
              <w:spacing w:after="0"/>
              <w:rPr>
                <w:sz w:val="20"/>
                <w:szCs w:val="20"/>
                <w:color w:val="auto"/>
              </w:rPr>
            </w:pPr>
            <w:r>
              <w:rPr>
                <w:rFonts w:ascii="Arial" w:cs="Arial" w:eastAsia="Arial" w:hAnsi="Arial"/>
                <w:sz w:val="16"/>
                <w:szCs w:val="16"/>
                <w:color w:val="auto"/>
                <w:w w:val="98"/>
              </w:rPr>
              <w:t>51,739</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center"/>
              <w:ind w:left="201"/>
              <w:spacing w:after="0"/>
              <w:rPr>
                <w:sz w:val="20"/>
                <w:szCs w:val="20"/>
                <w:color w:val="auto"/>
              </w:rPr>
            </w:pPr>
            <w:r>
              <w:rPr>
                <w:rFonts w:ascii="Arial" w:cs="Arial" w:eastAsia="Arial" w:hAnsi="Arial"/>
                <w:sz w:val="16"/>
                <w:szCs w:val="16"/>
                <w:color w:val="auto"/>
              </w:rPr>
              <w:t>42,412</w:t>
            </w:r>
          </w:p>
        </w:tc>
        <w:tc>
          <w:tcPr>
            <w:tcW w:w="0" w:type="dxa"/>
            <w:vAlign w:val="bottom"/>
          </w:tcPr>
          <w:p>
            <w:pPr>
              <w:spacing w:after="0"/>
              <w:rPr>
                <w:sz w:val="1"/>
                <w:szCs w:val="1"/>
                <w:color w:val="auto"/>
              </w:rPr>
            </w:pPr>
          </w:p>
        </w:tc>
      </w:tr>
      <w:tr>
        <w:trPr>
          <w:trHeight w:val="29"/>
        </w:trPr>
        <w:tc>
          <w:tcPr>
            <w:tcW w:w="838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100" w:firstLine="395"/>
        <w:spacing w:after="0" w:line="251" w:lineRule="auto"/>
        <w:rPr>
          <w:sz w:val="20"/>
          <w:szCs w:val="20"/>
          <w:color w:val="auto"/>
        </w:rPr>
      </w:pPr>
      <w:r>
        <w:rPr>
          <w:rFonts w:ascii="Arial" w:cs="Arial" w:eastAsia="Arial" w:hAnsi="Arial"/>
          <w:sz w:val="16"/>
          <w:szCs w:val="16"/>
          <w:color w:val="auto"/>
        </w:rPr>
        <w:t>We experienced an increase in our free cash flow from $42.4 million for the year ended December 31, 2021 to $51.7 million for the year ended December 31, 2022, primarily due to a $19.7 million increase in net cash provided by operating activities. The increase in net cash provided by operating activities resulted from a $31.3 million increase in net income after adjusting for stock-based compensation and other non-cash items, offset by an $11.6 million unfavorable change in our operating assets and liabilities primarily due to the timing of our accounts payable payments and accrued expenses partially offset by a favorable change in prepaid expenses and other assets. Free cash flow was also impacted by higher capital expenditures for the purchase of property and equipment, including capitalization of internal-use software. We expect our free cash flow to increase in absolute dollars over the longer term, although the rate at which our free cash flow may grow could vary based upon the interplay of the factors discussed above.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08"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See Note 2 to our consolidated financial statements appearing elsewhere in this Annual Report on Form 10-K for further information on certain accounting standards adopted in 2022 and recent accounting announcements that have not yet been required to be implemented and may be applicable to our future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08" w:lineRule="exact"/>
        <w:rPr>
          <w:sz w:val="20"/>
          <w:szCs w:val="20"/>
          <w:color w:val="auto"/>
        </w:rPr>
      </w:pPr>
    </w:p>
    <w:p>
      <w:pPr>
        <w:ind w:firstLine="395"/>
        <w:spacing w:after="0" w:line="234"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credit reserves, available-for-sale debt securities, recoverability of long-lived assets and goodwill, income taxes, commitments and contingencies, valuation of assets and liabilities acquired in business combinations, valuation of assets in asset acquisitions, fair value of derivative instruments and stock-based compensation. Actual results could differ materially from those estimates. Our most critical accounting policies are summarized below. See Note 2 to our consolidated financial statements included elsewhere in this Annual Report on Form 10-K for a discussion of our other significant accounting policies.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119" w:lineRule="exact"/>
        <w:rPr>
          <w:sz w:val="20"/>
          <w:szCs w:val="20"/>
          <w:color w:val="auto"/>
        </w:rPr>
      </w:pPr>
    </w:p>
    <w:p>
      <w:pPr>
        <w:ind w:right="240" w:firstLine="395"/>
        <w:spacing w:after="0" w:line="25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w:t>
      </w:r>
    </w:p>
    <w:p>
      <w:pPr>
        <w:spacing w:after="0" w:line="85"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advisory and preparation services, and virtual mail services in addition to software-as-a-service, or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87"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73"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related performance-based criteria have been met. We assess whether performance criteria have been met on a cost-per-click or cost-per-action basis.</w:t>
      </w:r>
    </w:p>
    <w:p>
      <w:pPr>
        <w:spacing w:after="0" w:line="106"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6"/>
          <w:szCs w:val="16"/>
          <w:color w:val="auto"/>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spacing w:after="0" w:line="79"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Our customers generally pay for transactions in advance by credit or debit card except for certain services provided under installment plans where we allow customers to pay for their order in either two, three or twelve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spacing w:after="0" w:line="87" w:lineRule="exact"/>
        <w:rPr>
          <w:sz w:val="20"/>
          <w:szCs w:val="20"/>
          <w:color w:val="auto"/>
        </w:rPr>
      </w:pPr>
    </w:p>
    <w:p>
      <w:pPr>
        <w:ind w:right="60" w:firstLine="395"/>
        <w:spacing w:after="0" w:line="249" w:lineRule="auto"/>
        <w:rPr>
          <w:sz w:val="20"/>
          <w:szCs w:val="20"/>
          <w:color w:val="auto"/>
        </w:rPr>
      </w:pPr>
      <w:r>
        <w:rPr>
          <w:rFonts w:ascii="Arial" w:cs="Arial" w:eastAsia="Arial" w:hAnsi="Arial"/>
          <w:sz w:val="16"/>
          <w:szCs w:val="16"/>
          <w:color w:val="auto"/>
        </w:rPr>
        <w:t>Subscription services are generally paid monthly or annually in advance of the subscription period except for SaaS services in the U.K.,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spacing w:after="0" w:line="92" w:lineRule="exact"/>
        <w:rPr>
          <w:sz w:val="20"/>
          <w:szCs w:val="20"/>
          <w:color w:val="auto"/>
        </w:rPr>
      </w:pPr>
    </w:p>
    <w:p>
      <w:pPr>
        <w:ind w:right="40" w:firstLine="395"/>
        <w:spacing w:after="0" w:line="252" w:lineRule="auto"/>
        <w:rPr>
          <w:sz w:val="20"/>
          <w:szCs w:val="20"/>
          <w:color w:val="auto"/>
        </w:rPr>
      </w:pPr>
      <w:r>
        <w:rPr>
          <w:rFonts w:ascii="Arial" w:cs="Arial" w:eastAsia="Arial" w:hAnsi="Arial"/>
          <w:sz w:val="16"/>
          <w:szCs w:val="16"/>
          <w:color w:val="auto"/>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document storage, registered agent services, and free trial periods of our legal plans.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spacing w:after="0" w:line="87"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spacing w:after="0" w:line="76"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spacing w:after="0" w:line="66"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spacing w:after="0" w:line="71"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For our partner-based services, we recognize revenue at a point-in-time when the related performance-based criteria have been met.</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do not have significant financing components in arrangements with our customers.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Principal agent considerations</w:t>
      </w:r>
    </w:p>
    <w:p>
      <w:pPr>
        <w:spacing w:after="0" w:line="106"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spacing w:after="0" w:line="86" w:lineRule="exact"/>
        <w:rPr>
          <w:sz w:val="20"/>
          <w:szCs w:val="20"/>
          <w:color w:val="auto"/>
        </w:rPr>
      </w:pPr>
    </w:p>
    <w:p>
      <w:pPr>
        <w:ind w:right="180" w:firstLine="395"/>
        <w:spacing w:after="0" w:line="273" w:lineRule="auto"/>
        <w:rPr>
          <w:sz w:val="20"/>
          <w:szCs w:val="20"/>
          <w:color w:val="auto"/>
        </w:rPr>
      </w:pPr>
      <w:r>
        <w:rPr>
          <w:rFonts w:ascii="Arial" w:cs="Arial" w:eastAsia="Arial" w:hAnsi="Arial"/>
          <w:sz w:val="15"/>
          <w:szCs w:val="15"/>
          <w:color w:val="auto"/>
        </w:rPr>
        <w:t>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and formerly, conveyancing services, in the U.K and since December 2021, tax advisory and preparation services through our fulfilled tax subscription, LZ Tax. For these services, revenue includes filing and similar fees. Our alternative business structures, or ABS, offer legal advisory services that are marketed through our websites. Our ABSs provide independent legal advice to our customers and are directly responsible for, and control the fulfillment of, the legal services. Accordingly, for services provided by our ABSs, we recognize revenue as the principal.</w:t>
      </w:r>
    </w:p>
    <w:p>
      <w:pPr>
        <w:spacing w:after="0" w:line="60"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In arrangements in which we are not the principal, we record revenue on a net basis, which is equal to the amount billed to our customer, net of sales allowances and the fee payable to the third-party or partner that is primarily responsible for performing the services for the customer. Except for our Arizona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third-parties, including deed transfer, accounting, tax, credit monitoring, business data protection and logo design services, revenue is recognized net of fees payable to third-parties. For partner revenue, we receive a fee for the referral of our customer to the partner or we retain a portion of the fee paid by the customer and share the remainder with the partner. Our partner controls the service to the customer and the partner is responsible for fulfilling the referred service to the customer; accordingly, we recognize revenue for these arrangements on a net basis.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includes shipping and handling fees charged to customers.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06"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spacing w:after="0" w:line="79" w:lineRule="exact"/>
        <w:rPr>
          <w:sz w:val="20"/>
          <w:szCs w:val="20"/>
          <w:color w:val="auto"/>
        </w:rPr>
      </w:pPr>
    </w:p>
    <w:p>
      <w:pPr>
        <w:ind w:right="40" w:firstLine="395"/>
        <w:spacing w:after="0" w:line="249" w:lineRule="auto"/>
        <w:rPr>
          <w:sz w:val="20"/>
          <w:szCs w:val="20"/>
          <w:color w:val="auto"/>
        </w:rPr>
      </w:pPr>
      <w:r>
        <w:rPr>
          <w:rFonts w:ascii="Arial" w:cs="Arial" w:eastAsia="Arial" w:hAnsi="Arial"/>
          <w:sz w:val="16"/>
          <w:szCs w:val="16"/>
          <w:color w:val="auto"/>
        </w:rPr>
        <w:t>We perform valuations of assets acquired and liabilities assumed for an acquisition and allocate the purchase price to their respective net tangible and intangible assets. Determining the fair value of assets acquired and liabilities assumed requires management to use significant judgment and estimates. Intangible assets consist primarily of customer relationships and developed technology. Judgment and estimates include the selection of valuation methodologies, estimates of future revenue and cash flows, the rate of customer subscription non-renewals, discount rates, the estimated level of effort and related costs of reproducing or replacing the assets acquired, and selection of comparable companies. We generally engage the assistance of third-party valuation specialists in determining fair values of assets acquired and liabilities assumed and contingent consideration, if any, in a business combination.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91" w:lineRule="exact"/>
        <w:rPr>
          <w:sz w:val="20"/>
          <w:szCs w:val="20"/>
          <w:color w:val="auto"/>
        </w:rPr>
      </w:pPr>
    </w:p>
    <w:p>
      <w:pPr>
        <w:ind w:right="600" w:firstLine="395"/>
        <w:spacing w:after="0" w:line="270" w:lineRule="auto"/>
        <w:rPr>
          <w:sz w:val="20"/>
          <w:szCs w:val="20"/>
          <w:color w:val="auto"/>
        </w:rPr>
      </w:pPr>
      <w:r>
        <w:rPr>
          <w:rFonts w:ascii="Arial" w:cs="Arial" w:eastAsia="Arial" w:hAnsi="Arial"/>
          <w:sz w:val="16"/>
          <w:szCs w:val="16"/>
          <w:color w:val="auto"/>
        </w:rPr>
        <w:t>Transaction costs associated with business combinations are expensed as incurred and are included in general and administrative expenses in the accompanying consolidated statements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19" w:lineRule="exact"/>
        <w:rPr>
          <w:sz w:val="20"/>
          <w:szCs w:val="20"/>
          <w:color w:val="auto"/>
        </w:rPr>
      </w:pPr>
    </w:p>
    <w:p>
      <w:pPr>
        <w:ind w:right="320" w:firstLine="395"/>
        <w:spacing w:after="0" w:line="263" w:lineRule="auto"/>
        <w:rPr>
          <w:sz w:val="20"/>
          <w:szCs w:val="20"/>
          <w:color w:val="auto"/>
        </w:rPr>
      </w:pPr>
      <w:r>
        <w:rPr>
          <w:rFonts w:ascii="Arial" w:cs="Arial" w:eastAsia="Arial" w:hAnsi="Arial"/>
          <w:sz w:val="16"/>
          <w:szCs w:val="16"/>
          <w:color w:val="auto"/>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spacing w:after="0" w:line="66" w:lineRule="exact"/>
        <w:rPr>
          <w:sz w:val="20"/>
          <w:szCs w:val="20"/>
          <w:color w:val="auto"/>
        </w:rPr>
      </w:pPr>
    </w:p>
    <w:p>
      <w:pPr>
        <w:ind w:right="260" w:firstLine="395"/>
        <w:spacing w:after="0" w:line="255" w:lineRule="auto"/>
        <w:rPr>
          <w:sz w:val="20"/>
          <w:szCs w:val="20"/>
          <w:color w:val="auto"/>
        </w:rPr>
      </w:pPr>
      <w:r>
        <w:rPr>
          <w:rFonts w:ascii="Arial" w:cs="Arial" w:eastAsia="Arial" w:hAnsi="Arial"/>
          <w:sz w:val="16"/>
          <w:szCs w:val="16"/>
          <w:color w:val="auto"/>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4" w:name="page55"/>
    <w:bookmarkEnd w:id="54"/>
    <w:p>
      <w:pPr>
        <w:ind w:right="40"/>
        <w:spacing w:after="0" w:line="270" w:lineRule="auto"/>
        <w:rPr>
          <w:sz w:val="20"/>
          <w:szCs w:val="20"/>
          <w:color w:val="auto"/>
        </w:rPr>
      </w:pPr>
      <w:r>
        <w:rPr>
          <w:rFonts w:ascii="Arial" w:cs="Arial" w:eastAsia="Arial" w:hAnsi="Arial"/>
          <w:sz w:val="16"/>
          <w:szCs w:val="16"/>
          <w:color w:val="auto"/>
        </w:rPr>
        <w:t>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spacing w:after="0" w:line="73" w:lineRule="exact"/>
        <w:rPr>
          <w:sz w:val="20"/>
          <w:szCs w:val="20"/>
          <w:color w:val="auto"/>
        </w:rPr>
      </w:pPr>
    </w:p>
    <w:p>
      <w:pPr>
        <w:ind w:right="200" w:firstLine="395"/>
        <w:spacing w:after="0" w:line="270" w:lineRule="auto"/>
        <w:rPr>
          <w:sz w:val="20"/>
          <w:szCs w:val="20"/>
          <w:color w:val="auto"/>
        </w:rPr>
      </w:pPr>
      <w:r>
        <w:rPr>
          <w:rFonts w:ascii="Arial" w:cs="Arial" w:eastAsia="Arial" w:hAnsi="Arial"/>
          <w:sz w:val="16"/>
          <w:szCs w:val="16"/>
          <w:color w:val="auto"/>
        </w:rPr>
        <w:t>For our goodwill impairment test performed in the fourth quarter of 2022 and 2021, the fair value of our consolidated reporting unit significantly exceeded our carrying value.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06" w:lineRule="exact"/>
        <w:rPr>
          <w:sz w:val="20"/>
          <w:szCs w:val="20"/>
          <w:color w:val="auto"/>
        </w:rPr>
      </w:pPr>
    </w:p>
    <w:p>
      <w:pPr>
        <w:ind w:right="80" w:firstLine="395"/>
        <w:spacing w:after="0" w:line="273" w:lineRule="auto"/>
        <w:rPr>
          <w:sz w:val="20"/>
          <w:szCs w:val="20"/>
          <w:color w:val="auto"/>
        </w:rPr>
      </w:pPr>
      <w:r>
        <w:rPr>
          <w:rFonts w:ascii="Arial" w:cs="Arial" w:eastAsia="Arial" w:hAnsi="Arial"/>
          <w:sz w:val="15"/>
          <w:szCs w:val="15"/>
          <w:color w:val="auto"/>
        </w:rPr>
        <w:t>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relevant information available to us. The determination of the likelihood of loss or the range of loss requires significant management judgment. We expense legal costs for defending legal proceedings as incurred.</w:t>
      </w:r>
    </w:p>
    <w:p>
      <w:pPr>
        <w:spacing w:after="0" w:line="60" w:lineRule="exact"/>
        <w:rPr>
          <w:sz w:val="20"/>
          <w:szCs w:val="20"/>
          <w:color w:val="auto"/>
        </w:rPr>
      </w:pPr>
    </w:p>
    <w:p>
      <w:pPr>
        <w:ind w:right="500" w:firstLine="395"/>
        <w:spacing w:after="0" w:line="287" w:lineRule="auto"/>
        <w:rPr>
          <w:sz w:val="20"/>
          <w:szCs w:val="20"/>
          <w:color w:val="auto"/>
        </w:rPr>
      </w:pPr>
      <w:r>
        <w:rPr>
          <w:rFonts w:ascii="Arial" w:cs="Arial" w:eastAsia="Arial" w:hAnsi="Arial"/>
          <w:sz w:val="16"/>
          <w:szCs w:val="16"/>
          <w:color w:val="auto"/>
        </w:rPr>
        <w:t>As discussed in Note 14 to our consolidated financial statements included elsewhere in this Annual Report on Form 10-K, we are subject to pending matters for which we believe that we have meritorious defenses to the claims and intend to defend against vigorously.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06" w:lineRule="exact"/>
        <w:rPr>
          <w:sz w:val="20"/>
          <w:szCs w:val="20"/>
          <w:color w:val="auto"/>
        </w:rPr>
      </w:pPr>
    </w:p>
    <w:p>
      <w:pPr>
        <w:ind w:right="120" w:firstLine="395"/>
        <w:spacing w:after="0" w:line="284" w:lineRule="auto"/>
        <w:rPr>
          <w:sz w:val="20"/>
          <w:szCs w:val="20"/>
          <w:color w:val="auto"/>
        </w:rPr>
      </w:pPr>
      <w:r>
        <w:rPr>
          <w:rFonts w:ascii="Arial" w:cs="Arial" w:eastAsia="Arial" w:hAnsi="Arial"/>
          <w:sz w:val="15"/>
          <w:szCs w:val="15"/>
          <w:color w:val="auto"/>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spacing w:after="0" w:line="52"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We make judgments in evaluating whether deferred tax assets will be recovered from future taxable income on a jurisdictional basis. A valuation allowance is established if, based upon the available evidence, it is more likely than not that some or all of the deferred tax assets will not be realized. We consider all available evidence, both positive and negative, including historical levels of income. We also consider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(benefit from) provision for income taxes and the related impact on our net (loss) income.</w:t>
      </w:r>
    </w:p>
    <w:p>
      <w:pPr>
        <w:spacing w:after="0" w:line="73" w:lineRule="exact"/>
        <w:rPr>
          <w:sz w:val="20"/>
          <w:szCs w:val="20"/>
          <w:color w:val="auto"/>
        </w:rPr>
      </w:pPr>
    </w:p>
    <w:p>
      <w:pPr>
        <w:ind w:firstLine="395"/>
        <w:spacing w:after="0" w:line="261" w:lineRule="auto"/>
        <w:rPr>
          <w:sz w:val="20"/>
          <w:szCs w:val="20"/>
          <w:color w:val="auto"/>
        </w:rPr>
      </w:pPr>
      <w:r>
        <w:rPr>
          <w:rFonts w:ascii="Arial" w:cs="Arial" w:eastAsia="Arial" w:hAnsi="Arial"/>
          <w:sz w:val="16"/>
          <w:szCs w:val="16"/>
          <w:color w:val="auto"/>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w:t>
      </w:r>
    </w:p>
    <w:p>
      <w:pPr>
        <w:spacing w:after="0" w:line="68" w:lineRule="exact"/>
        <w:rPr>
          <w:sz w:val="20"/>
          <w:szCs w:val="20"/>
          <w:color w:val="auto"/>
        </w:rPr>
      </w:pPr>
    </w:p>
    <w:p>
      <w:pPr>
        <w:ind w:right="140" w:firstLine="395"/>
        <w:spacing w:after="0" w:line="386" w:lineRule="auto"/>
        <w:rPr>
          <w:sz w:val="20"/>
          <w:szCs w:val="20"/>
          <w:color w:val="auto"/>
        </w:rPr>
      </w:pPr>
      <w:r>
        <w:rPr>
          <w:rFonts w:ascii="Arial" w:cs="Arial" w:eastAsia="Arial" w:hAnsi="Arial"/>
          <w:sz w:val="16"/>
          <w:szCs w:val="16"/>
          <w:color w:val="auto"/>
        </w:rPr>
        <w:t xml:space="preserve">See Note 20 to our consolidated financial statements included elsewhere in this Annual Report on Form 10-K for further information on our income taxes. </w:t>
      </w:r>
      <w:r>
        <w:rPr>
          <w:rFonts w:ascii="Arial" w:cs="Arial" w:eastAsia="Arial" w:hAnsi="Arial"/>
          <w:sz w:val="16"/>
          <w:szCs w:val="16"/>
          <w:b w:val="1"/>
          <w:bCs w:val="1"/>
          <w:i w:val="1"/>
          <w:iCs w:val="1"/>
          <w:color w:val="auto"/>
        </w:rPr>
        <w:t>Stock-based compensation</w:t>
      </w:r>
    </w:p>
    <w:p>
      <w:pPr>
        <w:ind w:firstLine="395"/>
        <w:spacing w:after="0" w:line="250" w:lineRule="auto"/>
        <w:rPr>
          <w:sz w:val="20"/>
          <w:szCs w:val="20"/>
          <w:color w:val="auto"/>
        </w:rPr>
      </w:pPr>
      <w:r>
        <w:rPr>
          <w:rFonts w:ascii="Arial" w:cs="Arial" w:eastAsia="Arial" w:hAnsi="Arial"/>
          <w:sz w:val="16"/>
          <w:szCs w:val="16"/>
          <w:color w:val="auto"/>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spacing w:after="0" w:line="76" w:lineRule="exact"/>
        <w:rPr>
          <w:sz w:val="20"/>
          <w:szCs w:val="20"/>
          <w:color w:val="auto"/>
        </w:rPr>
      </w:pPr>
    </w:p>
    <w:p>
      <w:pPr>
        <w:ind w:firstLine="395"/>
        <w:spacing w:after="0" w:line="265"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Black-Scholes option pricing model and the Monte Carlo simulation model requires us to make certain assumptions including the fair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underlying common stock, the expected term, the expected stock price volatility, the risk-free interest rates and the expected dividend yield of our common stock. These assumptions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55" w:name="page56"/>
    <w:bookmarkEnd w:id="55"/>
    <w:p>
      <w:pPr>
        <w:ind w:right="340"/>
        <w:spacing w:after="0" w:line="270" w:lineRule="auto"/>
        <w:rPr>
          <w:sz w:val="20"/>
          <w:szCs w:val="20"/>
          <w:color w:val="auto"/>
        </w:rPr>
      </w:pPr>
      <w:r>
        <w:rPr>
          <w:rFonts w:ascii="Arial" w:cs="Arial" w:eastAsia="Arial" w:hAnsi="Arial"/>
          <w:sz w:val="16"/>
          <w:szCs w:val="16"/>
          <w:color w:val="auto"/>
        </w:rPr>
        <w:t>used in the Black-Scholes option pricing model, other than the fair value of our common stock (see the section titled “Common Stock Valuations” below), are estimated as follows:</w:t>
      </w:r>
    </w:p>
    <w:p>
      <w:pPr>
        <w:spacing w:after="0" w:line="71" w:lineRule="exact"/>
        <w:rPr>
          <w:sz w:val="20"/>
          <w:szCs w:val="20"/>
          <w:color w:val="auto"/>
        </w:rPr>
      </w:pPr>
    </w:p>
    <w:p>
      <w:pPr>
        <w:ind w:left="720" w:right="140" w:hanging="311"/>
        <w:spacing w:after="0" w:line="265" w:lineRule="auto"/>
        <w:tabs>
          <w:tab w:leader="none" w:pos="709"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Expected 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expected term of employee stock options represents the weighted-average period that the stock options are expected to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The expected term of options granted is estimated based upon actual historical exercise and post-vesting cancellations, adjusted for expected future exercise behavior.</w:t>
      </w:r>
    </w:p>
    <w:p>
      <w:pPr>
        <w:spacing w:after="0" w:line="61" w:lineRule="exact"/>
        <w:rPr>
          <w:rFonts w:ascii="Arial" w:cs="Arial" w:eastAsia="Arial" w:hAnsi="Arial"/>
          <w:sz w:val="16"/>
          <w:szCs w:val="16"/>
          <w:color w:val="auto"/>
        </w:rPr>
      </w:pPr>
    </w:p>
    <w:p>
      <w:pPr>
        <w:ind w:left="720" w:right="20" w:hanging="311"/>
        <w:spacing w:after="0" w:line="272" w:lineRule="auto"/>
        <w:tabs>
          <w:tab w:leader="none" w:pos="709"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Risk-free interest rate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risk-free interest rate assumption is based upon observed interest rates on the U.S. government securities appropriate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expected term of our stock options.</w:t>
      </w:r>
    </w:p>
    <w:p>
      <w:pPr>
        <w:spacing w:after="0" w:line="69" w:lineRule="exact"/>
        <w:rPr>
          <w:rFonts w:ascii="Arial" w:cs="Arial" w:eastAsia="Arial" w:hAnsi="Arial"/>
          <w:sz w:val="16"/>
          <w:szCs w:val="16"/>
          <w:color w:val="auto"/>
        </w:rPr>
      </w:pPr>
    </w:p>
    <w:p>
      <w:pPr>
        <w:ind w:left="720" w:right="160" w:hanging="311"/>
        <w:spacing w:after="0" w:line="252" w:lineRule="auto"/>
        <w:tabs>
          <w:tab w:leader="none" w:pos="709"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Expected volatility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our common stock has limited publicly traded history, we estimate the expected volatility from the historical volatility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company’s common stock for a period equal to the expected term of the options. We periodically assess the comparable companies and other relevant factors used to measure expected volatility for future stock option grants.</w:t>
      </w:r>
    </w:p>
    <w:p>
      <w:pPr>
        <w:spacing w:after="0" w:line="86" w:lineRule="exact"/>
        <w:rPr>
          <w:rFonts w:ascii="Arial" w:cs="Arial" w:eastAsia="Arial" w:hAnsi="Arial"/>
          <w:sz w:val="16"/>
          <w:szCs w:val="16"/>
          <w:color w:val="auto"/>
        </w:rPr>
      </w:pPr>
    </w:p>
    <w:p>
      <w:pPr>
        <w:ind w:left="720" w:right="20" w:hanging="311"/>
        <w:spacing w:after="0" w:line="256" w:lineRule="auto"/>
        <w:tabs>
          <w:tab w:leader="none" w:pos="709"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Expected dividend yield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dividend yield assumption is based on our history and expectation of dividend payouts. Other than the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declared in 2015, 2017 and 2018 which resulted in corresponding reductions in the exercise price of the stock options, we have not declared any cash dividends on our common stock, and we do not anticipate paying any cash dividends in the foreseeable future.</w:t>
      </w:r>
    </w:p>
    <w:p>
      <w:pPr>
        <w:spacing w:after="0" w:line="84"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Stock-based compensation expense is recognized based on awards that are ultimately expected to vest. Forfeitures are estimated at the time of grant and revised, if necessary, in subsequent periods if actual forfeitures differ from those estimates. Forfeitures are estimated based on our historical experience and future expectations.</w:t>
      </w:r>
    </w:p>
    <w:p>
      <w:pPr>
        <w:spacing w:after="0" w:line="66" w:lineRule="exact"/>
        <w:rPr>
          <w:sz w:val="20"/>
          <w:szCs w:val="20"/>
          <w:color w:val="auto"/>
        </w:rPr>
      </w:pPr>
    </w:p>
    <w:p>
      <w:pPr>
        <w:ind w:right="420" w:firstLine="395"/>
        <w:spacing w:after="0" w:line="270" w:lineRule="auto"/>
        <w:rPr>
          <w:sz w:val="20"/>
          <w:szCs w:val="20"/>
          <w:color w:val="auto"/>
        </w:rPr>
      </w:pPr>
      <w:r>
        <w:rPr>
          <w:rFonts w:ascii="Arial" w:cs="Arial" w:eastAsia="Arial" w:hAnsi="Arial"/>
          <w:sz w:val="16"/>
          <w:szCs w:val="16"/>
          <w:color w:val="auto"/>
        </w:rPr>
        <w:t>If any of the assumptions used in the Black-Scholes option pricing model change significantly, stock-based compensation for future awards may differ materially compared with the awards granted previously.</w:t>
      </w:r>
    </w:p>
    <w:p>
      <w:pPr>
        <w:spacing w:after="0" w:line="73" w:lineRule="exact"/>
        <w:rPr>
          <w:sz w:val="20"/>
          <w:szCs w:val="20"/>
          <w:color w:val="auto"/>
        </w:rPr>
      </w:pPr>
    </w:p>
    <w:p>
      <w:pPr>
        <w:jc w:val="both"/>
        <w:ind w:right="220" w:firstLine="395"/>
        <w:spacing w:after="0" w:line="263" w:lineRule="auto"/>
        <w:rPr>
          <w:sz w:val="20"/>
          <w:szCs w:val="20"/>
          <w:color w:val="auto"/>
        </w:rPr>
      </w:pPr>
      <w:r>
        <w:rPr>
          <w:rFonts w:ascii="Arial" w:cs="Arial" w:eastAsia="Arial" w:hAnsi="Arial"/>
          <w:sz w:val="16"/>
          <w:szCs w:val="16"/>
          <w:color w:val="auto"/>
        </w:rPr>
        <w:t>The determination of stock-based compensation is inherently uncertain and subjective and involves the application of valuation models and assumptions requiring the use of judgment. If we had made different assumptions, our stock-based compensation expense, and our net loss for 2022, 2021 and 2020, may have been materially different.</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weighted-average assumptions that were used to calculate the grant-date fair-value of our stock option grants were as follows:</w:t>
      </w:r>
    </w:p>
    <w:p>
      <w:pPr>
        <w:spacing w:after="0" w:line="143"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r>
      <w:tr>
        <w:trPr>
          <w:trHeight w:val="20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08"/>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560" w:type="dxa"/>
            <w:vAlign w:val="bottom"/>
            <w:gridSpan w:val="3"/>
          </w:tcPr>
          <w:p>
            <w:pPr>
              <w:jc w:val="right"/>
              <w:ind w:right="1201"/>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w:t>
            </w:r>
          </w:p>
        </w:tc>
      </w:tr>
    </w:tbl>
    <w:p>
      <w:pPr>
        <w:spacing w:after="0" w:line="173"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b w:val="1"/>
          <w:bCs w:val="1"/>
          <w:i w:val="1"/>
          <w:iCs w:val="1"/>
          <w:color w:val="auto"/>
        </w:rPr>
        <w:t>Restricted stock units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RSUs that vest upon the satisfaction of service-based vesting conditions, which is typically over a four-year period. For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RSUs we recognize stock-based compensation expense on a straight-line basis over the vesting period of 4 years. RSUs with performance or market conditions are recognized using graded vesting.</w:t>
      </w:r>
    </w:p>
    <w:p>
      <w:pPr>
        <w:spacing w:after="0" w:line="77" w:lineRule="exact"/>
        <w:rPr>
          <w:sz w:val="20"/>
          <w:szCs w:val="20"/>
          <w:color w:val="auto"/>
        </w:rPr>
      </w:pPr>
    </w:p>
    <w:p>
      <w:pPr>
        <w:ind w:right="520" w:firstLine="395"/>
        <w:spacing w:after="0" w:line="265" w:lineRule="auto"/>
        <w:rPr>
          <w:sz w:val="20"/>
          <w:szCs w:val="20"/>
          <w:color w:val="auto"/>
        </w:rPr>
      </w:pPr>
      <w:r>
        <w:rPr>
          <w:rFonts w:ascii="Arial" w:cs="Arial" w:eastAsia="Arial" w:hAnsi="Arial"/>
          <w:sz w:val="16"/>
          <w:szCs w:val="16"/>
          <w:b w:val="1"/>
          <w:bCs w:val="1"/>
          <w:i w:val="1"/>
          <w:iCs w:val="1"/>
          <w:color w:val="auto"/>
        </w:rPr>
        <w:t>Common stock valuations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our IPO, we determined the fair value of our common stock using valuation approaches in accordance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American Institute of Certified Public Accountants, Accounting and Valuation Guide, </w:t>
      </w:r>
      <w:r>
        <w:rPr>
          <w:rFonts w:ascii="Arial" w:cs="Arial" w:eastAsia="Arial" w:hAnsi="Arial"/>
          <w:sz w:val="16"/>
          <w:szCs w:val="16"/>
          <w:i w:val="1"/>
          <w:iCs w:val="1"/>
          <w:color w:val="auto"/>
        </w:rPr>
        <w:t>Valuation of Privately-Held 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Subsequent to our IPO, we utilized our common stock values as traded in the public market as an input into our valuation models.</w:t>
      </w:r>
    </w:p>
    <w:p>
      <w:pPr>
        <w:spacing w:after="0" w:line="77" w:lineRule="exact"/>
        <w:rPr>
          <w:sz w:val="20"/>
          <w:szCs w:val="20"/>
          <w:color w:val="auto"/>
        </w:rPr>
      </w:pPr>
    </w:p>
    <w:p>
      <w:pPr>
        <w:ind w:right="460" w:firstLine="395"/>
        <w:spacing w:after="0" w:line="255" w:lineRule="auto"/>
        <w:rPr>
          <w:sz w:val="20"/>
          <w:szCs w:val="20"/>
          <w:color w:val="auto"/>
        </w:rPr>
      </w:pPr>
      <w:r>
        <w:rPr>
          <w:rFonts w:ascii="Arial" w:cs="Arial" w:eastAsia="Arial" w:hAnsi="Arial"/>
          <w:sz w:val="16"/>
          <w:szCs w:val="16"/>
          <w:b w:val="1"/>
          <w:bCs w:val="1"/>
          <w:i w:val="1"/>
          <w:iCs w:val="1"/>
          <w:color w:val="auto"/>
        </w:rPr>
        <w:t xml:space="preserve">Award issuances and modifications in connection with our IPO. </w:t>
      </w:r>
      <w:r>
        <w:rPr>
          <w:rFonts w:ascii="Arial" w:cs="Arial" w:eastAsia="Arial" w:hAnsi="Arial"/>
          <w:sz w:val="16"/>
          <w:szCs w:val="16"/>
          <w:color w:val="auto"/>
        </w:rPr>
        <w:t>For retention purposes, in connection with our IPO, we amended certain 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of existing options and RSUs, and granted additional options and RSUs to our executive officers. See Note 16 to our consolidated financial statements included elsewhere in this Annual Report on Form 10-K for further discussion.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08"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color w:val="auto"/>
        </w:rPr>
        <w:t>Upon completion of our IPO, we elected to be an Emerging Growth Company, or EGC, as defined in the Jumpstart Our Business Startups Act. Effective December 31, 2022, we lost our EGC status due to becoming a “large accelerated filer”. As a result, we must comply with all financial disclosure and governance requirements applicable to a “large accelerated filer”. For further information, see Note 2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19"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At December 31, 2022 and 2021, we had cash and cash equivalents of $189.1 million and $239.3 million, respectively, which consisted of cash on deposit with banks and a short-term highly-liquid money market fund. Interest-earning instruments carry a degree of interest rate risk. To date, fluctuations in interest income have not been significant.</w:t>
      </w:r>
    </w:p>
    <w:p>
      <w:pPr>
        <w:spacing w:after="0" w:line="85"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We had no outstanding debt subject to interest rate risk as of December 31, 2022 and 2021. Given the repayment of our 2018 Term Loan and settlement of our interest rate swaps in July 2021, we do not currently expect to be exposed to further fluctuations in interest rates for the foreseeable future. We would be subject to fluctuation in interest rates if we draw down under our 2021 Revolving Facility, including issuance of any letters of credit.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06"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losses of $3.6 million in the year ended December 31, 2022. A 10% adverse change in foreign exchange rates on foreign-denominated accounts for the year ended December 31, 2022, including intercompany balances, would have resulted in a $0.9 million increase in our reported foreign currency loss for the year ended December 31, 2022.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119"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7"/>
        </w:trPr>
        <w:tc>
          <w:tcPr>
            <w:tcW w:w="10220" w:type="dxa"/>
            <w:vAlign w:val="bottom"/>
            <w:gridSpan w:val="10"/>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95"/>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2"/>
          </w:tcPr>
          <w:p>
            <w:pPr>
              <w:jc w:val="center"/>
              <w:ind w:right="3440"/>
              <w:spacing w:after="0"/>
              <w:rPr>
                <w:sz w:val="20"/>
                <w:szCs w:val="20"/>
                <w:color w:val="auto"/>
              </w:rPr>
            </w:pPr>
            <w:r>
              <w:rPr>
                <w:rFonts w:ascii="Arial" w:cs="Arial" w:eastAsia="Arial" w:hAnsi="Arial"/>
                <w:sz w:val="16"/>
                <w:szCs w:val="16"/>
                <w:b w:val="1"/>
                <w:bCs w:val="1"/>
                <w:color w:val="auto"/>
                <w:w w:val="98"/>
              </w:rPr>
              <w:t>LEGALZOOM.COM, INC.</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8"/>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4"/>
          </w:tcPr>
          <w:p>
            <w:pPr>
              <w:jc w:val="center"/>
              <w:ind w:right="2380"/>
              <w:spacing w:after="0"/>
              <w:rPr>
                <w:sz w:val="20"/>
                <w:szCs w:val="20"/>
                <w:color w:val="auto"/>
              </w:rPr>
            </w:pPr>
            <w:r>
              <w:rPr>
                <w:rFonts w:ascii="Arial" w:cs="Arial" w:eastAsia="Arial" w:hAnsi="Arial"/>
                <w:sz w:val="16"/>
                <w:szCs w:val="16"/>
                <w:b w:val="1"/>
                <w:bCs w:val="1"/>
                <w:color w:val="auto"/>
                <w:w w:val="97"/>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8"/>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402"/>
        </w:trPr>
        <w:tc>
          <w:tcPr>
            <w:tcW w:w="34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238)</w:t>
            </w:r>
          </w:p>
        </w:tc>
        <w:tc>
          <w:tcPr>
            <w:tcW w:w="1020" w:type="dxa"/>
            <w:vAlign w:val="bottom"/>
            <w:gridSpan w:val="3"/>
          </w:tcPr>
          <w:p>
            <w:pPr>
              <w:jc w:val="center"/>
              <w:spacing w:after="0"/>
              <w:rPr>
                <w:sz w:val="20"/>
                <w:szCs w:val="20"/>
                <w:color w:val="auto"/>
              </w:rPr>
            </w:pPr>
            <w:r>
              <w:rPr>
                <w:rFonts w:ascii="Arial" w:cs="Arial" w:eastAsia="Arial" w:hAnsi="Arial"/>
                <w:sz w:val="16"/>
                <w:szCs w:val="16"/>
                <w:color w:val="0000FF"/>
              </w:rPr>
              <w:t>54</w:t>
            </w:r>
          </w:p>
        </w:tc>
      </w:tr>
      <w:tr>
        <w:trPr>
          <w:trHeight w:val="191"/>
        </w:trPr>
        <w:tc>
          <w:tcPr>
            <w:tcW w:w="340" w:type="dxa"/>
            <w:vAlign w:val="bottom"/>
          </w:tcPr>
          <w:p>
            <w:pPr>
              <w:spacing w:after="0"/>
              <w:rPr>
                <w:sz w:val="16"/>
                <w:szCs w:val="16"/>
                <w:color w:val="auto"/>
              </w:rPr>
            </w:pPr>
          </w:p>
        </w:tc>
        <w:tc>
          <w:tcPr>
            <w:tcW w:w="40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Audited Consolidated Financial Statements:</w:t>
            </w:r>
          </w:p>
        </w:tc>
        <w:tc>
          <w:tcPr>
            <w:tcW w:w="584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2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20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8"/>
              </w:rPr>
              <w:t>Consolidated Balance Sheets</w:t>
            </w:r>
          </w:p>
        </w:tc>
        <w:tc>
          <w:tcPr>
            <w:tcW w:w="980" w:type="dxa"/>
            <w:vAlign w:val="bottom"/>
            <w:tcBorders>
              <w:top w:val="single" w:sz="8" w:color="0000FF"/>
            </w:tcBorders>
            <w:gridSpan w:val="3"/>
          </w:tcPr>
          <w:p>
            <w:pPr>
              <w:spacing w:after="0"/>
              <w:rPr>
                <w:sz w:val="16"/>
                <w:szCs w:val="16"/>
                <w:color w:val="auto"/>
              </w:rPr>
            </w:pPr>
          </w:p>
        </w:tc>
        <w:tc>
          <w:tcPr>
            <w:tcW w:w="682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57</w:t>
            </w:r>
          </w:p>
        </w:tc>
        <w:tc>
          <w:tcPr>
            <w:tcW w:w="42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27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Consolidated Statements of Operations</w:t>
            </w:r>
          </w:p>
        </w:tc>
        <w:tc>
          <w:tcPr>
            <w:tcW w:w="712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58</w:t>
            </w:r>
          </w:p>
        </w:tc>
        <w:tc>
          <w:tcPr>
            <w:tcW w:w="42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41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8"/>
              </w:rPr>
              <w:t>Consolidated Statements of Comprehensive (Loss) Income</w:t>
            </w:r>
          </w:p>
        </w:tc>
        <w:tc>
          <w:tcPr>
            <w:tcW w:w="574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59</w:t>
            </w:r>
          </w:p>
        </w:tc>
        <w:tc>
          <w:tcPr>
            <w:tcW w:w="42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9880" w:type="dxa"/>
            <w:vAlign w:val="bottom"/>
            <w:gridSpan w:val="9"/>
          </w:tcPr>
          <w:p>
            <w:pPr>
              <w:spacing w:after="0"/>
              <w:rPr>
                <w:sz w:val="20"/>
                <w:szCs w:val="20"/>
                <w:color w:val="auto"/>
              </w:rPr>
            </w:pPr>
            <w:r>
              <w:rPr>
                <w:rFonts w:ascii="Arial" w:cs="Arial" w:eastAsia="Arial" w:hAnsi="Arial"/>
                <w:sz w:val="16"/>
                <w:szCs w:val="16"/>
                <w:color w:val="0000FF"/>
              </w:rPr>
              <w:t>Consolidated Statements of Redeemable Convertible Preferred Stock and Stockholders’ Equity (Deficit</w:t>
            </w:r>
            <w:r>
              <w:rPr>
                <w:rFonts w:ascii="Arial" w:cs="Arial" w:eastAsia="Arial" w:hAnsi="Arial"/>
                <w:sz w:val="16"/>
                <w:szCs w:val="16"/>
                <w:color w:val="000000"/>
              </w:rPr>
              <w:t>)</w:t>
            </w:r>
          </w:p>
        </w:tc>
        <w:tc>
          <w:tcPr>
            <w:tcW w:w="1020" w:type="dxa"/>
            <w:vAlign w:val="bottom"/>
            <w:gridSpan w:val="3"/>
          </w:tcPr>
          <w:p>
            <w:pPr>
              <w:jc w:val="center"/>
              <w:spacing w:after="0"/>
              <w:rPr>
                <w:sz w:val="20"/>
                <w:szCs w:val="20"/>
                <w:color w:val="auto"/>
              </w:rPr>
            </w:pPr>
            <w:r>
              <w:rPr>
                <w:rFonts w:ascii="Arial" w:cs="Arial" w:eastAsia="Arial" w:hAnsi="Arial"/>
                <w:sz w:val="16"/>
                <w:szCs w:val="16"/>
                <w:color w:val="0000FF"/>
              </w:rPr>
              <w:t>60</w:t>
            </w:r>
          </w:p>
        </w:tc>
      </w:tr>
      <w:tr>
        <w:trPr>
          <w:trHeight w:val="191"/>
        </w:trPr>
        <w:tc>
          <w:tcPr>
            <w:tcW w:w="340" w:type="dxa"/>
            <w:vAlign w:val="bottom"/>
          </w:tcPr>
          <w:p>
            <w:pPr>
              <w:spacing w:after="0"/>
              <w:rPr>
                <w:sz w:val="16"/>
                <w:szCs w:val="16"/>
                <w:color w:val="auto"/>
              </w:rPr>
            </w:pPr>
          </w:p>
        </w:tc>
        <w:tc>
          <w:tcPr>
            <w:tcW w:w="718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Consolidated Statements of Cash Flows</w:t>
            </w:r>
          </w:p>
        </w:tc>
        <w:tc>
          <w:tcPr>
            <w:tcW w:w="2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0000FF"/>
            </w:tcBorders>
          </w:tcPr>
          <w:p>
            <w:pPr>
              <w:jc w:val="center"/>
              <w:spacing w:after="0"/>
              <w:rPr>
                <w:sz w:val="20"/>
                <w:szCs w:val="20"/>
                <w:color w:val="auto"/>
              </w:rPr>
            </w:pPr>
            <w:r>
              <w:rPr>
                <w:rFonts w:ascii="Arial" w:cs="Arial" w:eastAsia="Arial" w:hAnsi="Arial"/>
                <w:sz w:val="16"/>
                <w:szCs w:val="16"/>
                <w:color w:val="0000FF"/>
              </w:rPr>
              <w:t>61</w:t>
            </w:r>
          </w:p>
        </w:tc>
        <w:tc>
          <w:tcPr>
            <w:tcW w:w="42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30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8"/>
              </w:rPr>
              <w:t>Notes to Consolidated Financial Statements</w:t>
            </w:r>
          </w:p>
        </w:tc>
        <w:tc>
          <w:tcPr>
            <w:tcW w:w="680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63</w:t>
            </w:r>
          </w:p>
        </w:tc>
        <w:tc>
          <w:tcPr>
            <w:tcW w:w="4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58" w:name="page59"/>
    <w:bookmarkEnd w:id="58"/>
    <w:p>
      <w:pPr>
        <w:ind w:left="34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LegalZoom.com, Inc.</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5"/>
          <w:szCs w:val="15"/>
          <w:color w:val="auto"/>
        </w:rPr>
        <w:t>We have audited the accompanying consolidated balance sheets of LegalZoom.com, Inc. and its subsidiaries (the “Company”) as of December 31, 2022 and 2021, and the related consolidated statements of operations, of comprehensive (loss) income, of redeemable convertible preferred stock and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57"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did not maintain, in all material respects, effective internal control over financial reporting as of December 31, 2022, based on criteria established in Internal Control - Integrated Framework (2013) issued by the COSO because material weaknesses in internal control over financial reporting existed as of that date related to the Company (i) not maintaining an effective control environment, specifically insufficient accounting resources commensurate with the Company’s structure and reporting requirements; (ii) not designing and maintaining effective controls to address the initial application of complex accounting standards and accounting of non-routine, unusual or complex events and transactions; and (iii) not designing and maintaining effective controls over the financial statement close process, specifically ineffective controls over the income tax provision and certain account analyses and account reconciliations.</w:t>
      </w:r>
    </w:p>
    <w:p>
      <w:pPr>
        <w:spacing w:after="0" w:line="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December 31, 2022 consolidated financial statements, and our opinion regarding the effectiveness of the Company’s internal control over financial reporting does not affect our opinion on those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in 2022.</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06"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05" w:lineRule="exact"/>
        <w:rPr>
          <w:sz w:val="20"/>
          <w:szCs w:val="20"/>
          <w:color w:val="auto"/>
        </w:rPr>
      </w:pPr>
    </w:p>
    <w:p>
      <w:pPr>
        <w:jc w:val="both"/>
        <w:ind w:right="220"/>
        <w:spacing w:after="0" w:line="25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1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59" w:name="page60"/>
    <w:bookmarkEnd w:id="59"/>
    <w:p>
      <w:pPr>
        <w:spacing w:after="0" w:line="253" w:lineRule="auto"/>
        <w:rPr>
          <w:sz w:val="20"/>
          <w:szCs w:val="20"/>
          <w:color w:val="auto"/>
        </w:rPr>
      </w:pPr>
      <w:r>
        <w:rPr>
          <w:rFonts w:ascii="Arial" w:cs="Arial" w:eastAsia="Arial" w:hAnsi="Arial"/>
          <w:sz w:val="16"/>
          <w:szCs w:val="16"/>
          <w:color w:val="auto"/>
        </w:rPr>
        <w:t>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06"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jc w:val="both"/>
        <w:ind w:right="220" w:firstLine="5"/>
        <w:spacing w:after="0" w:line="249" w:lineRule="auto"/>
        <w:tabs>
          <w:tab w:leader="none" w:pos="2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0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described in Note 2 to the consolidated financial statements, the Company’s consolidated revenue was $620 million for the year ended December 31, 2022. The Company recognizes revenue when the performance obligation is satisfied by transferring the promised good or service to the customer. For transaction-based services, revenue is generally recognized at a point-in-time when the services are delivered to the customer. For subscription-based services, revenue is generally recognized on a straight-line basis over the subscription term. For partner-based services, revenue is recognized at a point-in-time when the related performance-based criteria have been met. Services can generally either be purchased on a stand-alone basis or bundled together as part of a package of services. Accordingly, a significant number of arrangements include multiple performance obligations. The transaction price is based on the contractual amounts and is allocated to each separate performance obligation based on the amount of consideration which the Company expects to be entitled in exchange for the services.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is a critical audit matter is the high degree of auditor effort in performing procedures related to revenue recognized. As described in the “Opinions on the Financial Statements and Internal Control over Financial Reporting” section, material weaknesses were identified related to this matter.</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evaluating the revenue recognized on a sample basis by obtaining and inspecting source documents, including invoices, customer contracts, proof of delivery, and cash receipts from customers, where applicable.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 Assets and Related Valuation Allowance</w:t>
      </w:r>
    </w:p>
    <w:p>
      <w:pPr>
        <w:spacing w:after="0" w:line="119" w:lineRule="exact"/>
        <w:rPr>
          <w:sz w:val="20"/>
          <w:szCs w:val="20"/>
          <w:color w:val="auto"/>
        </w:rPr>
      </w:pPr>
    </w:p>
    <w:p>
      <w:pPr>
        <w:jc w:val="both"/>
        <w:ind w:right="300"/>
        <w:spacing w:after="0" w:line="266" w:lineRule="auto"/>
        <w:rPr>
          <w:sz w:val="20"/>
          <w:szCs w:val="20"/>
          <w:color w:val="auto"/>
        </w:rPr>
      </w:pPr>
      <w:r>
        <w:rPr>
          <w:rFonts w:ascii="Arial" w:cs="Arial" w:eastAsia="Arial" w:hAnsi="Arial"/>
          <w:sz w:val="15"/>
          <w:szCs w:val="15"/>
          <w:color w:val="auto"/>
        </w:rPr>
        <w:t>As described in Notes 2 and 20 to the consolidated financial statements, the Company’s consolidated deferred tax asset balance was $63 million and related valuation allowance was $15 million as of December 31, 2022. Deferred tax assets and liabilities are recognized for the expected future tax consequences of events and are measured using enacted tax rates anticipated to be in effect when the tax assets and liabilities are expected to be realized or settled.</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 makes judgments in evaluating whether deferred tax assets will be recovered from future taxable income. A valuation allowance is established if, based upon the available evidence, it is more likely than not that some or all of the deferred tax assets will not be realized. Management considers all available evidence, both positive and negative, including historical levels of income, expectations and risk associated with estimates of future taxable income in assessing the need for a valuation allowance.</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The principal considerations for our determination that performing procedures relating to deferred tax assets and the related valuation allowance is a critical audit matter are (i) the significant judgment by management when evaluating if it is more likely than not that some or all of the deferred tax assets will not be realized;</w:t>
      </w:r>
    </w:p>
    <w:p>
      <w:pPr>
        <w:ind w:right="160" w:firstLine="5"/>
        <w:spacing w:after="0" w:line="254" w:lineRule="auto"/>
        <w:tabs>
          <w:tab w:leader="none" w:pos="21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high degree of auditor judgment, subjectivity, and effort in performing procedures and evaluating available evidence, both positive and negative, including historical levels of income and estimates of future taxable income in assessing the need for a valuation allowance; and (iii) as described in the “Opinions on the Financial Statements and Internal Control over Financial Reporting” section, material weaknesses were identified related to this matter.</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testing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0" w:name="page61"/>
    <w:bookmarkEnd w:id="60"/>
    <w:p>
      <w:pPr>
        <w:spacing w:after="0" w:line="255" w:lineRule="auto"/>
        <w:rPr>
          <w:sz w:val="20"/>
          <w:szCs w:val="20"/>
          <w:color w:val="auto"/>
        </w:rPr>
      </w:pPr>
      <w:r>
        <w:rPr>
          <w:rFonts w:ascii="Arial" w:cs="Arial" w:eastAsia="Arial" w:hAnsi="Arial"/>
          <w:sz w:val="16"/>
          <w:szCs w:val="16"/>
          <w:color w:val="auto"/>
        </w:rPr>
        <w:t>management’s process for assessing the realizability of deferred tax assets on a jurisdictional basis; (ii) testing the completeness and accuracy of the underlying data used in management’s assessment; (iii) testing the appropriateness of the enacted tax rates anticipated to be in effect when the deferred tax assets and liabilities are expected to be realized or settled; and (iv) evaluating available evidence, both positive and negative, including historical levels of income and estimates of future taxable income in assessing the need for a valuation allowance.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par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9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0" w:type="dxa"/>
            <w:vAlign w:val="bottom"/>
          </w:tcPr>
          <w:p>
            <w:pPr>
              <w:spacing w:after="0"/>
              <w:rPr>
                <w:sz w:val="1"/>
                <w:szCs w:val="1"/>
                <w:color w:val="auto"/>
              </w:rPr>
            </w:pP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Accounts receivable, net of allowance for credit losses of $4,730 and $4,060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10,635</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Current assets held for sale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241,680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266,521</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47,013</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59,910</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27,653</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 (amortized cost of $812 and $792)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405,395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25,312</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31,788</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164,200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146,364</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38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249,202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228,969</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02"/>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233,464</w:t>
            </w:r>
          </w:p>
        </w:tc>
        <w:tc>
          <w:tcPr>
            <w:tcW w:w="0" w:type="dxa"/>
            <w:vAlign w:val="bottom"/>
          </w:tcPr>
          <w:p>
            <w:pPr>
              <w:spacing w:after="0"/>
              <w:rPr>
                <w:sz w:val="1"/>
                <w:szCs w:val="1"/>
                <w:color w:val="auto"/>
              </w:rPr>
            </w:pP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380" w:type="dxa"/>
            <w:vAlign w:val="bottom"/>
            <w:shd w:val="clear" w:color="auto" w:fill="CCEEFF"/>
          </w:tcPr>
          <w:p>
            <w:pPr>
              <w:ind w:left="340"/>
              <w:spacing w:after="0" w:line="161" w:lineRule="exact"/>
              <w:rPr>
                <w:sz w:val="20"/>
                <w:szCs w:val="20"/>
                <w:color w:val="auto"/>
              </w:rPr>
            </w:pPr>
            <w:r>
              <w:rPr>
                <w:rFonts w:ascii="Arial" w:cs="Arial" w:eastAsia="Arial" w:hAnsi="Arial"/>
                <w:sz w:val="16"/>
                <w:szCs w:val="16"/>
                <w:color w:val="auto"/>
              </w:rPr>
              <w:t>Preferred stock, $0.001 par value 100,000 shares authorized at December 31, 2022 and 2021, none issued or</w:t>
            </w:r>
          </w:p>
        </w:tc>
        <w:tc>
          <w:tcPr>
            <w:tcW w:w="3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 at December 31, 2022 and 2021</w:t>
            </w:r>
          </w:p>
        </w:tc>
        <w:tc>
          <w:tcPr>
            <w:tcW w:w="3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380" w:type="dxa"/>
            <w:vAlign w:val="bottom"/>
          </w:tcPr>
          <w:p>
            <w:pPr>
              <w:ind w:left="340"/>
              <w:spacing w:after="0" w:line="159" w:lineRule="exact"/>
              <w:rPr>
                <w:sz w:val="20"/>
                <w:szCs w:val="20"/>
                <w:color w:val="auto"/>
              </w:rPr>
            </w:pPr>
            <w:r>
              <w:rPr>
                <w:rFonts w:ascii="Arial" w:cs="Arial" w:eastAsia="Arial" w:hAnsi="Arial"/>
                <w:sz w:val="16"/>
                <w:szCs w:val="16"/>
                <w:color w:val="auto"/>
              </w:rPr>
              <w:t>Common stock, $0.001 par value; 1,000,000 and 1,000,000 shares authorized; 190,822 and 198,084 shares</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8"/>
        </w:trPr>
        <w:tc>
          <w:tcPr>
            <w:tcW w:w="8380" w:type="dxa"/>
            <w:vAlign w:val="bottom"/>
          </w:tcPr>
          <w:p>
            <w:pPr>
              <w:ind w:left="500"/>
              <w:spacing w:after="0"/>
              <w:rPr>
                <w:sz w:val="20"/>
                <w:szCs w:val="20"/>
                <w:color w:val="auto"/>
              </w:rPr>
            </w:pPr>
            <w:r>
              <w:rPr>
                <w:rFonts w:ascii="Arial" w:cs="Arial" w:eastAsia="Arial" w:hAnsi="Arial"/>
                <w:sz w:val="16"/>
                <w:szCs w:val="16"/>
                <w:color w:val="auto"/>
              </w:rPr>
              <w:t>issued and outstanding at December 31, 2022 and 2021, respectively</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1,032,550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947,160</w:t>
            </w:r>
          </w:p>
        </w:tc>
        <w:tc>
          <w:tcPr>
            <w:tcW w:w="0" w:type="dxa"/>
            <w:vAlign w:val="bottom"/>
          </w:tcPr>
          <w:p>
            <w:pPr>
              <w:spacing w:after="0"/>
              <w:rPr>
                <w:sz w:val="1"/>
                <w:szCs w:val="1"/>
                <w:color w:val="auto"/>
              </w:rPr>
            </w:pPr>
          </w:p>
        </w:tc>
      </w:tr>
      <w:tr>
        <w:trPr>
          <w:trHeight w:val="209"/>
        </w:trPr>
        <w:tc>
          <w:tcPr>
            <w:tcW w:w="838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(891,862)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(748,012)</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2"/>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142,375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197,551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405,395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619,979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470,636</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211,095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154,563</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408,884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316,073</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171,390</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Technology and development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70,434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84,003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41,863</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116,057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51,017</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Impairment of long-lived and other assets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sale of business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02"/>
        </w:trPr>
        <w:tc>
          <w:tcPr>
            <w:tcW w:w="692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450,623</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470,792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267,139</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48,934</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Interest income (expense), net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(35,504)</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(expense) income,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Impairment of other equity security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debt extinguishment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6920" w:type="dxa"/>
            <w:vAlign w:val="bottom"/>
          </w:tcPr>
          <w:p>
            <w:pPr>
              <w:ind w:left="340"/>
              <w:spacing w:after="0" w:line="159" w:lineRule="exact"/>
              <w:rPr>
                <w:sz w:val="20"/>
                <w:szCs w:val="20"/>
                <w:color w:val="auto"/>
              </w:rPr>
            </w:pPr>
            <w:r>
              <w:rPr>
                <w:rFonts w:ascii="Arial" w:cs="Arial" w:eastAsia="Arial" w:hAnsi="Arial"/>
                <w:sz w:val="16"/>
                <w:szCs w:val="16"/>
                <w:color w:val="auto"/>
                <w:w w:val="99"/>
              </w:rPr>
              <w:t>Impairment of available-for-sale debt securities of $4,912, net of $94 loss recognized in other</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(4,818)</w:t>
            </w:r>
          </w:p>
        </w:tc>
        <w:tc>
          <w:tcPr>
            <w:tcW w:w="0" w:type="dxa"/>
            <w:vAlign w:val="bottom"/>
          </w:tcPr>
          <w:p>
            <w:pPr>
              <w:spacing w:after="0"/>
              <w:rPr>
                <w:sz w:val="1"/>
                <w:szCs w:val="1"/>
                <w:color w:val="auto"/>
              </w:rPr>
            </w:pPr>
          </w:p>
        </w:tc>
      </w:tr>
      <w:tr>
        <w:trPr>
          <w:trHeight w:val="208"/>
        </w:trPr>
        <w:tc>
          <w:tcPr>
            <w:tcW w:w="6920" w:type="dxa"/>
            <w:vAlign w:val="bottom"/>
          </w:tcPr>
          <w:p>
            <w:pPr>
              <w:ind w:left="500"/>
              <w:spacing w:after="0"/>
              <w:rPr>
                <w:sz w:val="20"/>
                <w:szCs w:val="20"/>
                <w:color w:val="auto"/>
              </w:rPr>
            </w:pPr>
            <w:r>
              <w:rPr>
                <w:rFonts w:ascii="Arial" w:cs="Arial" w:eastAsia="Arial" w:hAnsi="Arial"/>
                <w:sz w:val="16"/>
                <w:szCs w:val="16"/>
                <w:color w:val="auto"/>
              </w:rPr>
              <w:t>comprehensive loss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(47,673)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(119,615)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12,325</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stockholders—basic</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stockholders—diluted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income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20" w:type="dxa"/>
            <w:vAlign w:val="bottom"/>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92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Weighted-average shares used to compute net (loss) income per share attributable to common</w:t>
            </w: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195,829</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124,709</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195,829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127,259</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foreign currency translation adjustments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3,436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6"/>
                <w:szCs w:val="16"/>
                <w:color w:val="auto"/>
              </w:rPr>
              <w:t>Change in available-for-sale debt securities: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(losses) gains,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Reclassifications of losses to net income</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5"/>
        </w:trPr>
        <w:tc>
          <w:tcPr>
            <w:tcW w:w="69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change in available-for-sale debt securities</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Change in unrealized gain (loss) on cash flow hedges: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(loss) on interest rate cap and swaps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w:t>
            </w:r>
          </w:p>
        </w:tc>
        <w:tc>
          <w:tcPr>
            <w:tcW w:w="0" w:type="dxa"/>
            <w:vAlign w:val="bottom"/>
          </w:tcPr>
          <w:p>
            <w:pPr>
              <w:spacing w:after="0"/>
              <w:rPr>
                <w:sz w:val="1"/>
                <w:szCs w:val="1"/>
                <w:color w:val="auto"/>
              </w:rPr>
            </w:pPr>
          </w:p>
        </w:tc>
      </w:tr>
      <w:tr>
        <w:trPr>
          <w:trHeight w:val="159"/>
        </w:trPr>
        <w:tc>
          <w:tcPr>
            <w:tcW w:w="6920" w:type="dxa"/>
            <w:vAlign w:val="bottom"/>
          </w:tcPr>
          <w:p>
            <w:pPr>
              <w:ind w:left="340"/>
              <w:spacing w:after="0" w:line="159" w:lineRule="exact"/>
              <w:rPr>
                <w:sz w:val="20"/>
                <w:szCs w:val="20"/>
                <w:color w:val="auto"/>
              </w:rPr>
            </w:pPr>
            <w:r>
              <w:rPr>
                <w:rFonts w:ascii="Arial" w:cs="Arial" w:eastAsia="Arial" w:hAnsi="Arial"/>
                <w:sz w:val="16"/>
                <w:szCs w:val="16"/>
                <w:color w:val="auto"/>
              </w:rPr>
              <w:t>Reclassification of prior hedge effectiveness and losses from interest rate cap to net (loss)</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2,760</w:t>
            </w:r>
          </w:p>
        </w:tc>
        <w:tc>
          <w:tcPr>
            <w:tcW w:w="0" w:type="dxa"/>
            <w:vAlign w:val="bottom"/>
          </w:tcPr>
          <w:p>
            <w:pPr>
              <w:spacing w:after="0"/>
              <w:rPr>
                <w:sz w:val="1"/>
                <w:szCs w:val="1"/>
                <w:color w:val="auto"/>
              </w:rPr>
            </w:pPr>
          </w:p>
        </w:tc>
      </w:tr>
      <w:tr>
        <w:trPr>
          <w:trHeight w:val="208"/>
        </w:trPr>
        <w:tc>
          <w:tcPr>
            <w:tcW w:w="6920" w:type="dxa"/>
            <w:vAlign w:val="bottom"/>
          </w:tcPr>
          <w:p>
            <w:pPr>
              <w:ind w:left="500"/>
              <w:spacing w:after="0"/>
              <w:rPr>
                <w:sz w:val="20"/>
                <w:szCs w:val="20"/>
                <w:color w:val="auto"/>
              </w:rPr>
            </w:pPr>
            <w:r>
              <w:rPr>
                <w:rFonts w:ascii="Arial" w:cs="Arial" w:eastAsia="Arial" w:hAnsi="Arial"/>
                <w:sz w:val="16"/>
                <w:szCs w:val="16"/>
                <w:color w:val="auto"/>
              </w:rPr>
              <w:t>income</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920" w:type="dxa"/>
            <w:vAlign w:val="bottom"/>
            <w:shd w:val="clear" w:color="auto" w:fill="CCEEFF"/>
          </w:tcPr>
          <w:p>
            <w:pPr>
              <w:ind w:left="340"/>
              <w:spacing w:after="0" w:line="161" w:lineRule="exact"/>
              <w:rPr>
                <w:sz w:val="20"/>
                <w:szCs w:val="20"/>
                <w:color w:val="auto"/>
              </w:rPr>
            </w:pPr>
            <w:r>
              <w:rPr>
                <w:rFonts w:ascii="Arial" w:cs="Arial" w:eastAsia="Arial" w:hAnsi="Arial"/>
                <w:sz w:val="16"/>
                <w:szCs w:val="16"/>
                <w:color w:val="auto"/>
              </w:rPr>
              <w:t>Reclassification to net (loss) income upon discontinuance of interest rate swaps and prior</w:t>
            </w: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7,295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hedge effectiveness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20" w:type="dxa"/>
            <w:vAlign w:val="bottom"/>
          </w:tcPr>
          <w:p>
            <w:pPr>
              <w:ind w:left="660"/>
              <w:spacing w:after="0"/>
              <w:rPr>
                <w:sz w:val="20"/>
                <w:szCs w:val="20"/>
                <w:color w:val="auto"/>
              </w:rPr>
            </w:pPr>
            <w:r>
              <w:rPr>
                <w:rFonts w:ascii="Arial" w:cs="Arial" w:eastAsia="Arial" w:hAnsi="Arial"/>
                <w:sz w:val="16"/>
                <w:szCs w:val="16"/>
                <w:color w:val="auto"/>
              </w:rPr>
              <w:t>Total net changes in cash flow hedges</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(6,818)</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3,292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05"/>
        </w:trPr>
        <w:tc>
          <w:tcPr>
            <w:tcW w:w="6920" w:type="dxa"/>
            <w:vAlign w:val="bottom"/>
          </w:tcPr>
          <w:p>
            <w:pPr>
              <w:ind w:left="980"/>
              <w:spacing w:after="0"/>
              <w:rPr>
                <w:sz w:val="20"/>
                <w:szCs w:val="20"/>
                <w:color w:val="auto"/>
              </w:rPr>
            </w:pPr>
            <w:r>
              <w:rPr>
                <w:rFonts w:ascii="Arial" w:cs="Arial" w:eastAsia="Arial" w:hAnsi="Arial"/>
                <w:sz w:val="16"/>
                <w:szCs w:val="16"/>
                <w:color w:val="auto"/>
              </w:rPr>
              <w:t>Total comprehensive (loss) income</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4"/>
                <w:szCs w:val="24"/>
                <w:color w:val="auto"/>
              </w:rPr>
            </w:pPr>
          </w:p>
        </w:tc>
        <w:tc>
          <w:tcPr>
            <w:tcW w:w="19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1"/>
                <w:szCs w:val="11"/>
                <w:b w:val="1"/>
                <w:bCs w:val="1"/>
                <w:color w:val="auto"/>
              </w:rPr>
              <w:t>Series A Redeemable</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196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1"/>
                <w:szCs w:val="11"/>
                <w:b w:val="1"/>
                <w:bCs w:val="1"/>
                <w:color w:val="auto"/>
              </w:rPr>
              <w:t>Convertible Preferred</w:t>
            </w: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320" w:type="dxa"/>
            <w:vAlign w:val="bottom"/>
          </w:tcPr>
          <w:p>
            <w:pPr>
              <w:spacing w:after="0"/>
              <w:rPr>
                <w:sz w:val="6"/>
                <w:szCs w:val="6"/>
                <w:color w:val="auto"/>
              </w:rPr>
            </w:pPr>
          </w:p>
        </w:tc>
        <w:tc>
          <w:tcPr>
            <w:tcW w:w="196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6"/>
                <w:szCs w:val="6"/>
                <w:color w:val="auto"/>
              </w:rPr>
            </w:pPr>
          </w:p>
        </w:tc>
        <w:tc>
          <w:tcPr>
            <w:tcW w:w="106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1120" w:type="dxa"/>
            <w:vAlign w:val="bottom"/>
            <w:gridSpan w:val="3"/>
            <w:vMerge w:val="restart"/>
          </w:tcPr>
          <w:p>
            <w:pPr>
              <w:jc w:val="center"/>
              <w:ind w:left="663"/>
              <w:spacing w:after="0"/>
              <w:rPr>
                <w:sz w:val="20"/>
                <w:szCs w:val="20"/>
                <w:color w:val="auto"/>
              </w:rPr>
            </w:pPr>
            <w:r>
              <w:rPr>
                <w:rFonts w:ascii="Arial" w:cs="Arial" w:eastAsia="Arial" w:hAnsi="Arial"/>
                <w:sz w:val="11"/>
                <w:szCs w:val="11"/>
                <w:b w:val="1"/>
                <w:bCs w:val="1"/>
                <w:color w:val="auto"/>
              </w:rPr>
              <w:t>Stock</w:t>
            </w:r>
          </w:p>
        </w:tc>
        <w:tc>
          <w:tcPr>
            <w:tcW w:w="7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40" w:type="dxa"/>
            <w:vAlign w:val="bottom"/>
            <w:gridSpan w:val="4"/>
            <w:vMerge w:val="restart"/>
          </w:tcPr>
          <w:p>
            <w:pPr>
              <w:jc w:val="right"/>
              <w:ind w:right="443"/>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9"/>
                <w:szCs w:val="9"/>
                <w:color w:val="auto"/>
              </w:rPr>
            </w:pPr>
          </w:p>
        </w:tc>
        <w:tc>
          <w:tcPr>
            <w:tcW w:w="108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9"/>
                <w:szCs w:val="9"/>
                <w:color w:val="auto"/>
              </w:rPr>
            </w:pPr>
          </w:p>
        </w:tc>
        <w:tc>
          <w:tcPr>
            <w:tcW w:w="126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9"/>
                <w:szCs w:val="9"/>
                <w:color w:val="auto"/>
              </w:rPr>
            </w:pPr>
          </w:p>
        </w:tc>
        <w:tc>
          <w:tcPr>
            <w:tcW w:w="1060" w:type="dxa"/>
            <w:vAlign w:val="bottom"/>
          </w:tcPr>
          <w:p>
            <w:pPr>
              <w:jc w:val="center"/>
              <w:ind w:right="83"/>
              <w:spacing w:after="0" w:line="10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5"/>
                <w:szCs w:val="15"/>
                <w:color w:val="auto"/>
              </w:rPr>
            </w:pP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(loss) Income</w:t>
            </w:r>
          </w:p>
        </w:tc>
        <w:tc>
          <w:tcPr>
            <w:tcW w:w="140" w:type="dxa"/>
            <w:vAlign w:val="bottom"/>
          </w:tcPr>
          <w:p>
            <w:pPr>
              <w:spacing w:after="0"/>
              <w:rPr>
                <w:sz w:val="15"/>
                <w:szCs w:val="15"/>
                <w:color w:val="auto"/>
              </w:rPr>
            </w:pPr>
          </w:p>
        </w:tc>
        <w:tc>
          <w:tcPr>
            <w:tcW w:w="1060" w:type="dxa"/>
            <w:vAlign w:val="bottom"/>
          </w:tcPr>
          <w:p>
            <w:pPr>
              <w:jc w:val="center"/>
              <w:ind w:right="83"/>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170"/>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23,081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70,906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124,382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92,916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(644,305)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(556,991)</w:t>
            </w: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Issuance of common stock upon exercise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1,270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599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600</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of stock options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CEEFF"/>
          </w:tcPr>
          <w:p>
            <w:pPr>
              <w:ind w:left="100"/>
              <w:spacing w:after="0" w:line="126" w:lineRule="exact"/>
              <w:rPr>
                <w:sz w:val="20"/>
                <w:szCs w:val="20"/>
                <w:color w:val="auto"/>
              </w:rPr>
            </w:pPr>
            <w:r>
              <w:rPr>
                <w:rFonts w:ascii="Arial" w:cs="Arial" w:eastAsia="Arial" w:hAnsi="Arial"/>
                <w:sz w:val="11"/>
                <w:szCs w:val="11"/>
                <w:color w:val="auto"/>
              </w:rPr>
              <w:t>Issuance of common stock upon vesting of</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245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restricted stock awards</w:t>
            </w: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Shares surrendered for settlement of</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(371)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(3,825)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(3,825)</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minimum statutory tax withholdings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12,940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12,940</w:t>
            </w: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Net issuance and repayments of full</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recourse notes receivable</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CEEFF"/>
          </w:tcPr>
          <w:p>
            <w:pPr>
              <w:ind w:left="100"/>
              <w:spacing w:after="0" w:line="126" w:lineRule="exact"/>
              <w:rPr>
                <w:sz w:val="20"/>
                <w:szCs w:val="20"/>
                <w:color w:val="auto"/>
              </w:rPr>
            </w:pPr>
            <w:r>
              <w:rPr>
                <w:rFonts w:ascii="Arial" w:cs="Arial" w:eastAsia="Arial" w:hAnsi="Arial"/>
                <w:sz w:val="11"/>
                <w:szCs w:val="11"/>
                <w:color w:val="auto"/>
              </w:rPr>
              <w:t>Repurchase and retirement of common</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(4,939)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(4,939)</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00"/>
              <w:spacing w:after="0"/>
              <w:rPr>
                <w:sz w:val="20"/>
                <w:szCs w:val="20"/>
                <w:color w:val="auto"/>
              </w:rPr>
            </w:pPr>
            <w:r>
              <w:rPr>
                <w:rFonts w:ascii="Arial" w:cs="Arial" w:eastAsia="Arial" w:hAnsi="Arial"/>
                <w:sz w:val="11"/>
                <w:szCs w:val="11"/>
                <w:color w:val="auto"/>
              </w:rPr>
              <w:t>Special dividends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(8,100)</w:t>
            </w:r>
          </w:p>
        </w:tc>
        <w:tc>
          <w:tcPr>
            <w:tcW w:w="0" w:type="dxa"/>
            <w:vAlign w:val="bottom"/>
          </w:tcPr>
          <w:p>
            <w:pPr>
              <w:spacing w:after="0"/>
              <w:rPr>
                <w:sz w:val="1"/>
                <w:szCs w:val="1"/>
                <w:color w:val="auto"/>
              </w:rPr>
            </w:pPr>
          </w:p>
        </w:tc>
      </w:tr>
      <w:tr>
        <w:trPr>
          <w:trHeight w:val="164"/>
        </w:trPr>
        <w:tc>
          <w:tcPr>
            <w:tcW w:w="232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9,896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71"/>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23,081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70,906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125,037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102,417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(639,348)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(13,827)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(550,632)</w:t>
            </w: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Issuance of common stock upon exercise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831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534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534</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of stock options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CEEFF"/>
          </w:tcPr>
          <w:p>
            <w:pPr>
              <w:ind w:left="100"/>
              <w:spacing w:after="0" w:line="126" w:lineRule="exact"/>
              <w:rPr>
                <w:sz w:val="20"/>
                <w:szCs w:val="20"/>
                <w:color w:val="auto"/>
              </w:rPr>
            </w:pPr>
            <w:r>
              <w:rPr>
                <w:rFonts w:ascii="Arial" w:cs="Arial" w:eastAsia="Arial" w:hAnsi="Arial"/>
                <w:sz w:val="11"/>
                <w:szCs w:val="11"/>
                <w:color w:val="auto"/>
              </w:rPr>
              <w:t>Issuance of common stock upon vesting of</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938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1,244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1,245</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restricted stock awards and ESPP</w:t>
            </w: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Shares surrendered for settlement of</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(2,342)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(2,342)</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minimum statutory tax withholdings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113,270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113,270</w:t>
            </w: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Conversion of redeemable convertible</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20" w:type="dxa"/>
            <w:vAlign w:val="bottom"/>
          </w:tcPr>
          <w:p>
            <w:pPr>
              <w:ind w:left="260"/>
              <w:spacing w:after="0" w:line="113" w:lineRule="exact"/>
              <w:rPr>
                <w:sz w:val="20"/>
                <w:szCs w:val="20"/>
                <w:color w:val="auto"/>
              </w:rPr>
            </w:pPr>
            <w:r>
              <w:rPr>
                <w:rFonts w:ascii="Arial" w:cs="Arial" w:eastAsia="Arial" w:hAnsi="Arial"/>
                <w:sz w:val="11"/>
                <w:szCs w:val="11"/>
                <w:color w:val="auto"/>
              </w:rPr>
              <w:t>preferred stock to common stock in</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(23,081)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(70,906)</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46,162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70,860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70,906</w:t>
            </w:r>
          </w:p>
        </w:tc>
        <w:tc>
          <w:tcPr>
            <w:tcW w:w="0" w:type="dxa"/>
            <w:vAlign w:val="bottom"/>
          </w:tcPr>
          <w:p>
            <w:pPr>
              <w:spacing w:after="0"/>
              <w:rPr>
                <w:sz w:val="1"/>
                <w:szCs w:val="1"/>
                <w:color w:val="auto"/>
              </w:rPr>
            </w:pPr>
          </w:p>
        </w:tc>
      </w:tr>
      <w:tr>
        <w:trPr>
          <w:trHeight w:val="154"/>
        </w:trPr>
        <w:tc>
          <w:tcPr>
            <w:tcW w:w="2320" w:type="dxa"/>
            <w:vAlign w:val="bottom"/>
          </w:tcPr>
          <w:p>
            <w:pPr>
              <w:ind w:left="260"/>
              <w:spacing w:after="0"/>
              <w:rPr>
                <w:sz w:val="20"/>
                <w:szCs w:val="20"/>
                <w:color w:val="auto"/>
              </w:rPr>
            </w:pPr>
            <w:r>
              <w:rPr>
                <w:rFonts w:ascii="Arial" w:cs="Arial" w:eastAsia="Arial" w:hAnsi="Arial"/>
                <w:sz w:val="11"/>
                <w:szCs w:val="11"/>
                <w:color w:val="auto"/>
              </w:rPr>
              <w:t>connection with initial public offering</w:t>
            </w: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common stock in connection</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2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with initial public offering, net of</w:t>
            </w: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320" w:type="dxa"/>
            <w:vAlign w:val="bottom"/>
            <w:shd w:val="clear" w:color="auto" w:fill="CCEEFF"/>
          </w:tcPr>
          <w:p>
            <w:pPr>
              <w:ind w:left="260"/>
              <w:spacing w:after="0" w:line="111" w:lineRule="exact"/>
              <w:rPr>
                <w:sz w:val="20"/>
                <w:szCs w:val="20"/>
                <w:color w:val="auto"/>
              </w:rPr>
            </w:pPr>
            <w:r>
              <w:rPr>
                <w:rFonts w:ascii="Arial" w:cs="Arial" w:eastAsia="Arial" w:hAnsi="Arial"/>
                <w:sz w:val="11"/>
                <w:szCs w:val="11"/>
                <w:color w:val="auto"/>
              </w:rPr>
              <w:t>underwriting discounts and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21,989</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581,811</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581,833</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commissions</w:t>
            </w: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Private placement of common stock, net of</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20" w:type="dxa"/>
            <w:vAlign w:val="bottom"/>
          </w:tcPr>
          <w:p>
            <w:pPr>
              <w:ind w:left="260"/>
              <w:spacing w:after="0" w:line="113" w:lineRule="exact"/>
              <w:rPr>
                <w:sz w:val="20"/>
                <w:szCs w:val="20"/>
                <w:color w:val="auto"/>
              </w:rPr>
            </w:pPr>
            <w:r>
              <w:rPr>
                <w:rFonts w:ascii="Arial" w:cs="Arial" w:eastAsia="Arial" w:hAnsi="Arial"/>
                <w:sz w:val="11"/>
                <w:szCs w:val="11"/>
                <w:color w:val="auto"/>
              </w:rPr>
              <w:t>underwriting discounts and</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3,214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85,047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85,050</w:t>
            </w:r>
          </w:p>
        </w:tc>
        <w:tc>
          <w:tcPr>
            <w:tcW w:w="0" w:type="dxa"/>
            <w:vAlign w:val="bottom"/>
          </w:tcPr>
          <w:p>
            <w:pPr>
              <w:spacing w:after="0"/>
              <w:rPr>
                <w:sz w:val="1"/>
                <w:szCs w:val="1"/>
                <w:color w:val="auto"/>
              </w:rPr>
            </w:pPr>
          </w:p>
        </w:tc>
      </w:tr>
      <w:tr>
        <w:trPr>
          <w:trHeight w:val="154"/>
        </w:trPr>
        <w:tc>
          <w:tcPr>
            <w:tcW w:w="2320" w:type="dxa"/>
            <w:vAlign w:val="bottom"/>
          </w:tcPr>
          <w:p>
            <w:pPr>
              <w:ind w:left="260"/>
              <w:spacing w:after="0"/>
              <w:rPr>
                <w:sz w:val="20"/>
                <w:szCs w:val="20"/>
                <w:color w:val="auto"/>
              </w:rPr>
            </w:pPr>
            <w:r>
              <w:rPr>
                <w:rFonts w:ascii="Arial" w:cs="Arial" w:eastAsia="Arial" w:hAnsi="Arial"/>
                <w:sz w:val="11"/>
                <w:szCs w:val="11"/>
                <w:color w:val="auto"/>
              </w:rPr>
              <w:t>commissions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 issuance costs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(5,636)</w:t>
            </w: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Net issuance and repayments of full</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recourse notes receivable</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63"/>
        </w:trPr>
        <w:tc>
          <w:tcPr>
            <w:tcW w:w="2320" w:type="dxa"/>
            <w:vAlign w:val="bottom"/>
          </w:tcPr>
          <w:p>
            <w:pPr>
              <w:ind w:left="100"/>
              <w:spacing w:after="0"/>
              <w:rPr>
                <w:sz w:val="20"/>
                <w:szCs w:val="20"/>
                <w:color w:val="auto"/>
              </w:rPr>
            </w:pPr>
            <w:r>
              <w:rPr>
                <w:rFonts w:ascii="Arial" w:cs="Arial" w:eastAsia="Arial" w:hAnsi="Arial"/>
                <w:sz w:val="11"/>
                <w:szCs w:val="11"/>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12,032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12,032</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(108,664)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(108,664)</w:t>
            </w:r>
          </w:p>
        </w:tc>
        <w:tc>
          <w:tcPr>
            <w:tcW w:w="0" w:type="dxa"/>
            <w:vAlign w:val="bottom"/>
          </w:tcPr>
          <w:p>
            <w:pPr>
              <w:spacing w:after="0"/>
              <w:rPr>
                <w:sz w:val="1"/>
                <w:szCs w:val="1"/>
                <w:color w:val="auto"/>
              </w:rPr>
            </w:pPr>
          </w:p>
        </w:tc>
      </w:tr>
      <w:tr>
        <w:trPr>
          <w:trHeight w:val="159"/>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198,084</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947,160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(748,012)</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(1,795)</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197,551</w:t>
            </w: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common stock upon exercise</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540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2,436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2,436</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of stock options and ESPP</w:t>
            </w: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20" w:type="dxa"/>
            <w:vAlign w:val="bottom"/>
          </w:tcPr>
          <w:p>
            <w:pPr>
              <w:ind w:left="100"/>
              <w:spacing w:after="0" w:line="124" w:lineRule="exact"/>
              <w:rPr>
                <w:sz w:val="20"/>
                <w:szCs w:val="20"/>
                <w:color w:val="auto"/>
              </w:rPr>
            </w:pPr>
            <w:r>
              <w:rPr>
                <w:rFonts w:ascii="Arial" w:cs="Arial" w:eastAsia="Arial" w:hAnsi="Arial"/>
                <w:sz w:val="11"/>
                <w:szCs w:val="11"/>
                <w:color w:val="auto"/>
              </w:rPr>
              <w:t>Issuance of common stock upon vesting of</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1"/>
                <w:szCs w:val="11"/>
                <w:color w:val="auto"/>
              </w:rPr>
              <w:t>1,458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1"/>
        </w:trPr>
        <w:tc>
          <w:tcPr>
            <w:tcW w:w="2320" w:type="dxa"/>
            <w:vAlign w:val="bottom"/>
          </w:tcPr>
          <w:p>
            <w:pPr>
              <w:ind w:left="260"/>
              <w:spacing w:after="0"/>
              <w:rPr>
                <w:sz w:val="20"/>
                <w:szCs w:val="20"/>
                <w:color w:val="auto"/>
              </w:rPr>
            </w:pPr>
            <w:r>
              <w:rPr>
                <w:rFonts w:ascii="Arial" w:cs="Arial" w:eastAsia="Arial" w:hAnsi="Arial"/>
                <w:sz w:val="11"/>
                <w:szCs w:val="11"/>
                <w:color w:val="auto"/>
              </w:rPr>
              <w:t>restricted stock unit awards</w:t>
            </w: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CEEFF"/>
          </w:tcPr>
          <w:p>
            <w:pPr>
              <w:ind w:left="100"/>
              <w:spacing w:after="0" w:line="126" w:lineRule="exact"/>
              <w:rPr>
                <w:sz w:val="20"/>
                <w:szCs w:val="20"/>
                <w:color w:val="auto"/>
              </w:rPr>
            </w:pPr>
            <w:r>
              <w:rPr>
                <w:rFonts w:ascii="Arial" w:cs="Arial" w:eastAsia="Arial" w:hAnsi="Arial"/>
                <w:sz w:val="11"/>
                <w:szCs w:val="11"/>
                <w:color w:val="auto"/>
              </w:rPr>
              <w:t>Shares surrendered for settlement of</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minimum statutory tax withholdings</w:t>
            </w: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82,995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82,995</w:t>
            </w: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Repurchase and retirement of common</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(9,256)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(95,117)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(95,126)</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100"/>
              <w:spacing w:after="0"/>
              <w:rPr>
                <w:sz w:val="20"/>
                <w:szCs w:val="20"/>
                <w:color w:val="auto"/>
              </w:rPr>
            </w:pPr>
            <w:r>
              <w:rPr>
                <w:rFonts w:ascii="Arial" w:cs="Arial" w:eastAsia="Arial" w:hAnsi="Arial"/>
                <w:sz w:val="11"/>
                <w:szCs w:val="11"/>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3,292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3,292</w:t>
            </w: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(48,733)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(48,733)</w:t>
            </w:r>
          </w:p>
        </w:tc>
        <w:tc>
          <w:tcPr>
            <w:tcW w:w="0" w:type="dxa"/>
            <w:vAlign w:val="bottom"/>
          </w:tcPr>
          <w:p>
            <w:pPr>
              <w:spacing w:after="0"/>
              <w:rPr>
                <w:sz w:val="1"/>
                <w:szCs w:val="1"/>
                <w:color w:val="auto"/>
              </w:rPr>
            </w:pPr>
          </w:p>
        </w:tc>
      </w:tr>
      <w:tr>
        <w:trPr>
          <w:trHeight w:val="211"/>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190,822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1,032,550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(891,862)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1,497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142,375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65" w:name="page66"/>
    <w:bookmarkEnd w:id="65"/>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19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9,896</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21,745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20,097</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Amortization of prior hedge effectiveness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3,481</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right-of-use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80,469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112,596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12,894</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Impairment of other equity security</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available for sale debt security</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Discontinuance of interest rate swaps and write-off of prior hedge effectiveness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Loss on sale of business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1,764</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financial guarantee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Change in fair value of derivative instruments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other equity security</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Unrealized foreign exchange loss (gain)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(1,755)</w:t>
            </w: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59"/>
        </w:trPr>
        <w:tc>
          <w:tcPr>
            <w:tcW w:w="6920" w:type="dxa"/>
            <w:vAlign w:val="bottom"/>
          </w:tcPr>
          <w:p>
            <w:pPr>
              <w:ind w:left="340"/>
              <w:spacing w:after="0" w:line="159" w:lineRule="exact"/>
              <w:rPr>
                <w:sz w:val="20"/>
                <w:szCs w:val="20"/>
                <w:color w:val="auto"/>
              </w:rPr>
            </w:pPr>
            <w:r>
              <w:rPr>
                <w:rFonts w:ascii="Arial" w:cs="Arial" w:eastAsia="Arial" w:hAnsi="Arial"/>
                <w:sz w:val="16"/>
                <w:szCs w:val="16"/>
                <w:color w:val="auto"/>
              </w:rPr>
              <w:t>Changes in operating assets and liabilities, net of effects of business combinations, asset</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8"/>
        </w:trPr>
        <w:tc>
          <w:tcPr>
            <w:tcW w:w="6920" w:type="dxa"/>
            <w:vAlign w:val="bottom"/>
          </w:tcPr>
          <w:p>
            <w:pPr>
              <w:ind w:left="500"/>
              <w:spacing w:after="0"/>
              <w:rPr>
                <w:sz w:val="20"/>
                <w:szCs w:val="20"/>
                <w:color w:val="auto"/>
              </w:rPr>
            </w:pPr>
            <w:r>
              <w:rPr>
                <w:rFonts w:ascii="Arial" w:cs="Arial" w:eastAsia="Arial" w:hAnsi="Arial"/>
                <w:sz w:val="16"/>
                <w:szCs w:val="16"/>
                <w:color w:val="auto"/>
              </w:rPr>
              <w:t>acquisition and disposal of business: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09"/>
        </w:trPr>
        <w:tc>
          <w:tcPr>
            <w:tcW w:w="6920" w:type="dxa"/>
            <w:vAlign w:val="bottom"/>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2"/>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r>
      <w:tr>
        <w:trPr>
          <w:trHeight w:val="209"/>
        </w:trPr>
        <w:tc>
          <w:tcPr>
            <w:tcW w:w="692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12,416</w:t>
            </w:r>
          </w:p>
        </w:tc>
      </w:tr>
      <w:tr>
        <w:trPr>
          <w:trHeight w:val="212"/>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r>
      <w:tr>
        <w:trPr>
          <w:trHeight w:val="209"/>
        </w:trPr>
        <w:tc>
          <w:tcPr>
            <w:tcW w:w="692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Income tax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692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17,079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23,204</w:t>
            </w:r>
          </w:p>
        </w:tc>
      </w:tr>
      <w:tr>
        <w:trPr>
          <w:trHeight w:val="205"/>
        </w:trPr>
        <w:tc>
          <w:tcPr>
            <w:tcW w:w="69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73,837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93,049</w:t>
            </w: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Asset acquisition, net of cash acquired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acquisition working capital adjustment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(10,587)</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upon extinguishment of interest rate swaps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Purchase of other equity security</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Sale of business, net of cash sold</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05"/>
        </w:trPr>
        <w:tc>
          <w:tcPr>
            <w:tcW w:w="692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(30,622)</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(77,673)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(12,727)</w:t>
            </w:r>
          </w:p>
        </w:tc>
        <w:tc>
          <w:tcPr>
            <w:tcW w:w="0" w:type="dxa"/>
            <w:vAlign w:val="bottom"/>
          </w:tcPr>
          <w:p>
            <w:pPr>
              <w:spacing w:after="0"/>
              <w:rPr>
                <w:sz w:val="1"/>
                <w:szCs w:val="1"/>
                <w:color w:val="auto"/>
              </w:rPr>
            </w:pP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finance and capital lease obligations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2018 Term Loan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Proceeds from 2018 Revolving Facility</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2018 Revolving Facility</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Repayment of hybrid debt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upon extinguishment of hybrid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Payment of contingent consideration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Tender offer costs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special dividends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59"/>
        </w:trPr>
        <w:tc>
          <w:tcPr>
            <w:tcW w:w="6920" w:type="dxa"/>
            <w:vAlign w:val="bottom"/>
          </w:tcPr>
          <w:p>
            <w:pPr>
              <w:ind w:left="20"/>
              <w:spacing w:after="0" w:line="159" w:lineRule="exact"/>
              <w:rPr>
                <w:sz w:val="20"/>
                <w:szCs w:val="20"/>
                <w:color w:val="auto"/>
              </w:rPr>
            </w:pPr>
            <w:r>
              <w:rPr>
                <w:rFonts w:ascii="Arial" w:cs="Arial" w:eastAsia="Arial" w:hAnsi="Arial"/>
                <w:sz w:val="16"/>
                <w:szCs w:val="16"/>
                <w:color w:val="auto"/>
              </w:rPr>
              <w:t>Proceeds from issuance of common stock in initial public offering, net of underwriting discounts</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581,833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920" w:type="dxa"/>
            <w:vAlign w:val="bottom"/>
          </w:tcPr>
          <w:p>
            <w:pPr>
              <w:ind w:left="180"/>
              <w:spacing w:after="0"/>
              <w:rPr>
                <w:sz w:val="20"/>
                <w:szCs w:val="20"/>
                <w:color w:val="auto"/>
              </w:rPr>
            </w:pPr>
            <w:r>
              <w:rPr>
                <w:rFonts w:ascii="Arial" w:cs="Arial" w:eastAsia="Arial" w:hAnsi="Arial"/>
                <w:sz w:val="16"/>
                <w:szCs w:val="16"/>
                <w:color w:val="auto"/>
              </w:rPr>
              <w:t>and commissions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private placement, net of underwriting discounts and commissions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Payment of stock issuance costs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stock for tax withholding obligations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issuance of stock under employee stock plans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(15,089)</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 equivalent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 equivalent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65,290</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equivalent, at beginning of the period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239,297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74,180</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equivalent, at end of the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189,082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year for: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12,284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27,864</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158"/>
        </w:trPr>
        <w:tc>
          <w:tcPr>
            <w:tcW w:w="69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Reconciliation of cash, cash equivalents, and restricted cash equivalent reported in the</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180"/>
              <w:spacing w:after="0"/>
              <w:rPr>
                <w:sz w:val="20"/>
                <w:szCs w:val="20"/>
                <w:color w:val="auto"/>
              </w:rPr>
            </w:pPr>
            <w:r>
              <w:rPr>
                <w:rFonts w:ascii="Arial" w:cs="Arial" w:eastAsia="Arial" w:hAnsi="Arial"/>
                <w:sz w:val="16"/>
                <w:szCs w:val="16"/>
                <w:b w:val="1"/>
                <w:bCs w:val="1"/>
                <w:color w:val="auto"/>
              </w:rPr>
              <w:t>consolidated balance sheets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189,082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114,470</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Restricted cash equivalent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40"/>
        </w:trPr>
        <w:tc>
          <w:tcPr>
            <w:tcW w:w="692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6"/>
                <w:szCs w:val="16"/>
                <w:color w:val="auto"/>
                <w:w w:val="99"/>
              </w:rPr>
              <w:t>Total cash, cash equivalents, and restricted cash equivalent shown in the consolidated statements</w:t>
            </w:r>
          </w:p>
        </w:tc>
        <w:tc>
          <w:tcPr>
            <w:tcW w:w="300" w:type="dxa"/>
            <w:vAlign w:val="bottom"/>
            <w:tcBorders>
              <w:top w:val="single" w:sz="8" w:color="auto"/>
            </w:tcBorders>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189,082</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139,470</w:t>
            </w: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cash flows</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2,526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0"/>
        </w:trPr>
        <w:tc>
          <w:tcPr>
            <w:tcW w:w="69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Purchase of property and equipment included in accounts payable and accrued expenses and</w:t>
            </w: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646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920" w:type="dxa"/>
            <w:vAlign w:val="bottom"/>
          </w:tcPr>
          <w:p>
            <w:pPr>
              <w:ind w:left="20"/>
              <w:spacing w:after="0" w:line="159" w:lineRule="exact"/>
              <w:rPr>
                <w:sz w:val="20"/>
                <w:szCs w:val="20"/>
                <w:color w:val="auto"/>
              </w:rPr>
            </w:pPr>
            <w:r>
              <w:rPr>
                <w:rFonts w:ascii="Arial" w:cs="Arial" w:eastAsia="Arial" w:hAnsi="Arial"/>
                <w:sz w:val="16"/>
                <w:szCs w:val="16"/>
                <w:color w:val="auto"/>
              </w:rPr>
              <w:t>Conversion of Series A redeemable convertible preferred stock into common stock in connection</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70,906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920" w:type="dxa"/>
            <w:vAlign w:val="bottom"/>
          </w:tcPr>
          <w:p>
            <w:pPr>
              <w:ind w:left="180"/>
              <w:spacing w:after="0"/>
              <w:rPr>
                <w:sz w:val="20"/>
                <w:szCs w:val="20"/>
                <w:color w:val="auto"/>
              </w:rPr>
            </w:pPr>
            <w:r>
              <w:rPr>
                <w:rFonts w:ascii="Arial" w:cs="Arial" w:eastAsia="Arial" w:hAnsi="Arial"/>
                <w:sz w:val="16"/>
                <w:szCs w:val="16"/>
                <w:color w:val="auto"/>
              </w:rPr>
              <w:t>with initial public offering</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hedged interest rate swaps and interest rate cap</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Transfer of interest rate swaps derivative liability to hybrid debt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12,345</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for business acquired</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108"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are referred to herein as “we,” “us,” or “our,”.</w:t>
      </w:r>
    </w:p>
    <w:p>
      <w:pPr>
        <w:spacing w:after="0" w:line="47" w:lineRule="exact"/>
        <w:rPr>
          <w:sz w:val="20"/>
          <w:szCs w:val="20"/>
          <w:color w:val="auto"/>
        </w:rPr>
      </w:pPr>
    </w:p>
    <w:p>
      <w:pPr>
        <w:ind w:right="360" w:firstLine="395"/>
        <w:spacing w:after="0" w:line="278" w:lineRule="auto"/>
        <w:rPr>
          <w:sz w:val="20"/>
          <w:szCs w:val="20"/>
          <w:color w:val="auto"/>
        </w:rPr>
      </w:pPr>
      <w:r>
        <w:rPr>
          <w:rFonts w:ascii="Arial" w:cs="Arial" w:eastAsia="Arial" w:hAnsi="Arial"/>
          <w:sz w:val="15"/>
          <w:szCs w:val="15"/>
          <w:color w:val="auto"/>
        </w:rPr>
        <w:t>We are a provider of services that meet the legal needs of small businesses and consumers. Our position at business inception allows us to become a trusted business advisor, supporting the evolving needs of a new business across its lifecycle. Along with business formation, our offerings include ongoing compliance and tax advice and filings, virtual mailbox solutions, trademark filings, and estate plans. Additionally, we have insights into our customers and leverage our offerings as a channel to introduce small businesses to leading brands in our partner ecosystem, solving even more of their business needs.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Public Offering</w:t>
      </w:r>
    </w:p>
    <w:p>
      <w:pPr>
        <w:spacing w:after="0" w:line="106"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79"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46,162,160 shares of common stock. Following the completion of the IPO, we have one class of authorized and outstanding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summary of the significant accounting policies we follow in the preparation of the accompanying consolidated financial statements is set forth below.</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06" w:lineRule="exact"/>
        <w:rPr>
          <w:sz w:val="20"/>
          <w:szCs w:val="20"/>
          <w:color w:val="auto"/>
        </w:rPr>
      </w:pPr>
    </w:p>
    <w:p>
      <w:pPr>
        <w:ind w:right="280" w:firstLine="395"/>
        <w:spacing w:after="0" w:line="270" w:lineRule="auto"/>
        <w:rPr>
          <w:sz w:val="20"/>
          <w:szCs w:val="20"/>
          <w:color w:val="auto"/>
        </w:rPr>
      </w:pPr>
      <w:r>
        <w:rPr>
          <w:rFonts w:ascii="Arial" w:cs="Arial" w:eastAsia="Arial" w:hAnsi="Arial"/>
          <w:sz w:val="16"/>
          <w:szCs w:val="16"/>
          <w:color w:val="auto"/>
        </w:rPr>
        <w:t>The accompanying consolidated financial statements are presented in accordance with accounting principles generally accepted in the United States of America, or GAAP. All intercompany balances and transactions have been eliminated in consolidation.</w:t>
      </w:r>
    </w:p>
    <w:p>
      <w:pPr>
        <w:spacing w:after="0" w:line="73"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On occasion, we enter into relationships or investments with other entities that may be a variable interest entity, or VIE. We analyze our interests, including agreements, loans, guarantees, and equity investments on a periodic basis to determine if such interests are variable interests. If variable interests are identified, then the related entity is assessed to determine if it is a VIE. If we determine that the entity is a VIE, we then assess if we must consolidate the VIE as the primary beneficiary. Our determination of whether we are the primary beneficiary is based upon qualitative and quantitative analyses, which assess the purpose and design of the VIE, the nature of the VIE’s risks and the risks that we absorb, the power to direct activities that most significantly impact the economic performance of the VIE, and the obligation to absorb losses or the right to receive benefits that could be significant to the VIE.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06" w:lineRule="exact"/>
        <w:rPr>
          <w:sz w:val="20"/>
          <w:szCs w:val="20"/>
          <w:color w:val="auto"/>
        </w:rPr>
      </w:pPr>
    </w:p>
    <w:p>
      <w:pPr>
        <w:ind w:firstLine="395"/>
        <w:spacing w:after="0" w:line="234"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fair value of derivative instruments and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i w:val="1"/>
          <w:iCs w:val="1"/>
          <w:color w:val="auto"/>
        </w:rPr>
        <w:t>Business Combinations</w:t>
      </w:r>
    </w:p>
    <w:p>
      <w:pPr>
        <w:spacing w:after="0" w:line="106" w:lineRule="exact"/>
        <w:rPr>
          <w:sz w:val="20"/>
          <w:szCs w:val="20"/>
          <w:color w:val="auto"/>
        </w:rPr>
      </w:pPr>
    </w:p>
    <w:p>
      <w:pPr>
        <w:ind w:right="260" w:firstLine="395"/>
        <w:spacing w:after="0" w:line="263" w:lineRule="auto"/>
        <w:rPr>
          <w:sz w:val="20"/>
          <w:szCs w:val="20"/>
          <w:color w:val="auto"/>
        </w:rPr>
      </w:pPr>
      <w:r>
        <w:rPr>
          <w:rFonts w:ascii="Arial" w:cs="Arial" w:eastAsia="Arial" w:hAnsi="Arial"/>
          <w:sz w:val="16"/>
          <w:szCs w:val="16"/>
          <w:color w:val="auto"/>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spacing w:after="0" w:line="79" w:lineRule="exact"/>
        <w:rPr>
          <w:sz w:val="20"/>
          <w:szCs w:val="20"/>
          <w:color w:val="auto"/>
        </w:rPr>
      </w:pPr>
    </w:p>
    <w:p>
      <w:pPr>
        <w:ind w:right="100" w:firstLine="395"/>
        <w:spacing w:after="0" w:line="278" w:lineRule="auto"/>
        <w:rPr>
          <w:sz w:val="20"/>
          <w:szCs w:val="20"/>
          <w:color w:val="auto"/>
        </w:rPr>
      </w:pPr>
      <w:r>
        <w:rPr>
          <w:rFonts w:ascii="Arial" w:cs="Arial" w:eastAsia="Arial" w:hAnsi="Arial"/>
          <w:sz w:val="15"/>
          <w:szCs w:val="15"/>
          <w:color w:val="auto"/>
        </w:rPr>
        <w:t>We perform valuations of assets acquired and liabilities assumed for an acquisition and allocate the purchase price to their respective net tangible and intangible assets. Determining the fair value of assets acquired and liabilities assumed requires management to use judgment and estimates including the selection of valuation methodologies, estimates of cash flows, discount rates and selection of comparable companies. We generally engage the assistance of a third-party valuation firm in determining fair values of assets acquired and liabilities assumed and contingent consideration, if any, in a business combination.</w:t>
      </w:r>
    </w:p>
    <w:p>
      <w:pPr>
        <w:spacing w:after="0" w:line="56" w:lineRule="exact"/>
        <w:rPr>
          <w:sz w:val="20"/>
          <w:szCs w:val="20"/>
          <w:color w:val="auto"/>
        </w:rPr>
      </w:pPr>
    </w:p>
    <w:p>
      <w:pPr>
        <w:ind w:right="560" w:firstLine="395"/>
        <w:spacing w:after="0" w:line="287" w:lineRule="auto"/>
        <w:rPr>
          <w:sz w:val="20"/>
          <w:szCs w:val="20"/>
          <w:color w:val="auto"/>
        </w:rPr>
      </w:pPr>
      <w:r>
        <w:rPr>
          <w:rFonts w:ascii="Arial" w:cs="Arial" w:eastAsia="Arial" w:hAnsi="Arial"/>
          <w:sz w:val="16"/>
          <w:szCs w:val="16"/>
          <w:color w:val="auto"/>
        </w:rPr>
        <w:t>Transaction costs associated with business combinations are expensed as incurred and are included in general and administrative expenses in the accompanying consolidated statements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 Acquisitions</w:t>
      </w:r>
    </w:p>
    <w:p>
      <w:pPr>
        <w:spacing w:after="0" w:line="92" w:lineRule="exact"/>
        <w:rPr>
          <w:sz w:val="20"/>
          <w:szCs w:val="20"/>
          <w:color w:val="auto"/>
        </w:rPr>
      </w:pPr>
    </w:p>
    <w:p>
      <w:pPr>
        <w:ind w:right="40" w:firstLine="395"/>
        <w:spacing w:after="0" w:line="235" w:lineRule="auto"/>
        <w:rPr>
          <w:sz w:val="20"/>
          <w:szCs w:val="20"/>
          <w:color w:val="auto"/>
        </w:rPr>
      </w:pPr>
      <w:r>
        <w:rPr>
          <w:rFonts w:ascii="Arial" w:cs="Arial" w:eastAsia="Arial" w:hAnsi="Arial"/>
          <w:sz w:val="16"/>
          <w:szCs w:val="16"/>
          <w:color w:val="auto"/>
        </w:rPr>
        <w:t>We evaluate acquisitions to determine whether the acquisition should be classified as either a business combination or an asset acquisition. Acquisitions for which substantially all of the fair value of the gross assets acquired are concentrated in a single identifiable asset or a group of similar identifiable assets are accounted for as an asset acquisition. If the gross assets are not concentrated in a single asset or group of similar assets, we then determine if the set of assets acquired represents a business. A business is an integrated set of activities and assets capable of being conducted and managed for the purpose of providing a return. Depending on the nature of the acquisition, judgment may be required to determine if the set of assets acquired is a business combination or not. We allocate the purchase price on a relative fair value basis and capitalize direct acquisition related costs as part of the purchase price. In making estimates of fair values for purposes of allocating the purchase price, we utilize an independent third-party to value the net tangible and identified intangible assets in connection with the acquisition.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0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Our Chief Executive Officer, as the Chief Operating Decision Maker organizes our company, manages resource allocations, and measures performance on the basis of one operating segment.</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outside of the U.S., based on the location of the customer, represented less than 1% of our revenue for the years ended December 31, 2022,</w:t>
      </w:r>
    </w:p>
    <w:p>
      <w:pPr>
        <w:spacing w:after="0" w:line="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2021 and 2020. Our property and equipment located outside of the U.S. was less than 1% of our consolidated property and equipment as of December 31, 2022 and 2021.</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119" w:lineRule="exact"/>
        <w:rPr>
          <w:sz w:val="20"/>
          <w:szCs w:val="20"/>
          <w:color w:val="auto"/>
        </w:rPr>
      </w:pPr>
    </w:p>
    <w:p>
      <w:pPr>
        <w:ind w:right="60" w:firstLine="395"/>
        <w:spacing w:after="0" w:line="272" w:lineRule="auto"/>
        <w:rPr>
          <w:sz w:val="20"/>
          <w:szCs w:val="20"/>
          <w:color w:val="auto"/>
        </w:rPr>
      </w:pPr>
      <w:r>
        <w:rPr>
          <w:rFonts w:ascii="Arial" w:cs="Arial" w:eastAsia="Arial" w:hAnsi="Arial"/>
          <w:sz w:val="15"/>
          <w:szCs w:val="15"/>
          <w:color w:val="auto"/>
        </w:rPr>
        <w:t>The British Pound Sterling is the functional currency for our foreign subsidiaries in U.K.. The financial statements of these foreign subsidiaries in U.K.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(loss) as a component of our consolidated statements of redeemable convertible preferred stock and stockholders’ equity (deficit). We recognized foreign currency transaction losses in the accompanying consolidated statement of operations of $3.6 million and $0.9 million for 2022, 2021, and gain of $1.8 million for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119" w:lineRule="exact"/>
        <w:rPr>
          <w:sz w:val="20"/>
          <w:szCs w:val="20"/>
          <w:color w:val="auto"/>
        </w:rPr>
      </w:pPr>
    </w:p>
    <w:p>
      <w:pPr>
        <w:ind w:right="120" w:firstLine="395"/>
        <w:spacing w:after="0" w:line="255"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5"/>
          <w:szCs w:val="15"/>
          <w:color w:val="auto"/>
        </w:rPr>
        <w:t>Quoted prices in active markets for identical assets and liabilities.</w:t>
      </w:r>
    </w:p>
    <w:p>
      <w:pPr>
        <w:spacing w:after="0" w:line="27" w:lineRule="exact"/>
        <w:rPr>
          <w:sz w:val="20"/>
          <w:szCs w:val="20"/>
          <w:color w:val="auto"/>
        </w:rPr>
      </w:pPr>
    </w:p>
    <w:p>
      <w:pPr>
        <w:ind w:left="1200" w:right="20" w:hanging="1170"/>
        <w:spacing w:after="0" w:line="283" w:lineRule="auto"/>
        <w:tabs>
          <w:tab w:leader="none" w:pos="118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Quoted prices for identical assets and liabilities in markets that are not active, quoted prices for similar assets and liabilities in active markets or financial instruments for which significant inputs are observable, either directly or indirectly.</w:t>
      </w:r>
    </w:p>
    <w:p>
      <w:pPr>
        <w:ind w:left="20"/>
        <w:spacing w:after="0"/>
        <w:tabs>
          <w:tab w:leader="none" w:pos="118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At December 31, 2022 and 2021, our financial assets and liabilities recorded at fair value on a recurring basis consist of a cash equivalent and available-for-sale debt securities and contingent consideration from acquisitions. The cash equivalent consists of a money market fund valued using quoted prices in active markets, which represents Level 1 inputs in the fair value hierarchy. The available-for-sale debt securities are valued using a Monte Carlo simulation, which include inputs that represent Level 3 inputs in the fair value hierarchy. Contingent consideration is valued using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the present value and probability of the estimated future cash outflow, which include inputs that represent Level 3 inputs in the fair value hierarchy.</w:t>
      </w:r>
    </w:p>
    <w:p>
      <w:pPr>
        <w:spacing w:after="0" w:line="106"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19"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73" w:lineRule="exact"/>
        <w:rPr>
          <w:sz w:val="20"/>
          <w:szCs w:val="20"/>
          <w:color w:val="auto"/>
        </w:rPr>
      </w:pPr>
    </w:p>
    <w:p>
      <w:pPr>
        <w:ind w:right="380" w:firstLine="395"/>
        <w:spacing w:after="0" w:line="322" w:lineRule="auto"/>
        <w:rPr>
          <w:sz w:val="20"/>
          <w:szCs w:val="20"/>
          <w:color w:val="auto"/>
        </w:rPr>
      </w:pPr>
      <w:r>
        <w:rPr>
          <w:rFonts w:ascii="Arial" w:cs="Arial" w:eastAsia="Arial" w:hAnsi="Arial"/>
          <w:sz w:val="15"/>
          <w:szCs w:val="15"/>
          <w:color w:val="auto"/>
        </w:rPr>
        <w:t>Due to a large and diverse customer base, no individual customer represented more than 1% of total revenue in December 31, 2022, 2021 and 2020, respectively. At December 31, 2022 and 2021, there were no customers with an outstanding balance of 10% or more of our accounts receivable balance.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Cash and cash equivalents consist of highly liquid investments with original maturities of ninety days or less from the date of purchase. At December 31,</w:t>
      </w:r>
    </w:p>
    <w:p>
      <w:pPr>
        <w:spacing w:after="0" w:line="2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2022 and 2021, our cash consisted of bank account deposits and our cash equivalent consisted of $130.2 million and $30.2 million invested in a money market fund,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Cash Equivalent</w:t>
      </w:r>
    </w:p>
    <w:p>
      <w:pPr>
        <w:spacing w:after="0" w:line="119"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Our restricted cash equivalent balance of $25.0 million as of December 31, 2020 represented cash required to be held as collateral by a financial institution to guarantee up to half of a $$50.0 million personal loan provided by the financial institution to a former executive officer. At December 31, 2020, our restricted cash equivalent of $25.0 million was invested in a money market fund with the same financial institution.</w:t>
      </w:r>
    </w:p>
    <w:p>
      <w:pPr>
        <w:spacing w:after="0" w:line="66" w:lineRule="exact"/>
        <w:rPr>
          <w:sz w:val="20"/>
          <w:szCs w:val="20"/>
          <w:color w:val="auto"/>
        </w:rPr>
      </w:pPr>
    </w:p>
    <w:p>
      <w:pPr>
        <w:ind w:right="60" w:firstLine="395"/>
        <w:spacing w:after="0" w:line="270" w:lineRule="auto"/>
        <w:rPr>
          <w:sz w:val="20"/>
          <w:szCs w:val="20"/>
          <w:color w:val="auto"/>
        </w:rPr>
      </w:pPr>
      <w:r>
        <w:rPr>
          <w:rFonts w:ascii="Arial" w:cs="Arial" w:eastAsia="Arial" w:hAnsi="Arial"/>
          <w:sz w:val="16"/>
          <w:szCs w:val="16"/>
          <w:color w:val="auto"/>
        </w:rPr>
        <w:t>In June 2021, our financial guarantee of the personal loan of a former executive officer was terminated. The associated restricted cash equivalent of $25.0 million became unrestricted and was reclassified to cash and cash equivalents.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and Allowance for Credit Losses</w:t>
      </w:r>
    </w:p>
    <w:p>
      <w:pPr>
        <w:spacing w:after="0" w:line="106"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As of December 31, 2022 and 2021, the allowance for credit losses was not material.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and Equipment</w:t>
      </w:r>
    </w:p>
    <w:p>
      <w:pPr>
        <w:spacing w:after="0" w:line="106" w:lineRule="exact"/>
        <w:rPr>
          <w:sz w:val="20"/>
          <w:szCs w:val="20"/>
          <w:color w:val="auto"/>
        </w:rPr>
      </w:pPr>
    </w:p>
    <w:p>
      <w:pPr>
        <w:ind w:right="20" w:firstLine="395"/>
        <w:spacing w:after="0" w:line="261" w:lineRule="auto"/>
        <w:rPr>
          <w:sz w:val="20"/>
          <w:szCs w:val="20"/>
          <w:color w:val="auto"/>
        </w:rPr>
      </w:pPr>
      <w:r>
        <w:rPr>
          <w:rFonts w:ascii="Arial" w:cs="Arial" w:eastAsia="Arial" w:hAnsi="Arial"/>
          <w:sz w:val="16"/>
          <w:szCs w:val="16"/>
          <w:color w:val="auto"/>
        </w:rPr>
        <w:t>Property and equipment are stated at cost, less accumulated depreciation. Repairs and maintenance are expensed as incurred whereas significant renewals and enhancements are capitalized. When assets are retired or otherwise disposed of, the cost and the related accumulated depreciation are removed from the respective accounts and any resulting gain or loss is reflected in our results of operations. Depreciation is calculated using the straight-line method over the estimated useful lives of the related assets as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7"/>
              </w:rPr>
              <w:t>Useful Life</w:t>
            </w:r>
          </w:p>
        </w:tc>
      </w:tr>
      <w:tr>
        <w:trPr>
          <w:trHeight w:val="211"/>
        </w:trPr>
        <w:tc>
          <w:tcPr>
            <w:tcW w:w="894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(Years)</w:t>
            </w:r>
          </w:p>
        </w:tc>
      </w:tr>
      <w:tr>
        <w:trPr>
          <w:trHeight w:val="201"/>
        </w:trPr>
        <w:tc>
          <w:tcPr>
            <w:tcW w:w="8940" w:type="dxa"/>
            <w:vAlign w:val="bottom"/>
          </w:tcPr>
          <w:p>
            <w:pPr>
              <w:spacing w:after="0"/>
              <w:rPr>
                <w:sz w:val="20"/>
                <w:szCs w:val="20"/>
                <w:color w:val="auto"/>
              </w:rPr>
            </w:pPr>
            <w:r>
              <w:rPr>
                <w:rFonts w:ascii="Arial" w:cs="Arial" w:eastAsia="Arial" w:hAnsi="Arial"/>
                <w:sz w:val="16"/>
                <w:szCs w:val="16"/>
                <w:color w:val="auto"/>
              </w:rPr>
              <w:t>Purchased and internally developed internal-use software</w:t>
            </w:r>
          </w:p>
        </w:tc>
        <w:tc>
          <w:tcPr>
            <w:tcW w:w="190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Building and building improvements</w:t>
            </w: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5–30</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Land improvements</w:t>
            </w:r>
          </w:p>
        </w:tc>
        <w:tc>
          <w:tcPr>
            <w:tcW w:w="190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1900" w:type="dxa"/>
            <w:vAlign w:val="bottom"/>
          </w:tcPr>
          <w:p>
            <w:pPr>
              <w:jc w:val="center"/>
              <w:spacing w:after="0"/>
              <w:rPr>
                <w:sz w:val="20"/>
                <w:szCs w:val="20"/>
                <w:color w:val="auto"/>
              </w:rPr>
            </w:pPr>
            <w:r>
              <w:rPr>
                <w:rFonts w:ascii="Arial" w:cs="Arial" w:eastAsia="Arial" w:hAnsi="Arial"/>
                <w:sz w:val="16"/>
                <w:szCs w:val="16"/>
                <w:color w:val="auto"/>
              </w:rPr>
              <w:t>5</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Computer hardware</w:t>
            </w:r>
          </w:p>
        </w:tc>
        <w:tc>
          <w:tcPr>
            <w:tcW w:w="190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Land</w:t>
            </w:r>
          </w:p>
        </w:tc>
        <w:tc>
          <w:tcPr>
            <w:tcW w:w="1900" w:type="dxa"/>
            <w:vAlign w:val="bottom"/>
          </w:tcPr>
          <w:p>
            <w:pPr>
              <w:jc w:val="center"/>
              <w:spacing w:after="0"/>
              <w:rPr>
                <w:sz w:val="20"/>
                <w:szCs w:val="20"/>
                <w:color w:val="auto"/>
              </w:rPr>
            </w:pPr>
            <w:r>
              <w:rPr>
                <w:rFonts w:ascii="Arial" w:cs="Arial" w:eastAsia="Arial" w:hAnsi="Arial"/>
                <w:sz w:val="16"/>
                <w:szCs w:val="16"/>
                <w:color w:val="auto"/>
                <w:w w:val="98"/>
              </w:rPr>
              <w:t>Indefinite</w:t>
            </w:r>
          </w:p>
        </w:tc>
      </w:tr>
      <w:tr>
        <w:trPr>
          <w:trHeight w:val="162"/>
        </w:trPr>
        <w:tc>
          <w:tcPr>
            <w:tcW w:w="8940" w:type="dxa"/>
            <w:vAlign w:val="bottom"/>
          </w:tcPr>
          <w:p>
            <w:pPr>
              <w:spacing w:after="0" w:line="161" w:lineRule="exact"/>
              <w:rPr>
                <w:sz w:val="20"/>
                <w:szCs w:val="20"/>
                <w:color w:val="auto"/>
              </w:rPr>
            </w:pPr>
            <w:r>
              <w:rPr>
                <w:rFonts w:ascii="Arial" w:cs="Arial" w:eastAsia="Arial" w:hAnsi="Arial"/>
                <w:sz w:val="16"/>
                <w:szCs w:val="16"/>
                <w:color w:val="auto"/>
              </w:rPr>
              <w:t>Leasehold improvements</w:t>
            </w:r>
          </w:p>
        </w:tc>
        <w:tc>
          <w:tcPr>
            <w:tcW w:w="1900" w:type="dxa"/>
            <w:vAlign w:val="bottom"/>
          </w:tcPr>
          <w:p>
            <w:pPr>
              <w:jc w:val="center"/>
              <w:spacing w:after="0" w:line="161" w:lineRule="exact"/>
              <w:rPr>
                <w:sz w:val="20"/>
                <w:szCs w:val="20"/>
                <w:color w:val="auto"/>
              </w:rPr>
            </w:pPr>
            <w:r>
              <w:rPr>
                <w:rFonts w:ascii="Arial" w:cs="Arial" w:eastAsia="Arial" w:hAnsi="Arial"/>
                <w:sz w:val="16"/>
                <w:szCs w:val="16"/>
                <w:color w:val="auto"/>
                <w:w w:val="99"/>
              </w:rPr>
              <w:t>Shorter of lease term</w:t>
            </w:r>
          </w:p>
        </w:tc>
      </w:tr>
      <w:tr>
        <w:trPr>
          <w:trHeight w:val="207"/>
        </w:trPr>
        <w:tc>
          <w:tcPr>
            <w:tcW w:w="89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or useful life</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70" w:name="page71"/>
    <w:bookmarkEnd w:id="70"/>
    <w:p>
      <w:pPr>
        <w:spacing w:after="0"/>
        <w:rPr>
          <w:sz w:val="20"/>
          <w:szCs w:val="20"/>
          <w:color w:val="auto"/>
        </w:rPr>
      </w:pPr>
      <w:r>
        <w:rPr>
          <w:rFonts w:ascii="Arial" w:cs="Arial" w:eastAsia="Arial" w:hAnsi="Arial"/>
          <w:sz w:val="16"/>
          <w:szCs w:val="16"/>
          <w:i w:val="1"/>
          <w:iCs w:val="1"/>
          <w:color w:val="auto"/>
        </w:rPr>
        <w:t>Internal-use Software and Cloud Computing Arrangements</w:t>
      </w:r>
    </w:p>
    <w:p>
      <w:pPr>
        <w:spacing w:after="0" w:line="106"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Software development costs include costs to develop software to be used to meet internal needs and applications used to deliver our services. We capitalize development costs related to these software applications once the preliminary project stage is complete and it is probable that the project will be completed and the software will be used to perform the function intended. We amortize internal-use software costs on a straight-line basis over their estimated useful life of three years commencing when the internal-use software is substantially complete and ready for its intended purpose. Costs related to development of internal-use software are included in the accompanying consolidated balance sheets in property and equipment, net. Costs related to implementation of cloud computing arrangements that do not include a software license are included in the accompanying consolidated balance sheets in prepaid and other current assets and non-current assets and are amortized over the contractual term of the underlying service arrangement.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 and Other Long-Lived Assets</w:t>
      </w:r>
    </w:p>
    <w:p>
      <w:pPr>
        <w:spacing w:after="0" w:line="119" w:lineRule="exact"/>
        <w:rPr>
          <w:sz w:val="20"/>
          <w:szCs w:val="20"/>
          <w:color w:val="auto"/>
        </w:rPr>
      </w:pPr>
    </w:p>
    <w:p>
      <w:pPr>
        <w:jc w:val="both"/>
        <w:ind w:right="380" w:firstLine="395"/>
        <w:spacing w:after="0" w:line="255" w:lineRule="auto"/>
        <w:rPr>
          <w:sz w:val="20"/>
          <w:szCs w:val="20"/>
          <w:color w:val="auto"/>
        </w:rPr>
      </w:pPr>
      <w:r>
        <w:rPr>
          <w:rFonts w:ascii="Arial" w:cs="Arial" w:eastAsia="Arial" w:hAnsi="Arial"/>
          <w:sz w:val="16"/>
          <w:szCs w:val="16"/>
          <w:color w:val="auto"/>
        </w:rPr>
        <w:t>Intangible assets are stated at cost, net of accumulated amortization. Intangible assets with finite lives are amortized on a straight-line basis over their estimated useful lives, which approximates the pattern in which the economic benefits are consumed. We amortize our intangible assets over an estimated useful life of two to six years.</w:t>
      </w:r>
    </w:p>
    <w:p>
      <w:pPr>
        <w:spacing w:after="0" w:line="85"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We assess the impairment of long-lived assets, which consist primarily of property and equipment, right of use assets, acquired intangible assets, and capitalized internal-use software costs, whenever events or changes in circumstances indicate that such assets might be impaired and the carrying value may not be recoverable. Impairment testing is performed at an asset level that represents the lowest level for which identifiable cash flows are largely independent of the cash flows of other assets and liabilities, or an asset group. If an asset group is considered impaired, an impairment loss equal to the excess of the asset group’s carrying value over their fair value is recorded. Fair value is determined based on the present value of estimated expected future cash flows using a discount rate commensurate with the risk involved, quoted market prices, or appraised values, depending on the nature of the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106" w:lineRule="exact"/>
        <w:rPr>
          <w:sz w:val="20"/>
          <w:szCs w:val="20"/>
          <w:color w:val="auto"/>
        </w:rPr>
      </w:pPr>
    </w:p>
    <w:p>
      <w:pPr>
        <w:ind w:right="300" w:firstLine="395"/>
        <w:spacing w:after="0" w:line="263" w:lineRule="auto"/>
        <w:rPr>
          <w:sz w:val="20"/>
          <w:szCs w:val="20"/>
          <w:color w:val="auto"/>
        </w:rPr>
      </w:pPr>
      <w:r>
        <w:rPr>
          <w:rFonts w:ascii="Arial" w:cs="Arial" w:eastAsia="Arial" w:hAnsi="Arial"/>
          <w:sz w:val="16"/>
          <w:szCs w:val="16"/>
          <w:color w:val="auto"/>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spacing w:after="0" w:line="79"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Financial Instruments</w:t>
      </w:r>
    </w:p>
    <w:p>
      <w:pPr>
        <w:spacing w:after="0" w:line="106" w:lineRule="exact"/>
        <w:rPr>
          <w:sz w:val="20"/>
          <w:szCs w:val="20"/>
          <w:color w:val="auto"/>
        </w:rPr>
      </w:pPr>
    </w:p>
    <w:p>
      <w:pPr>
        <w:ind w:right="80" w:firstLine="395"/>
        <w:spacing w:after="0" w:line="253" w:lineRule="auto"/>
        <w:rPr>
          <w:sz w:val="20"/>
          <w:szCs w:val="20"/>
          <w:color w:val="auto"/>
        </w:rPr>
      </w:pPr>
      <w:r>
        <w:rPr>
          <w:rFonts w:ascii="Arial" w:cs="Arial" w:eastAsia="Arial" w:hAnsi="Arial"/>
          <w:sz w:val="16"/>
          <w:szCs w:val="16"/>
          <w:color w:val="auto"/>
        </w:rPr>
        <w:t>Derivative financial instruments, which include interest rate swaps, an interest rate cap, and a financial guarantee relating to a former executive officer, are recorded at fair value. For derivatives that qualify for hedge accounting, specifically as cash flow hedges, the change in fair value of the derivatives is recorded as an unrealized gain (loss), net of taxes, in the accompanying consolidated statements of comprehensive (loss) income. For derivatives that do not qualify for hedge accounting, the change in the fair value of our derivatives related to our long-term debt are recorded in interest expense, net, and the change in the fair value of our financial guarantee is recorded in other income, net, in the accompanying consolidated statements of operations. In 2021, our derivative positions were extinguished in connection with our IPO and full repayment of our long-term debt.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Available-for-sale Debt Securities</w:t>
      </w:r>
    </w:p>
    <w:p>
      <w:pPr>
        <w:spacing w:after="0" w:line="106"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At December 31, 2022 and 2021, we held long-term investments of certain privately held companies through the purchase of convertible promissory notes. These investments are classified as available-for-sale debt securities. For available-for-sale debt securities that have the estimated fair values below their amortized cost basis, we evaluate our intent to sell the security or whether we will more likely than not be required to sell the security before recovery of its amortized cost basis. If either of these criteria are met, the security’s amortized cost basis is written down to its fair value through earnings. If these criteria are not met, we evaluate whether the decline in fair value has resulted from credit loss or other factors. If the assessment indicates a credit loss exists, the credit-related portion of the loss is recorded as allowance for credit loss with a corresponding credit loss expense, included in the consolidated statement of operations. If the assessment indicates a credit loss does not exist, impairment is recognized in other comprehensive income (loss), net of applicable taxes.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06" w:lineRule="exact"/>
        <w:rPr>
          <w:sz w:val="20"/>
          <w:szCs w:val="20"/>
          <w:color w:val="auto"/>
        </w:rPr>
      </w:pPr>
    </w:p>
    <w:p>
      <w:pPr>
        <w:ind w:right="300" w:firstLine="395"/>
        <w:spacing w:after="0" w:line="273" w:lineRule="auto"/>
        <w:rPr>
          <w:sz w:val="20"/>
          <w:szCs w:val="20"/>
          <w:color w:val="auto"/>
        </w:rPr>
      </w:pPr>
      <w:r>
        <w:rPr>
          <w:rFonts w:ascii="Arial" w:cs="Arial" w:eastAsia="Arial" w:hAnsi="Arial"/>
          <w:sz w:val="15"/>
          <w:szCs w:val="15"/>
          <w:color w:val="auto"/>
        </w:rPr>
        <w:t>We hold investments in equity securities of certain privately held companies, which do not have readily determinable fair values. We have elected to measure these non-marketable investments at cost, with remeasurements to fair value only upon the occurrence of observable price changes in orderly transactions for identical or similar securities of the same issuer, or in the event of any impairment. This election is reassessed each reporting period to determine whether a non-marketable equity security has a readily determinable fair value, in which case they would no longer be eligible for this election. We evaluate our non-marketable equity securities for impairment at each reporting period based on a qualitative assessment that considers various potential impairment indicators. If an impairment exists, a loss is recognized in the consolidated statements of operations for the amount by which the carrying value exceeds the fair value of the investment. We include investments in equity securities within other assets in the accompanying consolidated balance sheets.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Held for Sale</w:t>
      </w:r>
    </w:p>
    <w:p>
      <w:pPr>
        <w:spacing w:after="0" w:line="106" w:lineRule="exact"/>
        <w:rPr>
          <w:sz w:val="20"/>
          <w:szCs w:val="20"/>
          <w:color w:val="auto"/>
        </w:rPr>
      </w:pPr>
    </w:p>
    <w:p>
      <w:pPr>
        <w:ind w:right="20" w:firstLine="395"/>
        <w:spacing w:after="0" w:line="236" w:lineRule="auto"/>
        <w:rPr>
          <w:sz w:val="20"/>
          <w:szCs w:val="20"/>
          <w:color w:val="auto"/>
        </w:rPr>
      </w:pPr>
      <w:r>
        <w:rPr>
          <w:rFonts w:ascii="Arial" w:cs="Arial" w:eastAsia="Arial" w:hAnsi="Arial"/>
          <w:sz w:val="16"/>
          <w:szCs w:val="16"/>
          <w:color w:val="auto"/>
        </w:rPr>
        <w:t>We classify long-lived assets or asset groups we plan to sell as held for sale on our consolidated balance sheets only after certain criteria have been met including: management has the authority and commits to a plan to sell the asset, the asset is available for immediate sale in its present condition, an active program to locate a buyer and the plan to sell the asset have been initiated, the sale of the asset is probable within twelve months, the asset is being actively marketed at a reasonable sales price relative to its current fair value, and it is unlikely that the plan to sell will be withdrawn or that significant changes to the plan will be made. We record assets or asset groups held for sale at the lower of their carrying value or fair value less costs to sell. Once classified as held for sale, depreciation and amortization is not recorded for any long-lived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06" w:lineRule="exact"/>
        <w:rPr>
          <w:sz w:val="20"/>
          <w:szCs w:val="20"/>
          <w:color w:val="auto"/>
        </w:rPr>
      </w:pPr>
    </w:p>
    <w:p>
      <w:pPr>
        <w:ind w:firstLine="395"/>
        <w:spacing w:after="0" w:line="254" w:lineRule="auto"/>
        <w:rPr>
          <w:sz w:val="20"/>
          <w:szCs w:val="20"/>
          <w:color w:val="auto"/>
        </w:rPr>
      </w:pPr>
      <w:r>
        <w:rPr>
          <w:rFonts w:ascii="Arial" w:cs="Arial" w:eastAsia="Arial" w:hAnsi="Arial"/>
          <w:sz w:val="15"/>
          <w:szCs w:val="15"/>
          <w:color w:val="auto"/>
        </w:rPr>
        <w:t xml:space="preserve">On January 1, 2022, we adopted Accounting Standards Update, or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 or ASU 2016-02 and related amendments, using the modified retrospective method. Financial information related to periods prior to adoption will be as originally reported under Financial Accounting Standards Board, or FASB, Accounting Standards Codification, or ASC, No. 840, </w:t>
      </w:r>
      <w:r>
        <w:rPr>
          <w:rFonts w:ascii="Arial" w:cs="Arial" w:eastAsia="Arial" w:hAnsi="Arial"/>
          <w:sz w:val="15"/>
          <w:szCs w:val="15"/>
          <w:i w:val="1"/>
          <w:iCs w:val="1"/>
          <w:color w:val="auto"/>
        </w:rPr>
        <w:t>Leases</w:t>
      </w:r>
      <w:r>
        <w:rPr>
          <w:rFonts w:ascii="Arial" w:cs="Arial" w:eastAsia="Arial" w:hAnsi="Arial"/>
          <w:sz w:val="15"/>
          <w:szCs w:val="15"/>
          <w:color w:val="auto"/>
        </w:rPr>
        <w:t>. On January 1, 2022, we recorded operating lease right-of-use, or ROU, assets of $5.7 million and operating lease liabilities of $5.9 million. The difference between the leased assets and lease liabilities represents the existing deferred rent liabilities balance at adoption,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spacing w:after="0" w:line="7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The new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spacing w:after="0" w:line="47"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We have also made accounting policy elections, including a short-term lease exception policy, permitting us to not apply the recognition requirements of this standard to short-term leases, which are leases with expected terms of twelve months or less, and an accounting policy to account for lease and certain non-lease components as a single component for certain classes of assets. Additionally, we used the portfolio approach when applying the discount rate selected based on the dollar amount and term of the obligation.</w:t>
      </w:r>
    </w:p>
    <w:p>
      <w:pPr>
        <w:spacing w:after="0" w:line="87" w:lineRule="exact"/>
        <w:rPr>
          <w:sz w:val="20"/>
          <w:szCs w:val="20"/>
          <w:color w:val="auto"/>
        </w:rPr>
      </w:pPr>
    </w:p>
    <w:p>
      <w:pPr>
        <w:ind w:right="120" w:firstLine="395"/>
        <w:spacing w:after="0" w:line="255" w:lineRule="auto"/>
        <w:rPr>
          <w:sz w:val="20"/>
          <w:szCs w:val="20"/>
          <w:color w:val="auto"/>
        </w:rPr>
      </w:pPr>
      <w:r>
        <w:rPr>
          <w:rFonts w:ascii="Arial" w:cs="Arial" w:eastAsia="Arial" w:hAnsi="Arial"/>
          <w:sz w:val="16"/>
          <w:szCs w:val="16"/>
          <w:color w:val="auto"/>
        </w:rPr>
        <w:t>We determined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consolidated balance sheets. Leases with an initial term of twelve months or less are not recorded in our accompanying consolidated balance sheet.</w:t>
      </w:r>
    </w:p>
    <w:p>
      <w:pPr>
        <w:spacing w:after="0" w:line="85"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ROU assets represent our right to control an underlying asset for the lease term, and lease liabilities represent our obligation to make lease payments arising from the lease. ROU assets and operating lease liabilities are recognized at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spacing w:after="0" w:line="73"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color w:val="auto"/>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spacing w:after="0" w:line="87" w:lineRule="exact"/>
        <w:rPr>
          <w:sz w:val="20"/>
          <w:szCs w:val="20"/>
          <w:color w:val="auto"/>
        </w:rPr>
      </w:pPr>
    </w:p>
    <w:p>
      <w:pPr>
        <w:ind w:right="300" w:firstLine="395"/>
        <w:spacing w:after="0" w:line="270" w:lineRule="auto"/>
        <w:rPr>
          <w:sz w:val="20"/>
          <w:szCs w:val="20"/>
          <w:color w:val="auto"/>
        </w:rPr>
      </w:pPr>
      <w:r>
        <w:rPr>
          <w:rFonts w:ascii="Arial" w:cs="Arial" w:eastAsia="Arial" w:hAnsi="Arial"/>
          <w:sz w:val="16"/>
          <w:szCs w:val="16"/>
          <w:color w:val="auto"/>
        </w:rPr>
        <w:t>Our agreements may contain variable lease payments. We include variable lease payments that depend on an index or a rate and exclude those which depend on facts or circumstances occurring after the commencement date, other than the passage of time.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2" w:name="page73"/>
    <w:bookmarkEnd w:id="72"/>
    <w:p>
      <w:pPr>
        <w:ind w:left="400"/>
        <w:spacing w:after="0"/>
        <w:rPr>
          <w:sz w:val="20"/>
          <w:szCs w:val="20"/>
          <w:color w:val="auto"/>
        </w:rPr>
      </w:pPr>
      <w:r>
        <w:rPr>
          <w:rFonts w:ascii="Arial" w:cs="Arial" w:eastAsia="Arial" w:hAnsi="Arial"/>
          <w:sz w:val="16"/>
          <w:szCs w:val="16"/>
          <w:color w:val="auto"/>
        </w:rPr>
        <w:t xml:space="preserve">Financial information related to periods prior to adoption will be as originally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Issuance Costs</w:t>
      </w:r>
    </w:p>
    <w:p>
      <w:pPr>
        <w:spacing w:after="0" w:line="106" w:lineRule="exact"/>
        <w:rPr>
          <w:sz w:val="20"/>
          <w:szCs w:val="20"/>
          <w:color w:val="auto"/>
        </w:rPr>
      </w:pPr>
    </w:p>
    <w:p>
      <w:pPr>
        <w:ind w:right="140" w:firstLine="395"/>
        <w:spacing w:after="0" w:line="236" w:lineRule="auto"/>
        <w:rPr>
          <w:sz w:val="20"/>
          <w:szCs w:val="20"/>
          <w:color w:val="auto"/>
        </w:rPr>
      </w:pPr>
      <w:r>
        <w:rPr>
          <w:rFonts w:ascii="Arial" w:cs="Arial" w:eastAsia="Arial" w:hAnsi="Arial"/>
          <w:sz w:val="16"/>
          <w:szCs w:val="16"/>
          <w:color w:val="auto"/>
        </w:rPr>
        <w:t>Debt issuance costs associated with our term loans are deducted from the carrying value of current and long-term debt in the accompanying consolidated balance sheets and are amortized over the term of the loan using the effective interest method. Debt issuance costs associated with revolving facilities are classified as other assets in the accompanying consolidated balance sheets and are amortized over the term of the respective facility on a straight-line basis over the term of the revolving facilities. Debt issuance costs are amortized to interest expense, net in the accompanying consolidated statements of operations. In 2021, upon the full repayment of our long-term debt in connection with our IPO, we recorded a loss on debt extinguishment of $7.7 million, which mainly consisted of unamortized debt issuance costs.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Offering Costs</w:t>
      </w:r>
    </w:p>
    <w:p>
      <w:pPr>
        <w:spacing w:after="0" w:line="119"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We record certain legal, accounting, and other third-party fees in other assets that are directly associated with in-process equity financings until such financings are consummated. After consummation, these costs are recorded in stockholders’ equity (deficit) as a reduction from the proceeds of the offering. Should the equity financing no longer be considered probable of being consummated, the deferred offering costs are expensed in the consolidated statements of operations within income from operations. In 2021, we incurred $5.6 million related to our IPO, which is included in additional-paid in capital in the accompanying consolidated statements of redeemable convertible preferred stock and stockholders equity (deficit). There were no deferred stock issuance costs recognized in other assets as of December 31, 2022 or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106" w:lineRule="exact"/>
        <w:rPr>
          <w:sz w:val="20"/>
          <w:szCs w:val="20"/>
          <w:color w:val="auto"/>
        </w:rPr>
      </w:pPr>
    </w:p>
    <w:p>
      <w:pPr>
        <w:ind w:right="240" w:firstLine="395"/>
        <w:spacing w:after="0" w:line="263"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w:t>
      </w:r>
    </w:p>
    <w:p>
      <w:pPr>
        <w:spacing w:after="0" w:line="66" w:lineRule="exact"/>
        <w:rPr>
          <w:sz w:val="20"/>
          <w:szCs w:val="20"/>
          <w:color w:val="auto"/>
        </w:rPr>
      </w:pPr>
    </w:p>
    <w:p>
      <w:pPr>
        <w:ind w:right="320" w:firstLine="395"/>
        <w:spacing w:after="0" w:line="256"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services, and virtual mail services in addition to software-as-a-service, or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71"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87"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from our transaction, subscription and partner revenue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239,799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212,114</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358,023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288,941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229,840</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22,157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28,682</w:t>
            </w:r>
          </w:p>
        </w:tc>
      </w:tr>
      <w:tr>
        <w:trPr>
          <w:trHeight w:val="202"/>
        </w:trPr>
        <w:tc>
          <w:tcPr>
            <w:tcW w:w="692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619,979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575,080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470,636</w:t>
            </w:r>
          </w:p>
        </w:tc>
      </w:tr>
      <w:tr>
        <w:trPr>
          <w:trHeight w:val="21"/>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6"/>
          <w:szCs w:val="16"/>
          <w:color w:val="auto"/>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spacing w:after="0" w:line="66" w:lineRule="exact"/>
        <w:rPr>
          <w:sz w:val="20"/>
          <w:szCs w:val="20"/>
          <w:color w:val="auto"/>
        </w:rPr>
      </w:pPr>
    </w:p>
    <w:p>
      <w:pPr>
        <w:jc w:val="both"/>
        <w:ind w:right="20" w:firstLine="395"/>
        <w:spacing w:after="0" w:line="270" w:lineRule="auto"/>
        <w:rPr>
          <w:sz w:val="20"/>
          <w:szCs w:val="20"/>
          <w:color w:val="auto"/>
        </w:rPr>
      </w:pPr>
      <w:r>
        <w:rPr>
          <w:rFonts w:ascii="Arial" w:cs="Arial" w:eastAsia="Arial" w:hAnsi="Arial"/>
          <w:sz w:val="16"/>
          <w:szCs w:val="16"/>
          <w:color w:val="auto"/>
        </w:rPr>
        <w:t>Our customers generally pay for transactions in advance by credit or debit card except for certain services provided under installment plans where we allow customers to pay for their order in three equal payments. The first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3" w:name="page74"/>
    <w:bookmarkEnd w:id="73"/>
    <w:p>
      <w:pPr>
        <w:jc w:val="both"/>
        <w:ind w:right="180"/>
        <w:spacing w:after="0" w:line="263" w:lineRule="auto"/>
        <w:rPr>
          <w:sz w:val="20"/>
          <w:szCs w:val="20"/>
          <w:color w:val="auto"/>
        </w:rPr>
      </w:pPr>
      <w:r>
        <w:rPr>
          <w:rFonts w:ascii="Arial" w:cs="Arial" w:eastAsia="Arial" w:hAnsi="Arial"/>
          <w:sz w:val="16"/>
          <w:szCs w:val="16"/>
          <w:color w:val="auto"/>
        </w:rPr>
        <w:t>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spacing w:after="0" w:line="66"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Subscription services are generally paid monthly or annually in advance of the subscription period except for SaaS services in the U.K.,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spacing w:after="0" w:line="86"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registered agent services, and free trial periods of our legal plans.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spacing w:after="0" w:line="74"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spacing w:after="0" w:line="89"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spacing w:after="0" w:line="66" w:lineRule="exact"/>
        <w:rPr>
          <w:sz w:val="20"/>
          <w:szCs w:val="20"/>
          <w:color w:val="auto"/>
        </w:rPr>
      </w:pPr>
    </w:p>
    <w:p>
      <w:pPr>
        <w:ind w:right="20" w:firstLine="395"/>
        <w:spacing w:after="0" w:line="256" w:lineRule="auto"/>
        <w:rPr>
          <w:sz w:val="20"/>
          <w:szCs w:val="20"/>
          <w:color w:val="auto"/>
        </w:rPr>
      </w:pPr>
      <w:r>
        <w:rPr>
          <w:rFonts w:ascii="Arial" w:cs="Arial" w:eastAsia="Arial" w:hAnsi="Arial"/>
          <w:sz w:val="16"/>
          <w:szCs w:val="16"/>
          <w:color w:val="auto"/>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spacing w:after="0" w:line="71"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color w:val="auto"/>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For our partner-based services, we recognize revenue at a point-in-time when the related performance-based criteria have been met.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do not have significant financing components in arrangements with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Agent Considerations</w:t>
      </w:r>
    </w:p>
    <w:p>
      <w:pPr>
        <w:spacing w:after="0" w:line="106"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74" w:name="page75"/>
    <w:bookmarkEnd w:id="74"/>
    <w:p>
      <w:pPr>
        <w:ind w:right="180" w:firstLine="395"/>
        <w:spacing w:after="0" w:line="273" w:lineRule="auto"/>
        <w:rPr>
          <w:sz w:val="20"/>
          <w:szCs w:val="20"/>
          <w:color w:val="auto"/>
        </w:rPr>
      </w:pPr>
      <w:r>
        <w:rPr>
          <w:rFonts w:ascii="Arial" w:cs="Arial" w:eastAsia="Arial" w:hAnsi="Arial"/>
          <w:sz w:val="15"/>
          <w:szCs w:val="15"/>
          <w:color w:val="auto"/>
        </w:rPr>
        <w:t>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and formerly, conveyancing services, in the U.K. and since December 2021, tax advisory and preparation services through our fulfilled tax subscription, LZ Tax. For these services, revenue includes filing and similar fees. Our alternative business structures, or ABS, offer legal advisory services that are marketed through our websites. Our ABSs provide independent legal advice to our customers and are directly responsible for, and control the fulfillment of, the legal services. Accordingly, for services provided by our ABSs, we recognize revenue as the principal.</w:t>
      </w:r>
    </w:p>
    <w:p>
      <w:pPr>
        <w:spacing w:after="0" w:line="60"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In arrangements in which we are not the principal, we record revenue on a net basis, which is equal to the amount billed to our customer, net of sales allowances and the fee payable to the third-party or partner that is primarily responsible for performing the services for the customer. Except for our Arizona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third-parties, including deed transfer, accounting, tax, credit monitoring, business data protection and logo design services, revenue is recognized net of fees payable to third-parties. For partner revenue, we receive a fee for the referral of our customer to the partner or we retain a portion of the fee paid by the customer and share the remainder with the partner. Our partner controls the service to the customer and the partner is responsible for fulfilling the referred service to the customer; accordingly, we recognize revenue for these arrangements on a net basis.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includes shipping and handling fees charged to customers.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w:t>
      </w:r>
    </w:p>
    <w:p>
      <w:pPr>
        <w:spacing w:after="0" w:line="119" w:lineRule="exact"/>
        <w:rPr>
          <w:sz w:val="20"/>
          <w:szCs w:val="20"/>
          <w:color w:val="auto"/>
        </w:rPr>
      </w:pPr>
    </w:p>
    <w:p>
      <w:pPr>
        <w:ind w:right="40" w:firstLine="395"/>
        <w:spacing w:after="0" w:line="269" w:lineRule="auto"/>
        <w:rPr>
          <w:sz w:val="20"/>
          <w:szCs w:val="20"/>
          <w:color w:val="auto"/>
        </w:rPr>
      </w:pPr>
      <w:r>
        <w:rPr>
          <w:rFonts w:ascii="Arial" w:cs="Arial" w:eastAsia="Arial" w:hAnsi="Arial"/>
          <w:sz w:val="15"/>
          <w:szCs w:val="15"/>
          <w:color w:val="auto"/>
        </w:rPr>
        <w:t>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 At December 31, 2022 and 2021, there was $1.9 million and $1.8 million, respectively, in deferred cost of revenue included in prepaid expenses and other current assets in the accompanying consolidated balance sheets. Filing fees of $74.1 million, $79.8 million and $64.5 million were recorded in cost of revenue in the accompanying consolidated statements of operations for years ended December 31, 2022, 2021,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 Expenses</w:t>
      </w:r>
    </w:p>
    <w:p>
      <w:pPr>
        <w:spacing w:after="0" w:line="119"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 Advertising expenses, consisting of customer acquisition media costs, were $174.6 million, $195.4 million and $119.2 million for the years ended December 31, 2022,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 Expenses</w:t>
      </w:r>
    </w:p>
    <w:p>
      <w:pPr>
        <w:spacing w:after="0" w:line="106" w:lineRule="exact"/>
        <w:rPr>
          <w:sz w:val="20"/>
          <w:szCs w:val="20"/>
          <w:color w:val="auto"/>
        </w:rPr>
      </w:pPr>
    </w:p>
    <w:p>
      <w:pPr>
        <w:jc w:val="both"/>
        <w:ind w:right="440" w:firstLine="395"/>
        <w:spacing w:after="0" w:line="268" w:lineRule="auto"/>
        <w:rPr>
          <w:sz w:val="20"/>
          <w:szCs w:val="20"/>
          <w:color w:val="auto"/>
        </w:rPr>
      </w:pPr>
      <w:r>
        <w:rPr>
          <w:rFonts w:ascii="Arial" w:cs="Arial" w:eastAsia="Arial" w:hAnsi="Arial"/>
          <w:sz w:val="15"/>
          <w:szCs w:val="15"/>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capitalization as previously described under </w:t>
      </w:r>
      <w:r>
        <w:rPr>
          <w:rFonts w:ascii="Arial" w:cs="Arial" w:eastAsia="Arial" w:hAnsi="Arial"/>
          <w:sz w:val="16"/>
          <w:szCs w:val="16"/>
          <w:i w:val="1"/>
          <w:iCs w:val="1"/>
          <w:color w:val="auto"/>
        </w:rPr>
        <w:t>Internal-use Software and Cloud Computing Arrangements</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19"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i w:val="1"/>
          <w:iCs w:val="1"/>
          <w:color w:val="auto"/>
        </w:rPr>
        <w:t>Stock-based Compensation</w:t>
      </w:r>
    </w:p>
    <w:p>
      <w:pPr>
        <w:spacing w:after="0" w:line="106"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spacing w:after="0" w:line="77" w:lineRule="exact"/>
        <w:rPr>
          <w:sz w:val="20"/>
          <w:szCs w:val="20"/>
          <w:color w:val="auto"/>
        </w:rPr>
      </w:pPr>
    </w:p>
    <w:p>
      <w:pPr>
        <w:ind w:right="420" w:firstLine="395"/>
        <w:spacing w:after="0" w:line="270" w:lineRule="auto"/>
        <w:rPr>
          <w:sz w:val="20"/>
          <w:szCs w:val="20"/>
          <w:color w:val="auto"/>
        </w:rPr>
      </w:pPr>
      <w:r>
        <w:rPr>
          <w:rFonts w:ascii="Arial" w:cs="Arial" w:eastAsia="Arial" w:hAnsi="Arial"/>
          <w:sz w:val="16"/>
          <w:szCs w:val="16"/>
          <w:color w:val="auto"/>
        </w:rPr>
        <w:t>The Black-Scholes option pricing model and the Monte Carlo simulation model requires us to make certain assumptions including the fair value of the underlying common stock, the expected term, the expected volatility, the risk-free interest rate and the dividend yield.</w:t>
      </w:r>
    </w:p>
    <w:p>
      <w:pPr>
        <w:spacing w:after="0" w:line="73" w:lineRule="exact"/>
        <w:rPr>
          <w:sz w:val="20"/>
          <w:szCs w:val="20"/>
          <w:color w:val="auto"/>
        </w:rPr>
      </w:pPr>
    </w:p>
    <w:p>
      <w:pPr>
        <w:ind w:right="40" w:firstLine="395"/>
        <w:spacing w:after="0" w:line="266" w:lineRule="auto"/>
        <w:rPr>
          <w:sz w:val="20"/>
          <w:szCs w:val="20"/>
          <w:color w:val="auto"/>
        </w:rPr>
      </w:pPr>
      <w:r>
        <w:rPr>
          <w:rFonts w:ascii="Arial" w:cs="Arial" w:eastAsia="Arial" w:hAnsi="Arial"/>
          <w:sz w:val="15"/>
          <w:szCs w:val="15"/>
          <w:color w:val="auto"/>
        </w:rPr>
        <w:t>The fair value of the shares of common stock underlying stock options and RSUs is based upon our publicly listed share price on the date of grant. Prior to our IPO, the fair value of the shares of common stock was determined by the board of directors. Because there was no public market for our common stock, the board of directors determined the fair value of the common stock at the time of the grant of options and RSUs by considering a number of objective and subjective factors including valuation of comparable companies, sales of common stock to unrelated third-parties, operating and financial performance and general and industry-specific economic outlook, amongst other factors. The fair value was determined in accordance with applicable elements of the practice aid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issued by the American Institute of Certified Public Accountants titled </w:t>
      </w:r>
      <w:r>
        <w:rPr>
          <w:rFonts w:ascii="Arial" w:cs="Arial" w:eastAsia="Arial" w:hAnsi="Arial"/>
          <w:sz w:val="16"/>
          <w:szCs w:val="16"/>
          <w:i w:val="1"/>
          <w:iCs w:val="1"/>
          <w:color w:val="auto"/>
        </w:rPr>
        <w:t>Valuation of Privately Held Company Equity Securities Issued as Compensation</w:t>
      </w:r>
      <w:r>
        <w:rPr>
          <w:rFonts w:ascii="Arial" w:cs="Arial" w:eastAsia="Arial" w:hAnsi="Arial"/>
          <w:sz w:val="16"/>
          <w:szCs w:val="16"/>
          <w:color w:val="auto"/>
        </w:rPr>
        <w:t>.</w:t>
      </w:r>
    </w:p>
    <w:p>
      <w:pPr>
        <w:spacing w:after="0" w:line="96" w:lineRule="exact"/>
        <w:rPr>
          <w:sz w:val="20"/>
          <w:szCs w:val="20"/>
          <w:color w:val="auto"/>
        </w:rPr>
      </w:pPr>
    </w:p>
    <w:p>
      <w:pPr>
        <w:ind w:right="380" w:firstLine="395"/>
        <w:spacing w:after="0" w:line="263" w:lineRule="auto"/>
        <w:rPr>
          <w:sz w:val="20"/>
          <w:szCs w:val="20"/>
          <w:color w:val="auto"/>
        </w:rPr>
      </w:pPr>
      <w:r>
        <w:rPr>
          <w:rFonts w:ascii="Arial" w:cs="Arial" w:eastAsia="Arial" w:hAnsi="Arial"/>
          <w:sz w:val="16"/>
          <w:szCs w:val="16"/>
          <w:color w:val="auto"/>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w:t>
      </w:r>
    </w:p>
    <w:p>
      <w:pPr>
        <w:spacing w:after="0" w:line="66" w:lineRule="exact"/>
        <w:rPr>
          <w:sz w:val="20"/>
          <w:szCs w:val="20"/>
          <w:color w:val="auto"/>
        </w:rPr>
      </w:pPr>
    </w:p>
    <w:p>
      <w:pPr>
        <w:ind w:right="60" w:firstLine="395"/>
        <w:spacing w:after="0" w:line="256" w:lineRule="auto"/>
        <w:rPr>
          <w:sz w:val="20"/>
          <w:szCs w:val="20"/>
          <w:color w:val="auto"/>
        </w:rPr>
      </w:pPr>
      <w:r>
        <w:rPr>
          <w:rFonts w:ascii="Arial" w:cs="Arial" w:eastAsia="Arial" w:hAnsi="Arial"/>
          <w:sz w:val="16"/>
          <w:szCs w:val="16"/>
          <w:color w:val="auto"/>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company’s common stock for a period equal to the expected term of the options. We periodically assess the comparable companies and other relevant factors used to measure expected volatility for future stock option grants.</w:t>
      </w:r>
    </w:p>
    <w:p>
      <w:pPr>
        <w:spacing w:after="0" w:line="71" w:lineRule="exact"/>
        <w:rPr>
          <w:sz w:val="20"/>
          <w:szCs w:val="20"/>
          <w:color w:val="auto"/>
        </w:rPr>
      </w:pPr>
    </w:p>
    <w:p>
      <w:pPr>
        <w:ind w:right="280" w:firstLine="395"/>
        <w:spacing w:after="0" w:line="287" w:lineRule="auto"/>
        <w:rPr>
          <w:sz w:val="20"/>
          <w:szCs w:val="20"/>
          <w:color w:val="auto"/>
        </w:rPr>
      </w:pPr>
      <w:r>
        <w:rPr>
          <w:rFonts w:ascii="Arial" w:cs="Arial" w:eastAsia="Arial" w:hAnsi="Arial"/>
          <w:sz w:val="16"/>
          <w:szCs w:val="16"/>
          <w:color w:val="auto"/>
        </w:rPr>
        <w:t>The risk-free interest rate assumption is based upon observed interest rates on the U.S. government securities appropriate for the expected term of our stock options.</w:t>
      </w:r>
    </w:p>
    <w:p>
      <w:pPr>
        <w:spacing w:after="0" w:line="47" w:lineRule="exact"/>
        <w:rPr>
          <w:sz w:val="20"/>
          <w:szCs w:val="20"/>
          <w:color w:val="auto"/>
        </w:rPr>
      </w:pPr>
    </w:p>
    <w:p>
      <w:pPr>
        <w:jc w:val="both"/>
        <w:ind w:right="200" w:firstLine="395"/>
        <w:spacing w:after="0" w:line="263" w:lineRule="auto"/>
        <w:rPr>
          <w:sz w:val="20"/>
          <w:szCs w:val="20"/>
          <w:color w:val="auto"/>
        </w:rPr>
      </w:pPr>
      <w:r>
        <w:rPr>
          <w:rFonts w:ascii="Arial" w:cs="Arial" w:eastAsia="Arial" w:hAnsi="Arial"/>
          <w:sz w:val="16"/>
          <w:szCs w:val="16"/>
          <w:color w:val="auto"/>
        </w:rPr>
        <w:t>The dividend yield assumption is based on our history and expectation of dividend payouts. Other than the special dividends declared in 2021 and 2020, which resulted in corresponding reductions in the exercise price of the stock options, we have not declared or paid any cash dividends on our common stock, and we do not anticipate paying any cash dividends in the foreseeable future.</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 is recognized based on awards that are ultimately expected to vest.</w:t>
      </w:r>
    </w:p>
    <w:p>
      <w:pPr>
        <w:spacing w:after="0" w:line="119" w:lineRule="exact"/>
        <w:rPr>
          <w:sz w:val="20"/>
          <w:szCs w:val="20"/>
          <w:color w:val="auto"/>
        </w:rPr>
      </w:pPr>
    </w:p>
    <w:p>
      <w:pPr>
        <w:jc w:val="both"/>
        <w:ind w:right="220" w:firstLine="395"/>
        <w:spacing w:after="0" w:line="270" w:lineRule="auto"/>
        <w:rPr>
          <w:sz w:val="20"/>
          <w:szCs w:val="20"/>
          <w:color w:val="auto"/>
        </w:rPr>
      </w:pPr>
      <w:r>
        <w:rPr>
          <w:rFonts w:ascii="Arial" w:cs="Arial" w:eastAsia="Arial" w:hAnsi="Arial"/>
          <w:sz w:val="16"/>
          <w:szCs w:val="16"/>
          <w:color w:val="auto"/>
        </w:rPr>
        <w:t>Forfeitures are estimated at the time of grant and revised, if necessary, in subsequent periods if actual forfeitures differ from those estimates. Forfeitures are estimated based on our historical experience and future expectations.</w:t>
      </w:r>
    </w:p>
    <w:p>
      <w:pPr>
        <w:spacing w:after="0" w:line="60" w:lineRule="exact"/>
        <w:rPr>
          <w:sz w:val="20"/>
          <w:szCs w:val="20"/>
          <w:color w:val="auto"/>
        </w:rPr>
      </w:pPr>
    </w:p>
    <w:p>
      <w:pPr>
        <w:ind w:right="200" w:firstLine="395"/>
        <w:spacing w:after="0" w:line="263" w:lineRule="auto"/>
        <w:rPr>
          <w:sz w:val="20"/>
          <w:szCs w:val="20"/>
          <w:color w:val="auto"/>
        </w:rPr>
      </w:pPr>
      <w:r>
        <w:rPr>
          <w:rFonts w:ascii="Arial" w:cs="Arial" w:eastAsia="Arial" w:hAnsi="Arial"/>
          <w:sz w:val="16"/>
          <w:szCs w:val="16"/>
          <w:color w:val="auto"/>
        </w:rPr>
        <w:t>The determination of stock-based compensation is inherently uncertain and subjective and involves the application of valuation models and assumptions requiring the use of judgment. If we had made different assumptions, our stock-based compensation expense, and our net (loss) income for the years ended December 31, 2022, 2021, and 2020 may have been materially different.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Contingencies</w:t>
      </w:r>
    </w:p>
    <w:p>
      <w:pPr>
        <w:spacing w:after="0" w:line="119" w:lineRule="exact"/>
        <w:rPr>
          <w:sz w:val="20"/>
          <w:szCs w:val="20"/>
          <w:color w:val="auto"/>
        </w:rPr>
      </w:pPr>
    </w:p>
    <w:p>
      <w:pPr>
        <w:ind w:right="180" w:firstLine="395"/>
        <w:spacing w:after="0" w:line="251" w:lineRule="auto"/>
        <w:rPr>
          <w:sz w:val="20"/>
          <w:szCs w:val="20"/>
          <w:color w:val="auto"/>
        </w:rPr>
      </w:pPr>
      <w:r>
        <w:rPr>
          <w:rFonts w:ascii="Arial" w:cs="Arial" w:eastAsia="Arial" w:hAnsi="Arial"/>
          <w:sz w:val="16"/>
          <w:szCs w:val="16"/>
          <w:color w:val="auto"/>
        </w:rPr>
        <w:t>On occasion we are involved in legal proceedings, claims, and regulatory, indirect tax examinations or government inquiries and investigations that may arise in the ordinary course of business. 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other relevant information available to us. The determination of the likelihood of loss or the range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76" w:name="page77"/>
    <w:bookmarkEnd w:id="76"/>
    <w:p>
      <w:pPr>
        <w:ind w:right="1880"/>
        <w:spacing w:after="0" w:line="420" w:lineRule="auto"/>
        <w:rPr>
          <w:sz w:val="20"/>
          <w:szCs w:val="20"/>
          <w:color w:val="auto"/>
        </w:rPr>
      </w:pPr>
      <w:r>
        <w:rPr>
          <w:rFonts w:ascii="Arial" w:cs="Arial" w:eastAsia="Arial" w:hAnsi="Arial"/>
          <w:sz w:val="16"/>
          <w:szCs w:val="16"/>
          <w:color w:val="auto"/>
        </w:rPr>
        <w:t xml:space="preserve">of loss requires significant management judgment. Legal fees and other costs associated with such actions are expensed as incurred. </w:t>
      </w:r>
      <w:r>
        <w:rPr>
          <w:rFonts w:ascii="Arial" w:cs="Arial" w:eastAsia="Arial" w:hAnsi="Arial"/>
          <w:sz w:val="16"/>
          <w:szCs w:val="16"/>
          <w:i w:val="1"/>
          <w:iCs w:val="1"/>
          <w:color w:val="auto"/>
        </w:rPr>
        <w:t>Income Taxes</w:t>
      </w:r>
    </w:p>
    <w:p>
      <w:pPr>
        <w:spacing w:after="0" w:line="1" w:lineRule="exact"/>
        <w:rPr>
          <w:sz w:val="20"/>
          <w:szCs w:val="20"/>
          <w:color w:val="auto"/>
        </w:rPr>
      </w:pPr>
    </w:p>
    <w:p>
      <w:pPr>
        <w:ind w:right="120" w:firstLine="395"/>
        <w:spacing w:after="0" w:line="278" w:lineRule="auto"/>
        <w:rPr>
          <w:sz w:val="20"/>
          <w:szCs w:val="20"/>
          <w:color w:val="auto"/>
        </w:rPr>
      </w:pPr>
      <w:r>
        <w:rPr>
          <w:rFonts w:ascii="Arial" w:cs="Arial" w:eastAsia="Arial" w:hAnsi="Arial"/>
          <w:sz w:val="15"/>
          <w:szCs w:val="15"/>
          <w:color w:val="auto"/>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spacing w:after="0" w:line="56" w:lineRule="exact"/>
        <w:rPr>
          <w:sz w:val="20"/>
          <w:szCs w:val="20"/>
          <w:color w:val="auto"/>
        </w:rPr>
      </w:pPr>
    </w:p>
    <w:p>
      <w:pPr>
        <w:ind w:right="40" w:firstLine="395"/>
        <w:spacing w:after="0" w:line="256" w:lineRule="auto"/>
        <w:rPr>
          <w:sz w:val="20"/>
          <w:szCs w:val="20"/>
          <w:color w:val="auto"/>
        </w:rPr>
      </w:pPr>
      <w:r>
        <w:rPr>
          <w:rFonts w:ascii="Arial" w:cs="Arial" w:eastAsia="Arial" w:hAnsi="Arial"/>
          <w:sz w:val="16"/>
          <w:szCs w:val="16"/>
          <w:color w:val="auto"/>
        </w:rPr>
        <w:t>We make judgments in evaluating whether deferred tax assets will be recovered from future taxable income.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income taxes and the related impact on our net (loss) income.</w:t>
      </w:r>
    </w:p>
    <w:p>
      <w:pPr>
        <w:spacing w:after="0" w:line="71"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 At December 31, 2022 and 2021, accrued penalties and interest related to uncertain tax positions were not material.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 Income Per Share Attributable to Common Stockholders</w:t>
      </w:r>
    </w:p>
    <w:p>
      <w:pPr>
        <w:spacing w:after="0" w:line="106"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We apply the two-class method for calculating net income per share. Under the two-class method, in periods where we generate net income, net income is allocated between common stock and other participating securities based on their participation rights. Prior to our IPO, our participating securities consist of redeemable convertible preferred stock, which participate in dividends, if declared. For periods in which we report a net loss, the participating securities are not contractually obligated to share in our losses, and accordingly, no loss is allocated to the participating securities. Basic net (loss) income per share is calculated by dividing net (loss) income attributable to common stockholders by the weighted-average number of shares of common stock outstanding, net of unvested restricted stock, if any, during the period. We compute diluted net (loss) income per share under the two-class method where income is reallocated between common stock, potential common stock and participating securities. Potential common stock includes stock options, restricted stock units, restricted stock awards and employee stock purchase plans, or ESPPs and RSUs computed using the treasury stock method.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19"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Upon the completion of our IPO in 2021, we elected to be an Emerging Growth Company, or EGC, as defined in the Jumpstart Our Business Startups Act, which allowed us to delay adoption of new or revised accounting pronouncements applicable to public companies until such pronouncements were made applicable to private companies. Entities that elect to be EGCs will remain an EGC until the earliest of: the last day of the first fiscal year in which annual gross revenue exceeds $1.07 billion; the date that the entity becomes a “large accelerated filer,” with at least $700.0 million of equity securities held by non-affiliates as of the end of the second quarter of that fiscal year; the date on which the entity has issued, in any three-year period, more than $1.0 billion in non-convertible debt securities; or the fiscal year-end following the fifth anniversary of the completion of the entity’s IPO.</w:t>
      </w:r>
    </w:p>
    <w:p>
      <w:pPr>
        <w:spacing w:after="0" w:line="73" w:lineRule="exact"/>
        <w:rPr>
          <w:sz w:val="20"/>
          <w:szCs w:val="20"/>
          <w:color w:val="auto"/>
        </w:rPr>
      </w:pPr>
    </w:p>
    <w:p>
      <w:pPr>
        <w:ind w:firstLine="395"/>
        <w:spacing w:after="0" w:line="289" w:lineRule="auto"/>
        <w:rPr>
          <w:sz w:val="20"/>
          <w:szCs w:val="20"/>
          <w:color w:val="auto"/>
        </w:rPr>
      </w:pPr>
      <w:r>
        <w:rPr>
          <w:rFonts w:ascii="Arial" w:cs="Arial" w:eastAsia="Arial" w:hAnsi="Arial"/>
          <w:sz w:val="15"/>
          <w:szCs w:val="15"/>
          <w:color w:val="auto"/>
        </w:rPr>
        <w:t>Effective December 31, 2022, we lost our EGC status due to becoming a “large accelerated filer” with an aggregate worldwide market value of our common stock held by non-affiliates exceeding $700.0 million measured as of the end of the second quarter of the 2022 fiscal year. As a result, we must comply with the adoption requirements of new or revised accounting pronouncements applicable to public companies beginning in the fiscal year ended December 31, 2022.</w:t>
      </w:r>
    </w:p>
    <w:p>
      <w:pPr>
        <w:spacing w:after="0" w:line="48" w:lineRule="exact"/>
        <w:rPr>
          <w:sz w:val="20"/>
          <w:szCs w:val="20"/>
          <w:color w:val="auto"/>
        </w:rPr>
      </w:pPr>
    </w:p>
    <w:p>
      <w:pPr>
        <w:ind w:firstLine="395"/>
        <w:spacing w:after="0" w:line="256" w:lineRule="auto"/>
        <w:rPr>
          <w:sz w:val="20"/>
          <w:szCs w:val="20"/>
          <w:color w:val="auto"/>
        </w:rPr>
      </w:pPr>
      <w:r>
        <w:rPr>
          <w:rFonts w:ascii="Arial" w:cs="Arial" w:eastAsia="Arial" w:hAnsi="Arial"/>
          <w:sz w:val="16"/>
          <w:szCs w:val="16"/>
          <w:color w:val="auto"/>
        </w:rPr>
        <w:t>In February 2016, the FASB issued ASU 2016-02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adopted this guidance effective January 1, 2022. Refer to Note 9 for further details.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 (Topic</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i w:val="1"/>
          <w:iCs w:val="1"/>
          <w:color w:val="auto"/>
        </w:rPr>
        <w:t>326)</w:t>
      </w:r>
      <w:r>
        <w:rPr>
          <w:rFonts w:ascii="Arial" w:cs="Arial" w:eastAsia="Arial" w:hAnsi="Arial"/>
          <w:sz w:val="15"/>
          <w:szCs w:val="15"/>
          <w:color w:val="auto"/>
        </w:rPr>
        <w:t>, or ASC 326, which revises the impairment model to utilize an expected loss methodology in place of the currently used incurred loss methodology, which</w:t>
      </w:r>
      <w:r>
        <w:rPr>
          <w:rFonts w:ascii="Arial" w:cs="Arial" w:eastAsia="Arial" w:hAnsi="Arial"/>
          <w:sz w:val="15"/>
          <w:szCs w:val="15"/>
          <w:i w:val="1"/>
          <w:iCs w:val="1"/>
          <w:color w:val="auto"/>
        </w:rPr>
        <w:t xml:space="preserve"> </w:t>
      </w:r>
      <w:r>
        <w:rPr>
          <w:rFonts w:ascii="Arial" w:cs="Arial" w:eastAsia="Arial" w:hAnsi="Arial"/>
          <w:sz w:val="15"/>
          <w:szCs w:val="15"/>
          <w:color w:val="auto"/>
        </w:rPr>
        <w:t>will result in more timely recognition of losses on financial instruments, including, but not limited to, available-for-sale debt securities and accounts receivable.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77" w:name="page78"/>
    <w:bookmarkEnd w:id="77"/>
    <w:p>
      <w:pPr>
        <w:ind w:right="20"/>
        <w:spacing w:after="0" w:line="263" w:lineRule="auto"/>
        <w:rPr>
          <w:sz w:val="20"/>
          <w:szCs w:val="20"/>
          <w:color w:val="auto"/>
        </w:rPr>
      </w:pPr>
      <w:r>
        <w:rPr>
          <w:rFonts w:ascii="Arial" w:cs="Arial" w:eastAsia="Arial" w:hAnsi="Arial"/>
          <w:sz w:val="16"/>
          <w:szCs w:val="16"/>
          <w:color w:val="auto"/>
        </w:rPr>
        <w:t>Due to the loss of our EGC status as of December 31, 2022, we adopted this Update on January 1, 2022, using the modified-retrospective transition method for assets measured at amortized cost other than available-for-sale debt securities, which was adopted using a prospective transition approach. The adoption of this Update did not have a material impact on our consolidated financial statements.</w:t>
      </w:r>
    </w:p>
    <w:p>
      <w:pPr>
        <w:spacing w:after="0" w:line="6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p>
    <w:p>
      <w:pPr>
        <w:spacing w:after="0" w:line="2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color w:val="auto"/>
        </w:rPr>
        <w:t>Financial Reporting</w:t>
      </w:r>
      <w:r>
        <w:rPr>
          <w:rFonts w:ascii="Arial" w:cs="Arial" w:eastAsia="Arial" w:hAnsi="Arial"/>
          <w:sz w:val="16"/>
          <w:szCs w:val="16"/>
          <w:color w:val="auto"/>
        </w:rPr>
        <w:t>, or Topic 848, that provides optional relief to applying reference rate reform to contracts, hedging relationships, and other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the LIBOR, which has been discontinued as of the end of 2021. Also, in January 2021, the FASB issued ASU No. 2021-01,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848) — Scope, </w:t>
      </w:r>
      <w:r>
        <w:rPr>
          <w:rFonts w:ascii="Arial" w:cs="Arial" w:eastAsia="Arial" w:hAnsi="Arial"/>
          <w:sz w:val="16"/>
          <w:szCs w:val="16"/>
          <w:color w:val="auto"/>
        </w:rPr>
        <w:t>to clarify that cash flow hedges are eligible for certain optional expedients and exceptions for the application of subsequent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to assume perfect effectiveness as previously presented in ASU 2020-04. Topic 848 is effective immediately and may be applied through December 31, 2022. We adopted the provisions of Topic 848 and the adoption did not have a material impact to our consolidated financial statements.</w:t>
      </w:r>
    </w:p>
    <w:p>
      <w:pPr>
        <w:spacing w:after="0" w:line="93"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 This standard eliminates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We adopted this Update on January 1, 2022 and the adoption of this Update did not have a material impact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Measurement—Fair Value Measurement of Equity Securities Subject to Contractual Sale</w:t>
      </w:r>
    </w:p>
    <w:p>
      <w:pPr>
        <w:spacing w:after="0" w:line="23" w:lineRule="exact"/>
        <w:rPr>
          <w:sz w:val="20"/>
          <w:szCs w:val="20"/>
          <w:color w:val="auto"/>
        </w:rPr>
      </w:pPr>
    </w:p>
    <w:p>
      <w:pPr>
        <w:jc w:val="both"/>
        <w:ind w:right="180"/>
        <w:spacing w:after="0" w:line="249" w:lineRule="auto"/>
        <w:rPr>
          <w:sz w:val="20"/>
          <w:szCs w:val="20"/>
          <w:color w:val="auto"/>
        </w:rPr>
      </w:pPr>
      <w:r>
        <w:rPr>
          <w:rFonts w:ascii="Arial" w:cs="Arial" w:eastAsia="Arial" w:hAnsi="Arial"/>
          <w:sz w:val="16"/>
          <w:szCs w:val="16"/>
          <w:i w:val="1"/>
          <w:iCs w:val="1"/>
          <w:color w:val="auto"/>
        </w:rPr>
        <w:t>Restrictions (Topic 820)</w:t>
      </w:r>
      <w:r>
        <w:rPr>
          <w:rFonts w:ascii="Arial" w:cs="Arial" w:eastAsia="Arial" w:hAnsi="Arial"/>
          <w:sz w:val="16"/>
          <w:szCs w:val="16"/>
          <w:color w:val="auto"/>
        </w:rPr>
        <w:t>, or Topic 820, which clarify that a contractual restriction on the sale of an equity security is not considered part of the unit of account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security and, therefore, is not considered in measuring fair value. The amendments are effective for fiscal years beginning after December 15, 2023. We are currently evaluating the impact of the adoption on our consolidated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1"/>
        </w:trPr>
        <w:tc>
          <w:tcPr>
            <w:tcW w:w="692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3"/>
        </w:trPr>
        <w:tc>
          <w:tcPr>
            <w:tcW w:w="6920" w:type="dxa"/>
            <w:vAlign w:val="bottom"/>
          </w:tcPr>
          <w:p>
            <w:pPr>
              <w:ind w:left="400"/>
              <w:spacing w:after="0"/>
              <w:rPr>
                <w:sz w:val="20"/>
                <w:szCs w:val="20"/>
                <w:color w:val="auto"/>
              </w:rPr>
            </w:pPr>
            <w:r>
              <w:rPr>
                <w:rFonts w:ascii="Arial" w:cs="Arial" w:eastAsia="Arial" w:hAnsi="Arial"/>
                <w:sz w:val="16"/>
                <w:szCs w:val="16"/>
                <w:color w:val="auto"/>
              </w:rPr>
              <w:t>Changes in the allowance consisted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2"/>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4,060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9"/>
              </w:rPr>
              <w:t>2,461</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left="441"/>
              <w:spacing w:after="0"/>
              <w:rPr>
                <w:sz w:val="20"/>
                <w:szCs w:val="20"/>
                <w:color w:val="auto"/>
              </w:rPr>
            </w:pPr>
            <w:r>
              <w:rPr>
                <w:rFonts w:ascii="Arial" w:cs="Arial" w:eastAsia="Arial" w:hAnsi="Arial"/>
                <w:sz w:val="16"/>
                <w:szCs w:val="16"/>
                <w:color w:val="auto"/>
                <w:w w:val="99"/>
              </w:rPr>
              <w:t>6,493</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(less): bad debt expense recognized in general and administrative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9"/>
              </w:rPr>
              <w:t>2,170</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421"/>
              <w:spacing w:after="0"/>
              <w:rPr>
                <w:sz w:val="20"/>
                <w:szCs w:val="20"/>
                <w:color w:val="auto"/>
              </w:rPr>
            </w:pPr>
            <w:r>
              <w:rPr>
                <w:rFonts w:ascii="Arial" w:cs="Arial" w:eastAsia="Arial" w:hAnsi="Arial"/>
                <w:sz w:val="16"/>
                <w:szCs w:val="16"/>
                <w:color w:val="auto"/>
                <w:w w:val="98"/>
              </w:rPr>
              <w:t>(5,868)</w:t>
            </w: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4,730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center"/>
              <w:ind w:left="441"/>
              <w:spacing w:after="0"/>
              <w:rPr>
                <w:sz w:val="20"/>
                <w:szCs w:val="20"/>
                <w:color w:val="auto"/>
              </w:rPr>
            </w:pPr>
            <w:r>
              <w:rPr>
                <w:rFonts w:ascii="Arial" w:cs="Arial" w:eastAsia="Arial" w:hAnsi="Arial"/>
                <w:sz w:val="16"/>
                <w:szCs w:val="16"/>
                <w:color w:val="auto"/>
                <w:w w:val="99"/>
              </w:rPr>
              <w:t>5,256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300" w:firstLine="395"/>
        <w:spacing w:after="0" w:line="255"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20"/>
                <w:szCs w:val="20"/>
                <w:color w:val="auto"/>
              </w:rPr>
            </w:pPr>
            <w:r>
              <w:rPr>
                <w:rFonts w:ascii="Arial" w:cs="Arial" w:eastAsia="Arial" w:hAnsi="Arial"/>
                <w:sz w:val="16"/>
                <w:szCs w:val="16"/>
                <w:i w:val="1"/>
                <w:iCs w:val="1"/>
                <w:color w:val="auto"/>
              </w:rPr>
              <w:t>Prepaid Expenses and Other Current Assets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89"/>
        </w:trPr>
        <w:tc>
          <w:tcPr>
            <w:tcW w:w="838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5"/>
        </w:trPr>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r>
      <w:tr>
        <w:trPr>
          <w:trHeight w:val="204"/>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1,819</w:t>
            </w: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w:t>
            </w:r>
          </w:p>
        </w:tc>
      </w:tr>
      <w:tr>
        <w:trPr>
          <w:trHeight w:val="205"/>
        </w:trPr>
        <w:tc>
          <w:tcPr>
            <w:tcW w:w="8380" w:type="dxa"/>
            <w:vAlign w:val="bottom"/>
          </w:tcPr>
          <w:p>
            <w:pPr>
              <w:ind w:left="340"/>
              <w:spacing w:after="0"/>
              <w:rPr>
                <w:sz w:val="20"/>
                <w:szCs w:val="20"/>
                <w:color w:val="auto"/>
              </w:rPr>
            </w:pPr>
            <w:r>
              <w:rPr>
                <w:rFonts w:ascii="Arial" w:cs="Arial" w:eastAsia="Arial" w:hAnsi="Arial"/>
                <w:sz w:val="16"/>
                <w:szCs w:val="16"/>
                <w:color w:val="auto"/>
              </w:rPr>
              <w:t>Total prepaid expenses and other current assets</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16,589</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89"/>
        </w:trPr>
        <w:tc>
          <w:tcPr>
            <w:tcW w:w="838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5"/>
        </w:trPr>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6"/>
                <w:szCs w:val="16"/>
                <w:b w:val="1"/>
                <w:bCs w:val="1"/>
                <w:color w:val="auto"/>
              </w:rPr>
              <w:t>As December 31,</w:t>
            </w:r>
          </w:p>
        </w:tc>
      </w:tr>
      <w:tr>
        <w:trPr>
          <w:trHeight w:val="204"/>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21,858</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18,239</w:t>
            </w: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4,862</w:t>
            </w: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r>
      <w:tr>
        <w:trPr>
          <w:trHeight w:val="23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accrued expenses and other current liabilities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Changes in sales allowances relating to charge-backs, sales credits and refunds consisted of the following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4"/>
              </w:rPr>
              <w:t>4,862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9"/>
              </w:rPr>
              <w:t>4,856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9"/>
              </w:rPr>
              <w:t>4,651</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Add: increase in sales allowances</w:t>
            </w:r>
          </w:p>
        </w:tc>
        <w:tc>
          <w:tcPr>
            <w:tcW w:w="300" w:type="dxa"/>
            <w:vAlign w:val="bottom"/>
          </w:tcPr>
          <w:p>
            <w:pPr>
              <w:spacing w:after="0"/>
              <w:rPr>
                <w:sz w:val="18"/>
                <w:szCs w:val="18"/>
                <w:color w:val="auto"/>
              </w:rPr>
            </w:pPr>
          </w:p>
        </w:tc>
        <w:tc>
          <w:tcPr>
            <w:tcW w:w="1080" w:type="dxa"/>
            <w:vAlign w:val="bottom"/>
          </w:tcPr>
          <w:p>
            <w:pPr>
              <w:jc w:val="center"/>
              <w:ind w:left="461"/>
              <w:spacing w:after="0"/>
              <w:rPr>
                <w:sz w:val="20"/>
                <w:szCs w:val="20"/>
                <w:color w:val="auto"/>
              </w:rPr>
            </w:pPr>
            <w:r>
              <w:rPr>
                <w:rFonts w:ascii="Arial" w:cs="Arial" w:eastAsia="Arial" w:hAnsi="Arial"/>
                <w:sz w:val="16"/>
                <w:szCs w:val="16"/>
                <w:color w:val="auto"/>
                <w:w w:val="94"/>
              </w:rPr>
              <w:t>7,217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left="461"/>
              <w:spacing w:after="0"/>
              <w:rPr>
                <w:sz w:val="20"/>
                <w:szCs w:val="20"/>
                <w:color w:val="auto"/>
              </w:rPr>
            </w:pPr>
            <w:r>
              <w:rPr>
                <w:rFonts w:ascii="Arial" w:cs="Arial" w:eastAsia="Arial" w:hAnsi="Arial"/>
                <w:sz w:val="16"/>
                <w:szCs w:val="16"/>
                <w:color w:val="auto"/>
                <w:w w:val="99"/>
              </w:rPr>
              <w:t>7,998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left="441"/>
              <w:spacing w:after="0"/>
              <w:rPr>
                <w:sz w:val="20"/>
                <w:szCs w:val="20"/>
                <w:color w:val="auto"/>
              </w:rPr>
            </w:pPr>
            <w:r>
              <w:rPr>
                <w:rFonts w:ascii="Arial" w:cs="Arial" w:eastAsia="Arial" w:hAnsi="Arial"/>
                <w:sz w:val="16"/>
                <w:szCs w:val="16"/>
                <w:color w:val="auto"/>
                <w:w w:val="99"/>
              </w:rPr>
              <w:t>9,976</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utilization of reserves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6"/>
                <w:szCs w:val="16"/>
                <w:color w:val="auto"/>
                <w:w w:val="98"/>
              </w:rPr>
              <w:t>(7,653)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441"/>
              <w:spacing w:after="0"/>
              <w:rPr>
                <w:sz w:val="20"/>
                <w:szCs w:val="20"/>
                <w:color w:val="auto"/>
              </w:rPr>
            </w:pPr>
            <w:r>
              <w:rPr>
                <w:rFonts w:ascii="Arial" w:cs="Arial" w:eastAsia="Arial" w:hAnsi="Arial"/>
                <w:sz w:val="16"/>
                <w:szCs w:val="16"/>
                <w:color w:val="auto"/>
                <w:w w:val="98"/>
              </w:rPr>
              <w:t>(7,992)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6"/>
                <w:szCs w:val="16"/>
                <w:color w:val="auto"/>
                <w:w w:val="98"/>
              </w:rPr>
              <w:t>(9,771)</w:t>
            </w:r>
          </w:p>
        </w:tc>
      </w:tr>
      <w:tr>
        <w:trPr>
          <w:trHeight w:val="205"/>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w w:val="94"/>
              </w:rPr>
              <w:t>4,426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w w:val="99"/>
              </w:rPr>
              <w:t>4,862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441"/>
              <w:spacing w:after="0"/>
              <w:rPr>
                <w:sz w:val="20"/>
                <w:szCs w:val="20"/>
                <w:color w:val="auto"/>
              </w:rPr>
            </w:pPr>
            <w:r>
              <w:rPr>
                <w:rFonts w:ascii="Arial" w:cs="Arial" w:eastAsia="Arial" w:hAnsi="Arial"/>
                <w:sz w:val="16"/>
                <w:szCs w:val="16"/>
                <w:color w:val="auto"/>
                <w:w w:val="99"/>
              </w:rPr>
              <w:t>4,856</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9" w:lineRule="exact"/>
        <w:rPr>
          <w:sz w:val="20"/>
          <w:szCs w:val="20"/>
          <w:color w:val="auto"/>
        </w:rPr>
      </w:pPr>
    </w:p>
    <w:p>
      <w:pPr>
        <w:ind w:right="220" w:firstLine="395"/>
        <w:spacing w:after="0" w:line="270"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8,324</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6,913</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3,316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w:t>
            </w:r>
          </w:p>
        </w:tc>
      </w:tr>
      <w:tr>
        <w:trPr>
          <w:trHeight w:val="230"/>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21,745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19" w:lineRule="exact"/>
        <w:rPr>
          <w:sz w:val="20"/>
          <w:szCs w:val="20"/>
          <w:color w:val="auto"/>
        </w:rPr>
      </w:pPr>
    </w:p>
    <w:p>
      <w:pPr>
        <w:jc w:val="both"/>
        <w:ind w:right="260" w:firstLine="395"/>
        <w:spacing w:after="0" w:line="255" w:lineRule="auto"/>
        <w:rPr>
          <w:sz w:val="20"/>
          <w:szCs w:val="20"/>
          <w:color w:val="auto"/>
        </w:rPr>
      </w:pPr>
      <w:r>
        <w:rPr>
          <w:rFonts w:ascii="Arial" w:cs="Arial" w:eastAsia="Arial" w:hAnsi="Arial"/>
          <w:sz w:val="16"/>
          <w:szCs w:val="16"/>
          <w:color w:val="auto"/>
        </w:rPr>
        <w:t>Deferred revenue as of December 31, 2022 and 2021 was $165.1 million and $147.9 million, respectively. Revenue recognized in 2022, 2021 and 2020 that was included in deferred revenue at the beginning of the year was $146.6 million, $127.6 million and $103.5 million, respectively. We expect to recognize substantially all of the deferred revenue as of December 31, 2022 as revenue in 2023.</w:t>
      </w:r>
    </w:p>
    <w:p>
      <w:pPr>
        <w:spacing w:after="0" w:line="85"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estimated timing of revenue recognition as our contracts with customers that have a duration of more than one year are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Assets Held for Sale</w:t>
      </w:r>
    </w:p>
    <w:p>
      <w:pPr>
        <w:spacing w:after="0" w:line="108" w:lineRule="exact"/>
        <w:rPr>
          <w:sz w:val="20"/>
          <w:szCs w:val="20"/>
          <w:color w:val="auto"/>
        </w:rPr>
      </w:pPr>
    </w:p>
    <w:p>
      <w:pPr>
        <w:ind w:right="180" w:firstLine="395"/>
        <w:spacing w:after="0" w:line="263" w:lineRule="auto"/>
        <w:rPr>
          <w:sz w:val="20"/>
          <w:szCs w:val="20"/>
          <w:color w:val="auto"/>
        </w:rPr>
      </w:pPr>
      <w:r>
        <w:rPr>
          <w:rFonts w:ascii="Arial" w:cs="Arial" w:eastAsia="Arial" w:hAnsi="Arial"/>
          <w:sz w:val="16"/>
          <w:szCs w:val="16"/>
          <w:color w:val="auto"/>
        </w:rPr>
        <w:t>In September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upon meeting the held for sale criteria. At December 31, 2022, the total carrying value of the assets held for sale remain at $22.7 million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5140" w:type="dxa"/>
            <w:vAlign w:val="bottom"/>
            <w:gridSpan w:val="3"/>
          </w:tcPr>
          <w:p>
            <w:pPr>
              <w:jc w:val="right"/>
              <w:ind w:right="101"/>
              <w:spacing w:after="0"/>
              <w:rPr>
                <w:sz w:val="20"/>
                <w:szCs w:val="20"/>
                <w:color w:val="auto"/>
              </w:rPr>
            </w:pPr>
            <w:r>
              <w:rPr>
                <w:rFonts w:ascii="Arial" w:cs="Arial" w:eastAsia="Arial" w:hAnsi="Arial"/>
                <w:sz w:val="16"/>
                <w:szCs w:val="16"/>
                <w:b w:val="1"/>
                <w:bCs w:val="1"/>
                <w:color w:val="auto"/>
              </w:rPr>
              <w:t>December 31, 2022</w:t>
            </w:r>
          </w:p>
        </w:tc>
      </w:tr>
      <w:tr>
        <w:trPr>
          <w:trHeight w:val="208"/>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r>
      <w:tr>
        <w:trPr>
          <w:trHeight w:val="20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Building and building improvements</w:t>
            </w:r>
          </w:p>
        </w:tc>
        <w:tc>
          <w:tcPr>
            <w:tcW w:w="35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16,322</w:t>
            </w:r>
          </w:p>
        </w:tc>
      </w:tr>
      <w:tr>
        <w:trPr>
          <w:trHeight w:val="225"/>
        </w:trPr>
        <w:tc>
          <w:tcPr>
            <w:tcW w:w="6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assets held for sale</w:t>
            </w:r>
          </w:p>
        </w:tc>
        <w:tc>
          <w:tcPr>
            <w:tcW w:w="414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00" w:firstLine="395"/>
        <w:spacing w:after="0" w:line="270" w:lineRule="auto"/>
        <w:rPr>
          <w:sz w:val="20"/>
          <w:szCs w:val="20"/>
          <w:color w:val="auto"/>
        </w:rPr>
      </w:pPr>
      <w:r>
        <w:rPr>
          <w:rFonts w:ascii="Arial" w:cs="Arial" w:eastAsia="Arial" w:hAnsi="Arial"/>
          <w:sz w:val="16"/>
          <w:szCs w:val="16"/>
          <w:color w:val="auto"/>
        </w:rPr>
        <w:t>The estimated fair value less costs to sell the assets held for sale exceed their carrying values and hence no impairment was necessary as of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Revvsales, Inc.</w:t>
      </w:r>
    </w:p>
    <w:p>
      <w:pPr>
        <w:spacing w:after="0" w:line="119"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In October 2022, we completed an asset acquisition of Revvsales Inc, or Revv, consisting substantially of acquired developed technology for their self-service document automation and electronic signature platform. Revv’s proprietary technology will enhance our forms library and legal template offerings and will be used to develop modern product experiences and services for small businesses. A purchase price of $6.6 million, which is subject to customary adjustments, was paid at closing and funded by our available cash on hand. The acquisition was accounted for as an asset acquisition because substantially all the value of the assets acquired were concentrated in the acquired technology. Revv’s operations have been included in our consolidated financial statements commencing on the acquisition date.</w:t>
      </w:r>
    </w:p>
    <w:p>
      <w:pPr>
        <w:spacing w:after="0" w:line="73" w:lineRule="exact"/>
        <w:rPr>
          <w:sz w:val="20"/>
          <w:szCs w:val="20"/>
          <w:color w:val="auto"/>
        </w:rPr>
      </w:pPr>
    </w:p>
    <w:p>
      <w:pPr>
        <w:ind w:right="60" w:firstLine="395"/>
        <w:spacing w:after="0" w:line="256" w:lineRule="auto"/>
        <w:rPr>
          <w:sz w:val="20"/>
          <w:szCs w:val="20"/>
          <w:color w:val="auto"/>
        </w:rPr>
      </w:pPr>
      <w:r>
        <w:rPr>
          <w:rFonts w:ascii="Arial" w:cs="Arial" w:eastAsia="Arial" w:hAnsi="Arial"/>
          <w:sz w:val="16"/>
          <w:szCs w:val="16"/>
          <w:color w:val="auto"/>
        </w:rPr>
        <w:t>We allocated the accumulated cost of the acquisition to the assets acquired based on their relative fair values. The accumulated cost of the acquisition includes direct acquisition-related costs and applicable taxes. The estimated fair value of developed technology was $6.5 million and an assembled workforce of $0.1 million, which were determined by using a replacement cost approach. The replacement cost approach consists of developing an estimate of the current cost of a similar new asset having the nearest equivalent utility to the asset being valued. The developed technology rights and assembled workforce will be amortized over a weighted-average period of three years by using the straight-line method.</w:t>
      </w:r>
    </w:p>
    <w:p>
      <w:pPr>
        <w:spacing w:after="0" w:line="71" w:lineRule="exact"/>
        <w:rPr>
          <w:sz w:val="20"/>
          <w:szCs w:val="20"/>
          <w:color w:val="auto"/>
        </w:rPr>
      </w:pPr>
    </w:p>
    <w:p>
      <w:pPr>
        <w:ind w:right="660" w:firstLine="395"/>
        <w:spacing w:after="0" w:line="270" w:lineRule="auto"/>
        <w:rPr>
          <w:sz w:val="20"/>
          <w:szCs w:val="20"/>
          <w:color w:val="auto"/>
        </w:rPr>
      </w:pPr>
      <w:r>
        <w:rPr>
          <w:rFonts w:ascii="Arial" w:cs="Arial" w:eastAsia="Arial" w:hAnsi="Arial"/>
          <w:sz w:val="16"/>
          <w:szCs w:val="16"/>
          <w:color w:val="auto"/>
        </w:rPr>
        <w:t>Separate from the asset acquisition, $2.6 million will be paid to certain Sellers on the first and second anniversaries from asset acquisition date as compensation for maintaining an assembled workforce.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Agency Services, Corp.</w:t>
      </w:r>
    </w:p>
    <w:p>
      <w:pPr>
        <w:spacing w:after="0" w:line="106"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In August 2022, we acquired certain assets and liabilities of United Agency Services Corp, or UA Services, a company providing registered agent services and corporate compliance solutions for $3.5 million of which $2.6 million was paid in cash on the acquisition date and up to $1.0 million will be paid in cash within twelve months, based upon the achievement of certain earnout metrics. This amount has been excluded from the purchase consideration and will be recorded as future compensation expense.</w:t>
      </w:r>
    </w:p>
    <w:p>
      <w:pPr>
        <w:spacing w:after="0" w:line="87"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The acquisition was completed in order to build a more durable registered agency platform and has been accounted for as a business combination. The preliminary purchase price was allocated to the assets acquired and liabilities assumed. Goodwill of $3.3 million arising from the acquisition consisted largely of the assembled workforce and synergies expected from combining our operations. The acquired goodwill is deductible for tax purposes. Acquisition costs related to this transaction of approximately $0.4 million were expensed as incurred and are included in general and administrative expenses in the accompanying consolidated statements of operations.</w:t>
      </w:r>
    </w:p>
    <w:p>
      <w:pPr>
        <w:spacing w:after="0" w:line="87" w:lineRule="exact"/>
        <w:rPr>
          <w:sz w:val="20"/>
          <w:szCs w:val="20"/>
          <w:color w:val="auto"/>
        </w:rPr>
      </w:pPr>
    </w:p>
    <w:p>
      <w:pPr>
        <w:ind w:right="200" w:firstLine="395"/>
        <w:spacing w:after="0" w:line="255" w:lineRule="auto"/>
        <w:rPr>
          <w:sz w:val="20"/>
          <w:szCs w:val="20"/>
          <w:color w:val="auto"/>
        </w:rPr>
      </w:pPr>
      <w:r>
        <w:rPr>
          <w:rFonts w:ascii="Arial" w:cs="Arial" w:eastAsia="Arial" w:hAnsi="Arial"/>
          <w:sz w:val="16"/>
          <w:szCs w:val="16"/>
          <w:color w:val="auto"/>
        </w:rPr>
        <w:t>The revenue and earnings of the acquired business have been included in our results of operations since the acquisition date and are not material to the consolidated financial results. Pro forma revenues and results of operations for this acquisition have not been presented as the impact on our consolidated financial statements is immaterial.</w:t>
      </w:r>
    </w:p>
    <w:p>
      <w:pPr>
        <w:spacing w:after="0" w:line="85" w:lineRule="exact"/>
        <w:rPr>
          <w:sz w:val="20"/>
          <w:szCs w:val="20"/>
          <w:color w:val="auto"/>
        </w:rPr>
      </w:pPr>
    </w:p>
    <w:p>
      <w:pPr>
        <w:ind w:right="180" w:firstLine="395"/>
        <w:spacing w:after="0" w:line="263" w:lineRule="auto"/>
        <w:rPr>
          <w:sz w:val="20"/>
          <w:szCs w:val="20"/>
          <w:color w:val="auto"/>
        </w:rPr>
      </w:pPr>
      <w:r>
        <w:rPr>
          <w:rFonts w:ascii="Arial" w:cs="Arial" w:eastAsia="Arial" w:hAnsi="Arial"/>
          <w:sz w:val="16"/>
          <w:szCs w:val="16"/>
          <w:color w:val="auto"/>
        </w:rPr>
        <w:t>The purchase accounting for this acquisition remains incomplete with respect to acquired contingent liabilities as management continues to gather and evaluate information about circumstances that existed as of the acquisition date. Measurement period adjustments will be recognized in the reporting period in which the adjustment amounts are determined within twelve months from the acquisition date.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Earth Class Mail, Inc.</w:t>
      </w:r>
    </w:p>
    <w:p>
      <w:pPr>
        <w:spacing w:after="0" w:line="106"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6"/>
          <w:szCs w:val="16"/>
          <w:color w:val="auto"/>
        </w:rPr>
        <w:t>In November 2021, we acquired all of the outstanding equity interests in Earth Class Mail, Inc., or Earth Class Mail, a company that provides virtual mailbox solutions for small businesses, in line with our strategy to scale our existing business through building in-house adjacencies for $61.2 million. The purchase price decreased during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year ended December 31, 2022 for a working capital adjustment of $0.3 million and immaterial measurement period adjustments.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80" w:type="dxa"/>
            <w:vAlign w:val="bottom"/>
          </w:tcPr>
          <w:p>
            <w:pPr>
              <w:spacing w:after="0"/>
              <w:rPr>
                <w:sz w:val="17"/>
                <w:szCs w:val="17"/>
                <w:color w:val="auto"/>
              </w:rPr>
            </w:pPr>
          </w:p>
        </w:tc>
        <w:tc>
          <w:tcPr>
            <w:tcW w:w="6040" w:type="dxa"/>
            <w:vAlign w:val="bottom"/>
            <w:gridSpan w:val="5"/>
          </w:tcPr>
          <w:p>
            <w:pPr>
              <w:ind w:left="304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i w:val="1"/>
                <w:iCs w:val="1"/>
                <w:color w:val="auto"/>
              </w:rPr>
              <w:t>(in thousands)</w:t>
            </w:r>
            <w:r>
              <w:rPr>
                <w:rFonts w:ascii="Arial" w:cs="Arial" w:eastAsia="Arial" w:hAnsi="Arial"/>
                <w:sz w:val="14"/>
                <w:szCs w:val="14"/>
                <w:b w:val="1"/>
                <w:bCs w:val="1"/>
                <w:color w:val="auto"/>
              </w:rPr>
              <w:t xml:space="preserve"> Estimated useful life</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180" w:type="dxa"/>
            <w:vAlign w:val="bottom"/>
          </w:tcPr>
          <w:p>
            <w:pPr>
              <w:spacing w:after="0"/>
              <w:rPr>
                <w:sz w:val="18"/>
                <w:szCs w:val="18"/>
                <w:color w:val="auto"/>
              </w:rPr>
            </w:pPr>
          </w:p>
        </w:tc>
        <w:tc>
          <w:tcPr>
            <w:tcW w:w="48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48,617</w:t>
            </w:r>
          </w:p>
        </w:tc>
        <w:tc>
          <w:tcPr>
            <w:tcW w:w="8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10,603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 years</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5,418</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5 years</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26 months</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3-5 years</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3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w:t>
            </w: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purchase consideration</w:t>
            </w:r>
          </w:p>
        </w:tc>
        <w:tc>
          <w:tcPr>
            <w:tcW w:w="3660" w:type="dxa"/>
            <w:vAlign w:val="bottom"/>
            <w:gridSpan w:val="2"/>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61,210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0" w:lineRule="exact"/>
        <w:rPr>
          <w:sz w:val="20"/>
          <w:szCs w:val="20"/>
          <w:color w:val="auto"/>
        </w:rPr>
      </w:pPr>
    </w:p>
    <w:p>
      <w:pPr>
        <w:ind w:right="20" w:firstLine="395"/>
        <w:spacing w:after="0" w:line="263" w:lineRule="auto"/>
        <w:rPr>
          <w:sz w:val="20"/>
          <w:szCs w:val="20"/>
          <w:color w:val="auto"/>
        </w:rPr>
      </w:pPr>
      <w:r>
        <w:rPr>
          <w:rFonts w:ascii="Arial" w:cs="Arial" w:eastAsia="Arial" w:hAnsi="Arial"/>
          <w:sz w:val="16"/>
          <w:szCs w:val="16"/>
          <w:color w:val="auto"/>
        </w:rPr>
        <w:t>Intangible assets acquired from Earth Class Mail included customer relationships of $10.6 million, developed technology of $5.4 million and trade names of $0.2 million, which are being amortized over their estimated useful life using the straight-line method. The excess of the purchase price over the estimated fair value of the net assets acquired was recorded as goodwill.</w:t>
      </w:r>
    </w:p>
    <w:p>
      <w:pPr>
        <w:spacing w:after="0" w:line="66" w:lineRule="exact"/>
        <w:rPr>
          <w:sz w:val="20"/>
          <w:szCs w:val="20"/>
          <w:color w:val="auto"/>
        </w:rPr>
      </w:pPr>
    </w:p>
    <w:p>
      <w:pPr>
        <w:ind w:right="240" w:firstLine="395"/>
        <w:spacing w:after="0" w:line="255" w:lineRule="auto"/>
        <w:rPr>
          <w:sz w:val="20"/>
          <w:szCs w:val="20"/>
          <w:color w:val="auto"/>
        </w:rPr>
      </w:pPr>
      <w:r>
        <w:rPr>
          <w:rFonts w:ascii="Arial" w:cs="Arial" w:eastAsia="Arial" w:hAnsi="Arial"/>
          <w:sz w:val="16"/>
          <w:szCs w:val="16"/>
          <w:color w:val="auto"/>
        </w:rPr>
        <w:t>The resulting goodwill of $48.6 million arising from the acquisition consisted largely of the assembled workforce and synergies expected from combining Earth Class Mail into our operations. The acquired goodwill is not expected to be deductible for tax purposes. Acquisition-related costs, including legal, regulatory, and consulting costs amounted to $1.4 million and were included within general and administrative expenses in our consolidated statement of operations.</w:t>
      </w:r>
    </w:p>
    <w:p>
      <w:pPr>
        <w:spacing w:after="0" w:line="87" w:lineRule="exact"/>
        <w:rPr>
          <w:sz w:val="20"/>
          <w:szCs w:val="20"/>
          <w:color w:val="auto"/>
        </w:rPr>
      </w:pPr>
    </w:p>
    <w:p>
      <w:pPr>
        <w:ind w:right="180" w:firstLine="395"/>
        <w:spacing w:after="0" w:line="263" w:lineRule="auto"/>
        <w:rPr>
          <w:sz w:val="20"/>
          <w:szCs w:val="20"/>
          <w:color w:val="auto"/>
        </w:rPr>
      </w:pPr>
      <w:r>
        <w:rPr>
          <w:rFonts w:ascii="Arial" w:cs="Arial" w:eastAsia="Arial" w:hAnsi="Arial"/>
          <w:sz w:val="16"/>
          <w:szCs w:val="16"/>
          <w:color w:val="auto"/>
        </w:rPr>
        <w:t>The revenue and earnings of the acquired business have been included in our results since the acquisition date and are not material to the our consolidated financial results. Pro forma revenues and results of operations for this acquisition have not been presented as the impact on the our consolidated financial statements would be immaterial.</w:t>
      </w:r>
    </w:p>
    <w:p>
      <w:pPr>
        <w:spacing w:after="0" w:line="66" w:lineRule="exact"/>
        <w:rPr>
          <w:sz w:val="20"/>
          <w:szCs w:val="20"/>
          <w:color w:val="auto"/>
        </w:rPr>
      </w:pPr>
    </w:p>
    <w:p>
      <w:pPr>
        <w:ind w:right="180" w:firstLine="395"/>
        <w:spacing w:after="0" w:line="270" w:lineRule="auto"/>
        <w:rPr>
          <w:sz w:val="20"/>
          <w:szCs w:val="20"/>
          <w:color w:val="auto"/>
        </w:rPr>
      </w:pPr>
      <w:r>
        <w:rPr>
          <w:rFonts w:ascii="Arial" w:cs="Arial" w:eastAsia="Arial" w:hAnsi="Arial"/>
          <w:sz w:val="16"/>
          <w:szCs w:val="16"/>
          <w:color w:val="auto"/>
        </w:rPr>
        <w:t>There were no material measurement period adjustments recorded to the fair values of assets acquired and liabilities assumed during the period and the purchase price is considered final.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Purely Solutions, LLC</w:t>
      </w:r>
    </w:p>
    <w:p>
      <w:pPr>
        <w:spacing w:after="0" w:line="106" w:lineRule="exact"/>
        <w:rPr>
          <w:sz w:val="20"/>
          <w:szCs w:val="20"/>
          <w:color w:val="auto"/>
        </w:rPr>
      </w:pPr>
    </w:p>
    <w:p>
      <w:pPr>
        <w:ind w:right="480" w:firstLine="395"/>
        <w:spacing w:after="0" w:line="287" w:lineRule="auto"/>
        <w:rPr>
          <w:sz w:val="20"/>
          <w:szCs w:val="20"/>
          <w:color w:val="auto"/>
        </w:rPr>
      </w:pPr>
      <w:r>
        <w:rPr>
          <w:rFonts w:ascii="Arial" w:cs="Arial" w:eastAsia="Arial" w:hAnsi="Arial"/>
          <w:sz w:val="16"/>
          <w:szCs w:val="16"/>
          <w:color w:val="auto"/>
        </w:rPr>
        <w:t>In October 2020, we entered into a membership interest purchase agreement with Purely Solutions, LLC, or Pure, in which we acquired 100% of the membership interest as part of our plans to offer tax services. Pure provides tax preparation, tax advisory and payroll services.</w:t>
      </w:r>
    </w:p>
    <w:p>
      <w:pPr>
        <w:spacing w:after="0" w:line="47" w:lineRule="exact"/>
        <w:rPr>
          <w:sz w:val="20"/>
          <w:szCs w:val="20"/>
          <w:color w:val="auto"/>
        </w:rPr>
      </w:pPr>
    </w:p>
    <w:p>
      <w:pPr>
        <w:ind w:right="40" w:firstLine="395"/>
        <w:spacing w:after="0" w:line="252" w:lineRule="auto"/>
        <w:rPr>
          <w:sz w:val="20"/>
          <w:szCs w:val="20"/>
          <w:color w:val="auto"/>
        </w:rPr>
      </w:pPr>
      <w:r>
        <w:rPr>
          <w:rFonts w:ascii="Arial" w:cs="Arial" w:eastAsia="Arial" w:hAnsi="Arial"/>
          <w:sz w:val="16"/>
          <w:szCs w:val="16"/>
          <w:color w:val="auto"/>
        </w:rPr>
        <w:t>The total fair value of the consideration for the acquisition was $2.3 million. Of the total consideration, $1.0 million was paid in cash on the acquisition date, with $0.5 million and $0.8 million to be paid in cash within six and eighteen months, respectively, from the acquisition date based upon certain earnout metrics being achieved including hiring targets and customer experience metrics. In 2022 and 2021, we paid out $0.6 million and $0.5 million upon the earnout metrics being partially and fully achieved, respectively. At December 31, 2021, we had classified the remaining contingent consideration in accrued expenses and other current liabilities in the accompanying consolidated balance sheet.</w:t>
      </w:r>
    </w:p>
    <w:p>
      <w:pPr>
        <w:spacing w:after="0" w:line="87" w:lineRule="exact"/>
        <w:rPr>
          <w:sz w:val="20"/>
          <w:szCs w:val="20"/>
          <w:color w:val="auto"/>
        </w:rPr>
      </w:pPr>
    </w:p>
    <w:p>
      <w:pPr>
        <w:ind w:firstLine="395"/>
        <w:spacing w:after="0" w:line="289" w:lineRule="auto"/>
        <w:rPr>
          <w:sz w:val="20"/>
          <w:szCs w:val="20"/>
          <w:color w:val="auto"/>
        </w:rPr>
      </w:pPr>
      <w:r>
        <w:rPr>
          <w:rFonts w:ascii="Arial" w:cs="Arial" w:eastAsia="Arial" w:hAnsi="Arial"/>
          <w:sz w:val="15"/>
          <w:szCs w:val="15"/>
          <w:color w:val="auto"/>
        </w:rPr>
        <w:t>Intangible assets acquired from Pure included customer relationships of $0.6 million, which are being amortized over their estimated useful life of three years using the straight-line method. The goodwill of $1.6 million arising from the acquisition consists largely of the assembled workforce and synergies expected from combining Pure into our operations. The acquired goodwill is not expected to be deductible for tax purposes. The purchase price allocation is final.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Disposition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Beaumont ABS Limited</w:t>
      </w:r>
    </w:p>
    <w:p>
      <w:pPr>
        <w:spacing w:after="0" w:line="119"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In April 2020, we sold our conveyancing business in the U.K., Beaumont ABS Limited, or Beaumont, to a third-party buyer and paid $1.2 million in working capital to the buyers. Our loss on sale of this business was $1.8 million for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Available-for-sale Debt Securities</w:t>
      </w:r>
    </w:p>
    <w:p>
      <w:pPr>
        <w:spacing w:after="0" w:line="106" w:lineRule="exact"/>
        <w:rPr>
          <w:sz w:val="20"/>
          <w:szCs w:val="20"/>
          <w:color w:val="auto"/>
        </w:rPr>
      </w:pPr>
    </w:p>
    <w:p>
      <w:pPr>
        <w:ind w:right="300" w:firstLine="395"/>
        <w:spacing w:after="0" w:line="287" w:lineRule="auto"/>
        <w:rPr>
          <w:sz w:val="20"/>
          <w:szCs w:val="20"/>
          <w:color w:val="auto"/>
        </w:rPr>
      </w:pPr>
      <w:r>
        <w:rPr>
          <w:rFonts w:ascii="Arial" w:cs="Arial" w:eastAsia="Arial" w:hAnsi="Arial"/>
          <w:sz w:val="16"/>
          <w:szCs w:val="16"/>
          <w:color w:val="auto"/>
        </w:rPr>
        <w:t>In 2019, we invested in Legal Vision Pty Ltd., or Legal Vision, an Australian proprietary limited company that provides online legal services to small and medium size businesses, through the purchase of a convertible promissory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81" w:name="page82"/>
    <w:bookmarkEnd w:id="81"/>
    <w:p>
      <w:pPr>
        <w:ind w:right="100"/>
        <w:spacing w:after="0" w:line="278" w:lineRule="auto"/>
        <w:rPr>
          <w:sz w:val="20"/>
          <w:szCs w:val="20"/>
          <w:color w:val="auto"/>
        </w:rPr>
      </w:pPr>
      <w:r>
        <w:rPr>
          <w:rFonts w:ascii="Arial" w:cs="Arial" w:eastAsia="Arial" w:hAnsi="Arial"/>
          <w:sz w:val="15"/>
          <w:szCs w:val="15"/>
          <w:color w:val="auto"/>
        </w:rPr>
        <w:t>note for a total of Australian Dollar, or AUD $1.0 million ($0.7 million). The convertible promissory note has a maturity term of ten years, which is convertible into Legal Vision’s common stock. The underlying conversion feature is automatically exercisable upon an exit event including an IPO, merger or sale, upon a new financing round, or at our election. At December 31, 2022, we do not hold any equity interests or in-substance common stock in Legal Vision, and accordingly, we have classified the convertible promissory note as an investment in an available-for-sale debt security in the accompanying consolidated balance sheet.</w:t>
      </w:r>
    </w:p>
    <w:p>
      <w:pPr>
        <w:spacing w:after="0" w:line="69" w:lineRule="exact"/>
        <w:rPr>
          <w:sz w:val="20"/>
          <w:szCs w:val="20"/>
          <w:color w:val="auto"/>
        </w:rPr>
      </w:pPr>
    </w:p>
    <w:p>
      <w:pPr>
        <w:ind w:firstLine="395"/>
        <w:spacing w:after="0" w:line="249" w:lineRule="auto"/>
        <w:rPr>
          <w:sz w:val="20"/>
          <w:szCs w:val="20"/>
          <w:color w:val="auto"/>
        </w:rPr>
      </w:pPr>
      <w:r>
        <w:rPr>
          <w:rFonts w:ascii="Arial" w:cs="Arial" w:eastAsia="Arial" w:hAnsi="Arial"/>
          <w:sz w:val="16"/>
          <w:szCs w:val="16"/>
          <w:color w:val="auto"/>
        </w:rPr>
        <w:t>The fair value of the convertible promissory note is based on unobservable inputs that are categorized as Level 3 in the fair value hierarchy. We determined that the conversion option on the Legal Vision convertible promissory note will not have material value until Legal Vision executes on its business plans to drive growth, which consequently will drive the fair value of the associated conversion option in excess of the carrying value of the convertible promissory note. Accordingly, the fair value of the convertible debt approximated its carrying value as of December 31, 2022 and 2021. At December 31, 2022 and 2021, the fair value of our available-for-sale debt security in Legal Vision was AUD $1.5 million ($1.0 million) and AUD $1.5 million ($1.1 million), respectively, with the change due to fair value adjustments during the period. In 2022, key assumptions used in the Monte Carlo simulation model to determine the fair value of the convertible promissory note in Legal Vision were: expected term of 6.3 years, risk-free rate of 3.8% and volatility of 55%. The decline in fair value was non-credit related and therefore was recognized in other comprehensive income (loss) for the year ended December 31, 2022.</w:t>
      </w:r>
    </w:p>
    <w:p>
      <w:pPr>
        <w:spacing w:after="0" w:line="91" w:lineRule="exact"/>
        <w:rPr>
          <w:sz w:val="20"/>
          <w:szCs w:val="20"/>
          <w:color w:val="auto"/>
        </w:rPr>
      </w:pPr>
    </w:p>
    <w:p>
      <w:pPr>
        <w:ind w:right="280" w:firstLine="395"/>
        <w:spacing w:after="0" w:line="255" w:lineRule="auto"/>
        <w:rPr>
          <w:sz w:val="20"/>
          <w:szCs w:val="20"/>
          <w:color w:val="auto"/>
        </w:rPr>
      </w:pPr>
      <w:r>
        <w:rPr>
          <w:rFonts w:ascii="Arial" w:cs="Arial" w:eastAsia="Arial" w:hAnsi="Arial"/>
          <w:sz w:val="16"/>
          <w:szCs w:val="16"/>
          <w:color w:val="auto"/>
        </w:rPr>
        <w:t>Since the Legal Vision convertible promissory note has a contractual maturity date that exceeds one year and we do not intend to liquidate in the next twelve months, we have classified the convertible promissory note as a noncurrent available-for-sale debt security in the accompanying consolidated balance sheets as of December 31, 2022 and 2021, respectively.</w:t>
      </w:r>
    </w:p>
    <w:p>
      <w:pPr>
        <w:spacing w:after="0" w:line="85"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Between 2017 and 2019, we made several investments in firma.de Firmenbaukasten AG, or Firma, a German limited liability company that provides web-based business formation services to small business owners. The initial investments were made through the purchase of convertible promissory notes which are convertible into Firma’s common stock. The initial investments were consolidated into one convertible promissory note in July 2019, which has a maturity date of seven years. The underlying conversion feature is only exercisable upon Firma achieving a trailing 12-month revenue target of EUR €5.0 million any time prior to the maturity date in June 2026. In 2020, we fully impaired our investment in Firma and incurred a loss of $4.8 million as the present value of cash flows expected to be collected was less than the amortized cost basis of the investment. Therefore, we recognized an other-than-temporary impairment of EUR €4.3 million ($4.8 million) in our consolidated statements of operations during the year ended December 31, 2020.</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06"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We hold an equity investment in LawPath, Pty Ltd, or LawPath, an Australian proprietary limited company that provides an online legal platform to individuals and small and medium size businesses. In October 2021, we invested an additional AUD $1.5 million ($1.1 million). The change in fair value, due to an orderly transaction, in our other equity securities was $1.8 million for the year ended December 31, 2021, which was recognized in other income, net in our consolidated statements of operations. At December 31, 2022 and 2021 our total equity interest in LawPath was approximately 14%.</w:t>
      </w:r>
    </w:p>
    <w:p>
      <w:pPr>
        <w:spacing w:after="0" w:line="87"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In December 2018, we purchased shares of Class C nonvoting common units in Mylo, LLC, or Mylo, a digital insurance broker that services small and medium size businesses, for $3.0 million, resulting in a 4% interest in Mylo. In December 2022, we fully impaired our investment in Mylo and incurred a loss of $3.0 million as the fair value of our investment was determined to be zero based upon an observable sale of their common equity. Therefore, we recognized an impairment of $3.0 million in our consolidated statements of operations during the year ended December 31, 2022.</w:t>
      </w:r>
    </w:p>
    <w:p>
      <w:pPr>
        <w:spacing w:after="0" w:line="73" w:lineRule="exact"/>
        <w:rPr>
          <w:sz w:val="20"/>
          <w:szCs w:val="20"/>
          <w:color w:val="auto"/>
        </w:rPr>
      </w:pPr>
    </w:p>
    <w:p>
      <w:pPr>
        <w:ind w:right="260" w:firstLine="395"/>
        <w:spacing w:after="0" w:line="263" w:lineRule="auto"/>
        <w:rPr>
          <w:sz w:val="20"/>
          <w:szCs w:val="20"/>
          <w:color w:val="auto"/>
        </w:rPr>
      </w:pPr>
      <w:r>
        <w:rPr>
          <w:rFonts w:ascii="Arial" w:cs="Arial" w:eastAsia="Arial" w:hAnsi="Arial"/>
          <w:sz w:val="16"/>
          <w:szCs w:val="16"/>
          <w:color w:val="auto"/>
        </w:rPr>
        <w:t>The investment in LawPath does not have readily determinable fair values. There were no other impairments of our investments during the years ended December 31, 2022 and 2021, respectively. At December 31, 2022 and 2021, the carrying value of these investments is included in other assets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20"/>
                <w:szCs w:val="20"/>
                <w:color w:val="auto"/>
              </w:rPr>
            </w:pPr>
            <w:r>
              <w:rPr>
                <w:rFonts w:ascii="Arial" w:cs="Arial" w:eastAsia="Arial" w:hAnsi="Arial"/>
                <w:sz w:val="16"/>
                <w:szCs w:val="16"/>
                <w:b w:val="1"/>
                <w:bCs w:val="1"/>
                <w:color w:val="auto"/>
              </w:rPr>
              <w:t>Note 8. Property and Equipment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1"/>
        </w:trPr>
        <w:tc>
          <w:tcPr>
            <w:tcW w:w="8260" w:type="dxa"/>
            <w:vAlign w:val="bottom"/>
          </w:tcPr>
          <w:p>
            <w:pPr>
              <w:ind w:left="400"/>
              <w:spacing w:after="0"/>
              <w:rPr>
                <w:sz w:val="20"/>
                <w:szCs w:val="20"/>
                <w:color w:val="auto"/>
              </w:rPr>
            </w:pPr>
            <w:r>
              <w:rPr>
                <w:rFonts w:ascii="Arial" w:cs="Arial" w:eastAsia="Arial" w:hAnsi="Arial"/>
                <w:sz w:val="16"/>
                <w:szCs w:val="16"/>
                <w:color w:val="auto"/>
              </w:rPr>
              <w:t>Property and equipment, net, consisted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8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r>
      <w:tr>
        <w:trPr>
          <w:trHeight w:val="204"/>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building improvements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29,856</w:t>
            </w:r>
          </w:p>
        </w:tc>
      </w:tr>
      <w:tr>
        <w:trPr>
          <w:trHeight w:val="236"/>
        </w:trPr>
        <w:tc>
          <w:tcPr>
            <w:tcW w:w="8260" w:type="dxa"/>
            <w:vAlign w:val="bottom"/>
          </w:tcPr>
          <w:p>
            <w:pPr>
              <w:ind w:left="2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6,456</w:t>
            </w: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Internal-use software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67,371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60,946</w:t>
            </w:r>
          </w:p>
        </w:tc>
      </w:tr>
      <w:tr>
        <w:trPr>
          <w:trHeight w:val="236"/>
        </w:trPr>
        <w:tc>
          <w:tcPr>
            <w:tcW w:w="8260" w:type="dxa"/>
            <w:vAlign w:val="bottom"/>
          </w:tcPr>
          <w:p>
            <w:pPr>
              <w:ind w:left="20"/>
              <w:spacing w:after="0"/>
              <w:rPr>
                <w:sz w:val="20"/>
                <w:szCs w:val="20"/>
                <w:color w:val="auto"/>
              </w:rPr>
            </w:pPr>
            <w:r>
              <w:rPr>
                <w:rFonts w:ascii="Arial" w:cs="Arial" w:eastAsia="Arial" w:hAnsi="Arial"/>
                <w:sz w:val="16"/>
                <w:szCs w:val="16"/>
                <w:color w:val="auto"/>
              </w:rPr>
              <w:t>Purchased software</w:t>
            </w:r>
          </w:p>
        </w:tc>
        <w:tc>
          <w:tcPr>
            <w:tcW w:w="30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2,228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2,609</w:t>
            </w: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office equipment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3,332</w:t>
            </w:r>
          </w:p>
        </w:tc>
      </w:tr>
      <w:tr>
        <w:trPr>
          <w:trHeight w:val="236"/>
        </w:trPr>
        <w:tc>
          <w:tcPr>
            <w:tcW w:w="8260" w:type="dxa"/>
            <w:vAlign w:val="bottom"/>
          </w:tcPr>
          <w:p>
            <w:pPr>
              <w:ind w:left="20"/>
              <w:spacing w:after="0"/>
              <w:rPr>
                <w:sz w:val="20"/>
                <w:szCs w:val="20"/>
                <w:color w:val="auto"/>
              </w:rPr>
            </w:pPr>
            <w:r>
              <w:rPr>
                <w:rFonts w:ascii="Arial" w:cs="Arial" w:eastAsia="Arial" w:hAnsi="Arial"/>
                <w:sz w:val="16"/>
                <w:szCs w:val="16"/>
                <w:color w:val="auto"/>
              </w:rPr>
              <w:t>Computer hardware</w:t>
            </w:r>
          </w:p>
        </w:tc>
        <w:tc>
          <w:tcPr>
            <w:tcW w:w="30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14,074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13,762</w:t>
            </w: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4,903</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in-progress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1,178</w:t>
            </w:r>
          </w:p>
        </w:tc>
      </w:tr>
      <w:tr>
        <w:trPr>
          <w:trHeight w:val="218"/>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cost of property and equipment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88,281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123,042</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(57,458)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(76,029)</w:t>
            </w: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30,823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47,013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420" w:firstLine="395"/>
        <w:spacing w:after="0" w:line="287" w:lineRule="auto"/>
        <w:rPr>
          <w:sz w:val="20"/>
          <w:szCs w:val="20"/>
          <w:color w:val="auto"/>
        </w:rPr>
      </w:pPr>
      <w:r>
        <w:rPr>
          <w:rFonts w:ascii="Arial" w:cs="Arial" w:eastAsia="Arial" w:hAnsi="Arial"/>
          <w:sz w:val="16"/>
          <w:szCs w:val="16"/>
          <w:color w:val="auto"/>
        </w:rPr>
        <w:t>Depreciation and amortization expense related to property and equipment was $18.2 million, $15.7 million and $17.3 million for 2022, 2021 and 2020, respectively.</w:t>
      </w:r>
    </w:p>
    <w:p>
      <w:pPr>
        <w:spacing w:after="0" w:line="47" w:lineRule="exact"/>
        <w:rPr>
          <w:sz w:val="20"/>
          <w:szCs w:val="20"/>
          <w:color w:val="auto"/>
        </w:rPr>
      </w:pPr>
    </w:p>
    <w:p>
      <w:pPr>
        <w:ind w:right="200" w:firstLine="395"/>
        <w:spacing w:after="0" w:line="253" w:lineRule="auto"/>
        <w:rPr>
          <w:sz w:val="20"/>
          <w:szCs w:val="20"/>
          <w:color w:val="auto"/>
        </w:rPr>
      </w:pPr>
      <w:r>
        <w:rPr>
          <w:rFonts w:ascii="Arial" w:cs="Arial" w:eastAsia="Arial" w:hAnsi="Arial"/>
          <w:sz w:val="16"/>
          <w:szCs w:val="16"/>
          <w:color w:val="auto"/>
        </w:rPr>
        <w:t>At December 31, 2022, 2021 and 2020, accumulated amortization in connection with internal-use software costs was $41.0 million, $42.5 million and $38.7 million, respectively. In 2022, 2021 and 2020, we recorded amortization expense of $14.6 million, $11.6 million and $12.3 million, respectively, in connection with these costs. Software development in-progress consists primarily of internal-use software projects, which when placed in service, will provide enhancements and improvements to the operational and functional capabilities to our online platforms and our customer-facing website. In 2022 and 2021, we capitalized internal-use software development costs of $21.4 million and $9.9 million, respectively. In 2022, no software development costs were impaired. In 2021 and 2020, we impaired $0.9 million and $1.1 million, respectively, of capitalized software developments costs related primarily to internal-use software projects that no longer met our business requirements or were no longer expected to be placed in service.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Leases</w:t>
      </w:r>
    </w:p>
    <w:p>
      <w:pPr>
        <w:spacing w:after="0" w:line="108"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We conduct operations from certain leased facilities in various locations. At December 31, 2022, we had various non-cancelable operating leases for office space and equipment, which expire between December 31, 2022, and November 30, 2029, and which represent the non-cancelable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spacing w:after="0" w:line="86"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Operating lease liabilities on our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Leases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2"/>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Assets</w:t>
            </w:r>
          </w:p>
        </w:tc>
        <w:tc>
          <w:tcPr>
            <w:tcW w:w="63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b w:val="1"/>
                <w:bCs w:val="1"/>
                <w:color w:val="auto"/>
              </w:rPr>
              <w:t>Classification</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December 31, 2022</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w:t>
            </w:r>
          </w:p>
        </w:tc>
        <w:tc>
          <w:tcPr>
            <w:tcW w:w="63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Operating lease right-of-use assets</w:t>
            </w: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11,148</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w:t>
            </w:r>
          </w:p>
        </w:tc>
        <w:tc>
          <w:tcPr>
            <w:tcW w:w="63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Property and equipment, net</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leases</w:t>
            </w:r>
          </w:p>
        </w:tc>
        <w:tc>
          <w:tcPr>
            <w:tcW w:w="63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11,210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180" w:type="dxa"/>
            <w:vAlign w:val="bottom"/>
            <w:vMerge w:val="continue"/>
          </w:tcPr>
          <w:p>
            <w:pPr>
              <w:spacing w:after="0"/>
              <w:rPr>
                <w:sz w:val="13"/>
                <w:szCs w:val="13"/>
                <w:color w:val="auto"/>
              </w:rPr>
            </w:pPr>
          </w:p>
        </w:tc>
        <w:tc>
          <w:tcPr>
            <w:tcW w:w="6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6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240"/>
              <w:spacing w:after="0"/>
              <w:rPr>
                <w:sz w:val="20"/>
                <w:szCs w:val="20"/>
                <w:color w:val="auto"/>
              </w:rPr>
            </w:pPr>
            <w:r>
              <w:rPr>
                <w:rFonts w:ascii="Arial" w:cs="Arial" w:eastAsia="Arial" w:hAnsi="Arial"/>
                <w:sz w:val="16"/>
                <w:szCs w:val="16"/>
                <w:color w:val="auto"/>
              </w:rPr>
              <w:t>Operating</w:t>
            </w:r>
          </w:p>
        </w:tc>
        <w:tc>
          <w:tcPr>
            <w:tcW w:w="6360" w:type="dxa"/>
            <w:vAlign w:val="bottom"/>
          </w:tcPr>
          <w:p>
            <w:pPr>
              <w:ind w:left="1440"/>
              <w:spacing w:after="0"/>
              <w:rPr>
                <w:sz w:val="20"/>
                <w:szCs w:val="20"/>
                <w:color w:val="auto"/>
              </w:rPr>
            </w:pPr>
            <w:r>
              <w:rPr>
                <w:rFonts w:ascii="Arial" w:cs="Arial" w:eastAsia="Arial" w:hAnsi="Arial"/>
                <w:sz w:val="16"/>
                <w:szCs w:val="16"/>
                <w:color w:val="auto"/>
              </w:rPr>
              <w:t>Operating lease liabilities</w:t>
            </w: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w:t>
            </w:r>
          </w:p>
        </w:tc>
        <w:tc>
          <w:tcPr>
            <w:tcW w:w="63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Accrued expenses and other current liabilities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Non Current</w:t>
            </w:r>
          </w:p>
        </w:tc>
        <w:tc>
          <w:tcPr>
            <w:tcW w:w="6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w:t>
            </w:r>
          </w:p>
        </w:tc>
        <w:tc>
          <w:tcPr>
            <w:tcW w:w="63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Operating lease liabilities, non-current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Finance</w:t>
            </w:r>
          </w:p>
        </w:tc>
        <w:tc>
          <w:tcPr>
            <w:tcW w:w="63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Other liabilities</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lease liabilities</w:t>
            </w:r>
          </w:p>
        </w:tc>
        <w:tc>
          <w:tcPr>
            <w:tcW w:w="63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11,339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right="440" w:firstLine="395"/>
        <w:spacing w:after="0" w:line="270" w:lineRule="auto"/>
        <w:rPr>
          <w:sz w:val="20"/>
          <w:szCs w:val="20"/>
          <w:color w:val="auto"/>
        </w:rPr>
      </w:pPr>
      <w:r>
        <w:rPr>
          <w:rFonts w:ascii="Arial" w:cs="Arial" w:eastAsia="Arial" w:hAnsi="Arial"/>
          <w:sz w:val="16"/>
          <w:szCs w:val="16"/>
          <w:color w:val="auto"/>
        </w:rPr>
        <w:t>At December 31, 2022, the maturities of our remaining operating lease and finance lease liabilities were as follows (in thousands, except years and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gridSpan w:val="7"/>
          </w:tcPr>
          <w:p>
            <w:pPr>
              <w:jc w:val="right"/>
              <w:ind w:right="441"/>
              <w:spacing w:after="0"/>
              <w:rPr>
                <w:sz w:val="20"/>
                <w:szCs w:val="20"/>
                <w:color w:val="auto"/>
              </w:rPr>
            </w:pPr>
            <w:r>
              <w:rPr>
                <w:rFonts w:ascii="Arial" w:cs="Arial" w:eastAsia="Arial" w:hAnsi="Arial"/>
                <w:sz w:val="16"/>
                <w:szCs w:val="16"/>
                <w:b w:val="1"/>
                <w:bCs w:val="1"/>
                <w:color w:val="auto"/>
              </w:rPr>
              <w:t>Year Ended December 31, 2022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9"/>
                <w:szCs w:val="19"/>
                <w:color w:val="auto"/>
              </w:rPr>
            </w:pPr>
          </w:p>
        </w:tc>
        <w:tc>
          <w:tcPr>
            <w:tcW w:w="1420" w:type="dxa"/>
            <w:vAlign w:val="bottom"/>
          </w:tcPr>
          <w:p>
            <w:pPr>
              <w:jc w:val="right"/>
              <w:ind w:right="181"/>
              <w:spacing w:after="0"/>
              <w:rPr>
                <w:sz w:val="20"/>
                <w:szCs w:val="20"/>
                <w:color w:val="auto"/>
              </w:rPr>
            </w:pPr>
            <w:r>
              <w:rPr>
                <w:rFonts w:ascii="Arial" w:cs="Arial" w:eastAsia="Arial" w:hAnsi="Arial"/>
                <w:sz w:val="16"/>
                <w:szCs w:val="16"/>
                <w:b w:val="1"/>
                <w:bCs w:val="1"/>
                <w:color w:val="auto"/>
              </w:rPr>
              <w:t>Finance leases</w:t>
            </w:r>
          </w:p>
        </w:tc>
        <w:tc>
          <w:tcPr>
            <w:tcW w:w="1780" w:type="dxa"/>
            <w:vAlign w:val="bottom"/>
            <w:gridSpan w:val="4"/>
          </w:tcPr>
          <w:p>
            <w:pPr>
              <w:jc w:val="right"/>
              <w:ind w:right="1"/>
              <w:spacing w:after="0"/>
              <w:rPr>
                <w:sz w:val="20"/>
                <w:szCs w:val="20"/>
                <w:color w:val="auto"/>
              </w:rPr>
            </w:pPr>
            <w:r>
              <w:rPr>
                <w:rFonts w:ascii="Arial" w:cs="Arial" w:eastAsia="Arial" w:hAnsi="Arial"/>
                <w:sz w:val="16"/>
                <w:szCs w:val="16"/>
                <w:b w:val="1"/>
                <w:bCs w:val="1"/>
                <w:color w:val="auto"/>
              </w:rPr>
              <w:t>Total leases liabilities</w:t>
            </w:r>
          </w:p>
        </w:tc>
        <w:tc>
          <w:tcPr>
            <w:tcW w:w="0" w:type="dxa"/>
            <w:vAlign w:val="bottom"/>
          </w:tcPr>
          <w:p>
            <w:pPr>
              <w:spacing w:after="0"/>
              <w:rPr>
                <w:sz w:val="1"/>
                <w:szCs w:val="1"/>
                <w:color w:val="auto"/>
              </w:rPr>
            </w:pPr>
          </w:p>
        </w:tc>
      </w:tr>
      <w:tr>
        <w:trPr>
          <w:trHeight w:val="179"/>
        </w:trPr>
        <w:tc>
          <w:tcPr>
            <w:tcW w:w="5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2,764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780" w:type="dxa"/>
            <w:vAlign w:val="bottom"/>
            <w:gridSpan w:val="3"/>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209"/>
        </w:trPr>
        <w:tc>
          <w:tcPr>
            <w:tcW w:w="5880" w:type="dxa"/>
            <w:vAlign w:val="bottom"/>
          </w:tcPr>
          <w:p>
            <w:pPr>
              <w:ind w:left="2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1620" w:type="dxa"/>
            <w:vAlign w:val="bottom"/>
          </w:tcPr>
          <w:p>
            <w:pPr>
              <w:jc w:val="right"/>
              <w:ind w:right="141"/>
              <w:spacing w:after="0"/>
              <w:rPr>
                <w:sz w:val="20"/>
                <w:szCs w:val="20"/>
                <w:color w:val="auto"/>
              </w:rPr>
            </w:pPr>
            <w:r>
              <w:rPr>
                <w:rFonts w:ascii="Arial" w:cs="Arial" w:eastAsia="Arial" w:hAnsi="Arial"/>
                <w:sz w:val="16"/>
                <w:szCs w:val="16"/>
                <w:color w:val="auto"/>
              </w:rPr>
              <w:t>2,392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1,813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09"/>
        </w:trPr>
        <w:tc>
          <w:tcPr>
            <w:tcW w:w="5880" w:type="dxa"/>
            <w:vAlign w:val="bottom"/>
          </w:tcPr>
          <w:p>
            <w:pPr>
              <w:ind w:left="24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1620" w:type="dxa"/>
            <w:vAlign w:val="bottom"/>
          </w:tcPr>
          <w:p>
            <w:pPr>
              <w:jc w:val="right"/>
              <w:ind w:right="141"/>
              <w:spacing w:after="0"/>
              <w:rPr>
                <w:sz w:val="20"/>
                <w:szCs w:val="20"/>
                <w:color w:val="auto"/>
              </w:rPr>
            </w:pPr>
            <w:r>
              <w:rPr>
                <w:rFonts w:ascii="Arial" w:cs="Arial" w:eastAsia="Arial" w:hAnsi="Arial"/>
                <w:sz w:val="16"/>
                <w:szCs w:val="16"/>
                <w:color w:val="auto"/>
              </w:rPr>
              <w:t>1,728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2,456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minimum lease payments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12,814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12,881</w:t>
            </w: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Effects of discounting</w:t>
            </w: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1,539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24"/>
        </w:trPr>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11,275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41"/>
              <w:spacing w:after="0"/>
              <w:rPr>
                <w:sz w:val="20"/>
                <w:szCs w:val="20"/>
                <w:color w:val="auto"/>
              </w:rPr>
            </w:pPr>
            <w:r>
              <w:rPr>
                <w:rFonts w:ascii="Arial" w:cs="Arial" w:eastAsia="Arial" w:hAnsi="Arial"/>
                <w:sz w:val="16"/>
                <w:szCs w:val="16"/>
                <w:color w:val="auto"/>
              </w:rPr>
              <w:t>2,317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780" w:type="dxa"/>
            <w:vAlign w:val="bottom"/>
            <w:gridSpan w:val="3"/>
          </w:tcPr>
          <w:p>
            <w:pPr>
              <w:jc w:val="right"/>
              <w:ind w:right="38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Long-term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8,958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8,986</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6"/>
                <w:szCs w:val="16"/>
                <w:color w:val="auto"/>
              </w:rPr>
              <w:t>Weighted-average remaining lease term</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ind w:left="940"/>
              <w:spacing w:after="0"/>
              <w:rPr>
                <w:sz w:val="20"/>
                <w:szCs w:val="20"/>
                <w:color w:val="auto"/>
              </w:rPr>
            </w:pPr>
            <w:r>
              <w:rPr>
                <w:rFonts w:ascii="Arial" w:cs="Arial" w:eastAsia="Arial" w:hAnsi="Arial"/>
                <w:sz w:val="16"/>
                <w:szCs w:val="16"/>
                <w:color w:val="auto"/>
              </w:rPr>
              <w:t>5.6 years</w:t>
            </w:r>
          </w:p>
        </w:tc>
        <w:tc>
          <w:tcPr>
            <w:tcW w:w="140" w:type="dxa"/>
            <w:vAlign w:val="bottom"/>
          </w:tcPr>
          <w:p>
            <w:pPr>
              <w:spacing w:after="0"/>
              <w:rPr>
                <w:sz w:val="15"/>
                <w:szCs w:val="15"/>
                <w:color w:val="auto"/>
              </w:rPr>
            </w:pPr>
          </w:p>
        </w:tc>
        <w:tc>
          <w:tcPr>
            <w:tcW w:w="2200" w:type="dxa"/>
            <w:vAlign w:val="bottom"/>
            <w:gridSpan w:val="4"/>
          </w:tcPr>
          <w:p>
            <w:pPr>
              <w:jc w:val="right"/>
              <w:ind w:right="601"/>
              <w:spacing w:after="0"/>
              <w:rPr>
                <w:sz w:val="20"/>
                <w:szCs w:val="20"/>
                <w:color w:val="auto"/>
              </w:rPr>
            </w:pPr>
            <w:r>
              <w:rPr>
                <w:rFonts w:ascii="Arial" w:cs="Arial" w:eastAsia="Arial" w:hAnsi="Arial"/>
                <w:sz w:val="16"/>
                <w:szCs w:val="16"/>
                <w:color w:val="auto"/>
              </w:rPr>
              <w:t>1.9 years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400" w:firstLine="395"/>
        <w:spacing w:after="0" w:line="270" w:lineRule="auto"/>
        <w:rPr>
          <w:sz w:val="20"/>
          <w:szCs w:val="20"/>
          <w:color w:val="auto"/>
        </w:rPr>
      </w:pPr>
      <w:r>
        <w:rPr>
          <w:rFonts w:ascii="Arial" w:cs="Arial" w:eastAsia="Arial" w:hAnsi="Arial"/>
          <w:sz w:val="16"/>
          <w:szCs w:val="16"/>
          <w:color w:val="auto"/>
        </w:rPr>
        <w:t>The component of our lease costs included in our consolidated statements of operations for the year ended December 31, 2022, were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20" w:type="dxa"/>
            <w:vAlign w:val="bottom"/>
          </w:tcPr>
          <w:p>
            <w:pPr>
              <w:spacing w:after="0"/>
              <w:rPr>
                <w:sz w:val="18"/>
                <w:szCs w:val="18"/>
                <w:color w:val="auto"/>
              </w:rPr>
            </w:pPr>
          </w:p>
        </w:tc>
        <w:tc>
          <w:tcPr>
            <w:tcW w:w="558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rPr>
              <w:t>December 31, 2022</w:t>
            </w:r>
          </w:p>
        </w:tc>
      </w:tr>
      <w:tr>
        <w:trPr>
          <w:trHeight w:val="196"/>
        </w:trPr>
        <w:tc>
          <w:tcPr>
            <w:tcW w:w="5520" w:type="dxa"/>
            <w:vAlign w:val="bottom"/>
          </w:tcPr>
          <w:p>
            <w:pPr>
              <w:ind w:left="20"/>
              <w:spacing w:after="0"/>
              <w:rPr>
                <w:sz w:val="20"/>
                <w:szCs w:val="20"/>
                <w:color w:val="auto"/>
              </w:rPr>
            </w:pPr>
            <w:r>
              <w:rPr>
                <w:rFonts w:ascii="Arial" w:cs="Arial" w:eastAsia="Arial" w:hAnsi="Arial"/>
                <w:sz w:val="16"/>
                <w:szCs w:val="16"/>
                <w:color w:val="auto"/>
              </w:rPr>
              <w:t>Lease cost</w:t>
            </w:r>
          </w:p>
        </w:tc>
        <w:tc>
          <w:tcPr>
            <w:tcW w:w="4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4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2,384</w:t>
            </w:r>
          </w:p>
        </w:tc>
      </w:tr>
      <w:tr>
        <w:trPr>
          <w:trHeight w:val="209"/>
        </w:trPr>
        <w:tc>
          <w:tcPr>
            <w:tcW w:w="5520" w:type="dxa"/>
            <w:vAlign w:val="bottom"/>
          </w:tcPr>
          <w:p>
            <w:pPr>
              <w:ind w:left="20"/>
              <w:spacing w:after="0"/>
              <w:rPr>
                <w:sz w:val="20"/>
                <w:szCs w:val="20"/>
                <w:color w:val="auto"/>
              </w:rPr>
            </w:pPr>
            <w:r>
              <w:rPr>
                <w:rFonts w:ascii="Arial" w:cs="Arial" w:eastAsia="Arial" w:hAnsi="Arial"/>
                <w:sz w:val="16"/>
                <w:szCs w:val="16"/>
                <w:color w:val="auto"/>
              </w:rPr>
              <w:t>Other variable cost</w:t>
            </w:r>
          </w:p>
        </w:tc>
        <w:tc>
          <w:tcPr>
            <w:tcW w:w="4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250</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4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r>
      <w:tr>
        <w:trPr>
          <w:trHeight w:val="205"/>
        </w:trPr>
        <w:tc>
          <w:tcPr>
            <w:tcW w:w="5520" w:type="dxa"/>
            <w:vAlign w:val="bottom"/>
          </w:tcPr>
          <w:p>
            <w:pPr>
              <w:ind w:left="20"/>
              <w:spacing w:after="0"/>
              <w:rPr>
                <w:sz w:val="20"/>
                <w:szCs w:val="20"/>
                <w:color w:val="auto"/>
              </w:rPr>
            </w:pPr>
            <w:r>
              <w:rPr>
                <w:rFonts w:ascii="Arial" w:cs="Arial" w:eastAsia="Arial" w:hAnsi="Arial"/>
                <w:sz w:val="16"/>
                <w:szCs w:val="16"/>
                <w:color w:val="auto"/>
              </w:rPr>
              <w:t>Net lease cost</w:t>
            </w:r>
          </w:p>
        </w:tc>
        <w:tc>
          <w:tcPr>
            <w:tcW w:w="4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2,651</w:t>
            </w:r>
          </w:p>
        </w:tc>
      </w:tr>
      <w:tr>
        <w:trPr>
          <w:trHeight w:val="20"/>
        </w:trPr>
        <w:tc>
          <w:tcPr>
            <w:tcW w:w="5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future aggregate minimum lease payments calculated under ASC 840 as of December 31, 2021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060" w:right="4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Operating</w:t>
            </w:r>
          </w:p>
        </w:tc>
        <w:tc>
          <w:tcPr>
            <w:tcW w:w="0" w:type="dxa"/>
            <w:vAlign w:val="bottom"/>
          </w:tcPr>
          <w:p>
            <w:pPr>
              <w:spacing w:after="0"/>
              <w:rPr>
                <w:sz w:val="1"/>
                <w:szCs w:val="1"/>
                <w:color w:val="auto"/>
              </w:rPr>
            </w:pPr>
          </w:p>
        </w:tc>
      </w:tr>
      <w:tr>
        <w:trPr>
          <w:trHeight w:val="217"/>
        </w:trPr>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9"/>
              </w:rPr>
              <w:t>Leases</w:t>
            </w:r>
          </w:p>
        </w:tc>
        <w:tc>
          <w:tcPr>
            <w:tcW w:w="0" w:type="dxa"/>
            <w:vAlign w:val="bottom"/>
          </w:tcPr>
          <w:p>
            <w:pPr>
              <w:spacing w:after="0"/>
              <w:rPr>
                <w:sz w:val="1"/>
                <w:szCs w:val="1"/>
                <w:color w:val="auto"/>
              </w:rPr>
            </w:pPr>
          </w:p>
        </w:tc>
      </w:tr>
      <w:tr>
        <w:trPr>
          <w:trHeight w:val="21"/>
        </w:trPr>
        <w:tc>
          <w:tcPr>
            <w:tcW w:w="5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Arial" w:cs="Arial" w:eastAsia="Arial" w:hAnsi="Arial"/>
                <w:sz w:val="16"/>
                <w:szCs w:val="16"/>
                <w:color w:val="auto"/>
              </w:rPr>
              <w:t>2022</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Arial" w:cs="Arial" w:eastAsia="Arial" w:hAnsi="Arial"/>
                <w:sz w:val="16"/>
                <w:szCs w:val="16"/>
                <w:color w:val="auto"/>
              </w:rPr>
              <w:t>2024</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Arial" w:cs="Arial" w:eastAsia="Arial" w:hAnsi="Arial"/>
                <w:sz w:val="16"/>
                <w:szCs w:val="16"/>
                <w:color w:val="auto"/>
              </w:rPr>
              <w:t>2026</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01"/>
        </w:trPr>
        <w:tc>
          <w:tcPr>
            <w:tcW w:w="5300" w:type="dxa"/>
            <w:vAlign w:val="bottom"/>
          </w:tcPr>
          <w:p>
            <w:pPr>
              <w:ind w:left="340"/>
              <w:spacing w:after="0"/>
              <w:rPr>
                <w:sz w:val="20"/>
                <w:szCs w:val="20"/>
                <w:color w:val="auto"/>
              </w:rPr>
            </w:pPr>
            <w:r>
              <w:rPr>
                <w:rFonts w:ascii="Arial" w:cs="Arial" w:eastAsia="Arial" w:hAnsi="Arial"/>
                <w:sz w:val="16"/>
                <w:szCs w:val="16"/>
                <w:color w:val="auto"/>
              </w:rPr>
              <w:t>Total minimum lease payments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6,428</w:t>
            </w:r>
          </w:p>
        </w:tc>
        <w:tc>
          <w:tcPr>
            <w:tcW w:w="0" w:type="dxa"/>
            <w:vAlign w:val="bottom"/>
          </w:tcPr>
          <w:p>
            <w:pPr>
              <w:spacing w:after="0"/>
              <w:rPr>
                <w:sz w:val="1"/>
                <w:szCs w:val="1"/>
                <w:color w:val="auto"/>
              </w:rPr>
            </w:pPr>
          </w:p>
        </w:tc>
      </w:tr>
      <w:tr>
        <w:trPr>
          <w:trHeight w:val="22"/>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Note 10. Goodwill</w:t>
            </w: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1"/>
        </w:trPr>
        <w:tc>
          <w:tcPr>
            <w:tcW w:w="53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60" w:type="dxa"/>
            <w:vAlign w:val="bottom"/>
            <w:gridSpan w:val="3"/>
          </w:tcPr>
          <w:p>
            <w:pPr>
              <w:ind w:left="400"/>
              <w:spacing w:after="0"/>
              <w:rPr>
                <w:sz w:val="20"/>
                <w:szCs w:val="20"/>
                <w:color w:val="auto"/>
              </w:rPr>
            </w:pPr>
            <w:r>
              <w:rPr>
                <w:rFonts w:ascii="Arial" w:cs="Arial" w:eastAsia="Arial" w:hAnsi="Arial"/>
                <w:sz w:val="16"/>
                <w:szCs w:val="16"/>
                <w:color w:val="auto"/>
              </w:rPr>
              <w:t>The changes in goodwill for 2022 and 2021 were as follows (in thousands):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3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11,404</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Acquisition</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48,515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59,910</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gridSpan w:val="8"/>
            <w:vMerge w:val="restart"/>
          </w:tcPr>
          <w:p>
            <w:pPr>
              <w:ind w:left="400"/>
              <w:spacing w:after="0"/>
              <w:rPr>
                <w:sz w:val="20"/>
                <w:szCs w:val="20"/>
                <w:color w:val="auto"/>
              </w:rPr>
            </w:pPr>
            <w:r>
              <w:rPr>
                <w:rFonts w:ascii="Arial" w:cs="Arial" w:eastAsia="Arial" w:hAnsi="Arial"/>
                <w:sz w:val="16"/>
                <w:szCs w:val="16"/>
                <w:color w:val="auto"/>
              </w:rPr>
              <w:t>As discussed in Note 5, we acquired UA Services in August 2022 and Earth Class Mail in November 2021.</w:t>
            </w: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6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0"/>
                <w:szCs w:val="20"/>
                <w:color w:val="auto"/>
              </w:rPr>
            </w:pPr>
            <w:r>
              <w:rPr>
                <w:rFonts w:ascii="Arial" w:cs="Arial" w:eastAsia="Arial" w:hAnsi="Arial"/>
                <w:sz w:val="16"/>
                <w:szCs w:val="16"/>
                <w:b w:val="1"/>
                <w:bCs w:val="1"/>
                <w:color w:val="auto"/>
              </w:rPr>
              <w:t>Note 11. Intangible Assets, net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400"/>
              <w:spacing w:after="0"/>
              <w:rPr>
                <w:sz w:val="20"/>
                <w:szCs w:val="20"/>
                <w:color w:val="auto"/>
              </w:rPr>
            </w:pPr>
            <w:r>
              <w:rPr>
                <w:rFonts w:ascii="Arial" w:cs="Arial" w:eastAsia="Arial" w:hAnsi="Arial"/>
                <w:sz w:val="16"/>
                <w:szCs w:val="16"/>
                <w:color w:val="auto"/>
              </w:rPr>
              <w:t>Intangible assets, net, consisted of the following (in thousands):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5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As of December 31, 2022</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460" w:type="dxa"/>
            <w:vAlign w:val="bottom"/>
            <w:gridSpan w:val="2"/>
          </w:tcPr>
          <w:p>
            <w:pPr>
              <w:jc w:val="center"/>
              <w:ind w:right="80"/>
              <w:spacing w:after="0" w:line="152" w:lineRule="exact"/>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3"/>
                <w:szCs w:val="13"/>
                <w:color w:val="auto"/>
              </w:rPr>
            </w:pPr>
          </w:p>
        </w:tc>
        <w:tc>
          <w:tcPr>
            <w:tcW w:w="1180" w:type="dxa"/>
            <w:vAlign w:val="bottom"/>
            <w:gridSpan w:val="4"/>
            <w:vMerge w:val="restart"/>
          </w:tcPr>
          <w:p>
            <w:pPr>
              <w:jc w:val="center"/>
              <w:ind w:right="32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46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7"/>
              </w:rPr>
              <w:t>Weighted</w:t>
            </w:r>
          </w:p>
        </w:tc>
        <w:tc>
          <w:tcPr>
            <w:tcW w:w="22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auto"/>
                <w:w w:val="97"/>
              </w:rPr>
              <w:t>Net Carrying</w:t>
            </w: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46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8"/>
              </w:rPr>
              <w:t>average useful</w:t>
            </w:r>
          </w:p>
        </w:tc>
        <w:tc>
          <w:tcPr>
            <w:tcW w:w="220" w:type="dxa"/>
            <w:vAlign w:val="bottom"/>
          </w:tcPr>
          <w:p>
            <w:pPr>
              <w:spacing w:after="0"/>
              <w:rPr>
                <w:sz w:val="13"/>
                <w:szCs w:val="13"/>
                <w:color w:val="auto"/>
              </w:rPr>
            </w:pPr>
          </w:p>
        </w:tc>
        <w:tc>
          <w:tcPr>
            <w:tcW w:w="118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3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life (in years)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8,541</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6,689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10,124</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Assembled workforce</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18,900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b w:val="1"/>
                <w:bCs w:val="1"/>
                <w:color w:val="auto"/>
              </w:rPr>
              <w:t>As of December 31,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460" w:type="dxa"/>
            <w:vAlign w:val="bottom"/>
            <w:gridSpan w:val="2"/>
          </w:tcPr>
          <w:p>
            <w:pPr>
              <w:jc w:val="center"/>
              <w:ind w:right="100"/>
              <w:spacing w:after="0" w:line="152" w:lineRule="exact"/>
              <w:rPr>
                <w:sz w:val="20"/>
                <w:szCs w:val="20"/>
                <w:color w:val="auto"/>
              </w:rPr>
            </w:pPr>
            <w:r>
              <w:rPr>
                <w:rFonts w:ascii="Arial" w:cs="Arial" w:eastAsia="Arial" w:hAnsi="Arial"/>
                <w:sz w:val="16"/>
                <w:szCs w:val="16"/>
                <w:b w:val="1"/>
                <w:bCs w:val="1"/>
                <w:color w:val="auto"/>
                <w:w w:val="97"/>
              </w:rPr>
              <w:t>Remaining</w:t>
            </w:r>
          </w:p>
        </w:tc>
        <w:tc>
          <w:tcPr>
            <w:tcW w:w="220" w:type="dxa"/>
            <w:vAlign w:val="bottom"/>
          </w:tcPr>
          <w:p>
            <w:pPr>
              <w:spacing w:after="0"/>
              <w:rPr>
                <w:sz w:val="13"/>
                <w:szCs w:val="13"/>
                <w:color w:val="auto"/>
              </w:rPr>
            </w:pPr>
          </w:p>
        </w:tc>
        <w:tc>
          <w:tcPr>
            <w:tcW w:w="1180" w:type="dxa"/>
            <w:vAlign w:val="bottom"/>
            <w:gridSpan w:val="4"/>
            <w:vMerge w:val="restart"/>
          </w:tcPr>
          <w:p>
            <w:pPr>
              <w:jc w:val="center"/>
              <w:ind w:right="340"/>
              <w:spacing w:after="0"/>
              <w:rPr>
                <w:sz w:val="20"/>
                <w:szCs w:val="20"/>
                <w:color w:val="auto"/>
              </w:rPr>
            </w:pPr>
            <w:r>
              <w:rPr>
                <w:rFonts w:ascii="Arial" w:cs="Arial" w:eastAsia="Arial" w:hAnsi="Arial"/>
                <w:sz w:val="16"/>
                <w:szCs w:val="16"/>
                <w:b w:val="1"/>
                <w:bCs w:val="1"/>
                <w:color w:val="auto"/>
                <w:w w:val="95"/>
              </w:rPr>
              <w:t>Gross</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46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7"/>
              </w:rPr>
              <w:t>Weighted</w:t>
            </w:r>
          </w:p>
        </w:tc>
        <w:tc>
          <w:tcPr>
            <w:tcW w:w="22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181"/>
              <w:spacing w:after="0"/>
              <w:rPr>
                <w:sz w:val="20"/>
                <w:szCs w:val="20"/>
                <w:color w:val="auto"/>
              </w:rPr>
            </w:pPr>
            <w:r>
              <w:rPr>
                <w:rFonts w:ascii="Arial" w:cs="Arial" w:eastAsia="Arial" w:hAnsi="Arial"/>
                <w:sz w:val="16"/>
                <w:szCs w:val="16"/>
                <w:b w:val="1"/>
                <w:bCs w:val="1"/>
                <w:color w:val="auto"/>
                <w:w w:val="97"/>
              </w:rPr>
              <w:t>Net Carrying</w:t>
            </w: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46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8"/>
              </w:rPr>
              <w:t>average useful</w:t>
            </w:r>
          </w:p>
        </w:tc>
        <w:tc>
          <w:tcPr>
            <w:tcW w:w="220" w:type="dxa"/>
            <w:vAlign w:val="bottom"/>
          </w:tcPr>
          <w:p>
            <w:pPr>
              <w:spacing w:after="0"/>
              <w:rPr>
                <w:sz w:val="13"/>
                <w:szCs w:val="13"/>
                <w:color w:val="auto"/>
              </w:rPr>
            </w:pPr>
          </w:p>
        </w:tc>
        <w:tc>
          <w:tcPr>
            <w:tcW w:w="1180" w:type="dxa"/>
            <w:vAlign w:val="bottom"/>
            <w:gridSpan w:val="4"/>
          </w:tcPr>
          <w:p>
            <w:pPr>
              <w:jc w:val="center"/>
              <w:ind w:right="340"/>
              <w:spacing w:after="0" w:line="158"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life (in years)</w:t>
            </w:r>
          </w:p>
        </w:tc>
        <w:tc>
          <w:tcPr>
            <w:tcW w:w="220" w:type="dxa"/>
            <w:vAlign w:val="bottom"/>
          </w:tcPr>
          <w:p>
            <w:pPr>
              <w:spacing w:after="0"/>
              <w:rPr>
                <w:sz w:val="18"/>
                <w:szCs w:val="18"/>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6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8,470</w:t>
            </w:r>
          </w:p>
        </w:tc>
        <w:tc>
          <w:tcPr>
            <w:tcW w:w="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10,693</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10,605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5,487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5,118</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30,288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14,257</w:t>
            </w:r>
          </w:p>
        </w:tc>
        <w:tc>
          <w:tcPr>
            <w:tcW w:w="2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5" w:name="page86"/>
    <w:bookmarkEnd w:id="85"/>
    <w:p>
      <w:pPr>
        <w:ind w:right="40" w:firstLine="395"/>
        <w:spacing w:after="0" w:line="270" w:lineRule="auto"/>
        <w:rPr>
          <w:sz w:val="20"/>
          <w:szCs w:val="20"/>
          <w:color w:val="auto"/>
        </w:rPr>
      </w:pPr>
      <w:r>
        <w:rPr>
          <w:rFonts w:ascii="Arial" w:cs="Arial" w:eastAsia="Arial" w:hAnsi="Arial"/>
          <w:sz w:val="16"/>
          <w:szCs w:val="16"/>
          <w:color w:val="auto"/>
        </w:rPr>
        <w:t>As discussed in Note 5, we acquired Revv in October 2022, UA Services in August 2022 and Earth Class Mail in November 2021. In 2022, 2021 and 2020, we recorded amortization expense of $3.5 million, $1.0 million and $2.8 million, 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2022, estimated future intangible assets amortization expense was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60" w:type="dxa"/>
            <w:vAlign w:val="bottom"/>
          </w:tcPr>
          <w:p>
            <w:pPr>
              <w:ind w:left="20"/>
              <w:spacing w:after="0"/>
              <w:rPr>
                <w:sz w:val="20"/>
                <w:szCs w:val="20"/>
                <w:color w:val="auto"/>
              </w:rPr>
            </w:pPr>
            <w:r>
              <w:rPr>
                <w:rFonts w:ascii="Arial" w:cs="Arial" w:eastAsia="Arial" w:hAnsi="Arial"/>
                <w:sz w:val="16"/>
                <w:szCs w:val="16"/>
                <w:b w:val="1"/>
                <w:bCs w:val="1"/>
                <w:color w:val="auto"/>
              </w:rPr>
              <w:t>For Years Ending December 31,</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5,165</w:t>
            </w:r>
          </w:p>
        </w:tc>
      </w:tr>
      <w:tr>
        <w:trPr>
          <w:trHeight w:val="209"/>
        </w:trPr>
        <w:tc>
          <w:tcPr>
            <w:tcW w:w="9860" w:type="dxa"/>
            <w:vAlign w:val="bottom"/>
          </w:tcPr>
          <w:p>
            <w:pPr>
              <w:ind w:left="20"/>
              <w:spacing w:after="0"/>
              <w:rPr>
                <w:sz w:val="20"/>
                <w:szCs w:val="20"/>
                <w:color w:val="auto"/>
              </w:rPr>
            </w:pPr>
            <w:r>
              <w:rPr>
                <w:rFonts w:ascii="Arial" w:cs="Arial" w:eastAsia="Arial" w:hAnsi="Arial"/>
                <w:sz w:val="16"/>
                <w:szCs w:val="16"/>
                <w:color w:val="auto"/>
              </w:rPr>
              <w:t>2024</w:t>
            </w:r>
          </w:p>
        </w:tc>
        <w:tc>
          <w:tcPr>
            <w:tcW w:w="4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5,082</w:t>
            </w:r>
          </w:p>
        </w:tc>
      </w:tr>
      <w:tr>
        <w:trPr>
          <w:trHeight w:val="212"/>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4,510</w:t>
            </w:r>
          </w:p>
        </w:tc>
      </w:tr>
      <w:tr>
        <w:trPr>
          <w:trHeight w:val="209"/>
        </w:trPr>
        <w:tc>
          <w:tcPr>
            <w:tcW w:w="9860" w:type="dxa"/>
            <w:vAlign w:val="bottom"/>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2,670</w:t>
            </w:r>
          </w:p>
        </w:tc>
      </w:tr>
      <w:tr>
        <w:trPr>
          <w:trHeight w:val="212"/>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1,473</w:t>
            </w:r>
          </w:p>
        </w:tc>
      </w:tr>
      <w:tr>
        <w:trPr>
          <w:trHeight w:val="202"/>
        </w:trPr>
        <w:tc>
          <w:tcPr>
            <w:tcW w:w="9860" w:type="dxa"/>
            <w:vAlign w:val="bottom"/>
          </w:tcPr>
          <w:p>
            <w:pPr>
              <w:ind w:left="340"/>
              <w:spacing w:after="0"/>
              <w:rPr>
                <w:sz w:val="20"/>
                <w:szCs w:val="20"/>
                <w:color w:val="auto"/>
              </w:rPr>
            </w:pPr>
            <w:r>
              <w:rPr>
                <w:rFonts w:ascii="Arial" w:cs="Arial" w:eastAsia="Arial" w:hAnsi="Arial"/>
                <w:sz w:val="16"/>
                <w:szCs w:val="16"/>
                <w:color w:val="auto"/>
              </w:rPr>
              <w:t>Total future amortization expense</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18,900</w:t>
            </w:r>
          </w:p>
        </w:tc>
      </w:tr>
      <w:tr>
        <w:trPr>
          <w:trHeight w:val="21"/>
        </w:trPr>
        <w:tc>
          <w:tcPr>
            <w:tcW w:w="9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Long-term Debt</w:t>
      </w:r>
    </w:p>
    <w:p>
      <w:pPr>
        <w:spacing w:after="0" w:line="108"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In November 2018, we entered into an amended first lien credit and guaranty agreement, or 2018 Credit Facility, which consisted of a first lien term loan facility, or 2018 Term Loan, with a principal amount of $535.0 million and a 2018 Revolving Facility of $40.0 million, or 2018 Revolving Facility. In July 2021, upon the completion of our IPO, we repaid the then outstanding principal of $521.6 million of our 2018 Term Loan in full. We incurred a loss on debt extinguishment of $7.7 million related to unamortized debt issuance costs. 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as well as borrowings on same-day notice, referred to as swingline loans, in an amount of up to $10.0 million. Additional debt issuance costs of $0.8 million were allocated to the 2021 Revolving Facility.</w:t>
      </w:r>
    </w:p>
    <w:p>
      <w:pPr>
        <w:spacing w:after="0" w:line="182" w:lineRule="exact"/>
        <w:rPr>
          <w:sz w:val="20"/>
          <w:szCs w:val="20"/>
          <w:color w:val="auto"/>
        </w:rPr>
      </w:pPr>
    </w:p>
    <w:p>
      <w:pPr>
        <w:ind w:right="40" w:firstLine="395"/>
        <w:spacing w:after="0" w:line="250" w:lineRule="auto"/>
        <w:rPr>
          <w:sz w:val="20"/>
          <w:szCs w:val="20"/>
          <w:color w:val="auto"/>
        </w:rPr>
      </w:pPr>
      <w:r>
        <w:rPr>
          <w:rFonts w:ascii="Arial" w:cs="Arial" w:eastAsia="Arial" w:hAnsi="Arial"/>
          <w:sz w:val="16"/>
          <w:szCs w:val="16"/>
          <w:color w:val="auto"/>
        </w:rPr>
        <w:t>The interest rate applicable to the 2021 Revolving Facility is, at our option, at a rate equal to the greatest of (i) the administrative agent’s prime rate (ii) the federal funds effective rate plus 1/2 of 1.0% or (iii) one month LIBOR (subject to a 1.00% floor), plus 1.00% or LIBOR (subject to a 0.00% floor) plus 2.00%. The interest rate margins under the 2021 Revolving Facility are subject to one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one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spacing w:after="0" w:line="76"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87"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66" w:lineRule="exact"/>
        <w:rPr>
          <w:sz w:val="20"/>
          <w:szCs w:val="20"/>
          <w:color w:val="auto"/>
        </w:rPr>
      </w:pPr>
    </w:p>
    <w:p>
      <w:pPr>
        <w:ind w:right="540" w:firstLine="395"/>
        <w:spacing w:after="0" w:line="270" w:lineRule="auto"/>
        <w:rPr>
          <w:sz w:val="20"/>
          <w:szCs w:val="20"/>
          <w:color w:val="auto"/>
        </w:rPr>
      </w:pPr>
      <w:r>
        <w:rPr>
          <w:rFonts w:ascii="Arial" w:cs="Arial" w:eastAsia="Arial" w:hAnsi="Arial"/>
          <w:sz w:val="16"/>
          <w:szCs w:val="16"/>
          <w:color w:val="auto"/>
        </w:rPr>
        <w:t>At December 31, 2022 and 2021, we had no amounts outstanding under our 2021 Revolving Facility or any outstanding letters of credit. We were in compliance with all financial covenants as of December 31,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Derivative Financial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Swaps</w:t>
      </w:r>
    </w:p>
    <w:p>
      <w:pPr>
        <w:spacing w:after="0" w:line="119" w:lineRule="exact"/>
        <w:rPr>
          <w:sz w:val="20"/>
          <w:szCs w:val="20"/>
          <w:color w:val="auto"/>
        </w:rPr>
      </w:pPr>
    </w:p>
    <w:p>
      <w:pPr>
        <w:jc w:val="both"/>
        <w:ind w:right="160" w:firstLine="395"/>
        <w:spacing w:after="0" w:line="255" w:lineRule="auto"/>
        <w:rPr>
          <w:sz w:val="20"/>
          <w:szCs w:val="20"/>
          <w:color w:val="auto"/>
        </w:rPr>
      </w:pPr>
      <w:r>
        <w:rPr>
          <w:rFonts w:ascii="Arial" w:cs="Arial" w:eastAsia="Arial" w:hAnsi="Arial"/>
          <w:sz w:val="16"/>
          <w:szCs w:val="16"/>
          <w:color w:val="auto"/>
        </w:rPr>
        <w:t>In April 2019, we entered into two interest rate swaps, or initial swaps, to manage cash flow exposure and exposure to interest rate fluctuations under our 2018 Term Loan. The initial swaps would have matured in April 2022. Under the swap agreements, we were required to pay interest at a fixed rate of 2.3% per annum and receive interest at a variable rate indexed to one-month LIBOR. The initial notional amount of each initial swap was $66.0 million.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86" w:name="page87"/>
    <w:bookmarkEnd w:id="86"/>
    <w:p>
      <w:pPr>
        <w:ind w:left="400"/>
        <w:spacing w:after="0"/>
        <w:rPr>
          <w:sz w:val="20"/>
          <w:szCs w:val="20"/>
          <w:color w:val="auto"/>
        </w:rPr>
      </w:pPr>
      <w:r>
        <w:rPr>
          <w:rFonts w:ascii="Arial" w:cs="Arial" w:eastAsia="Arial" w:hAnsi="Arial"/>
          <w:sz w:val="16"/>
          <w:szCs w:val="16"/>
          <w:color w:val="auto"/>
        </w:rPr>
        <w:t>The initial swaps were accounted for as cash flow hedges as the transactions were executed to hedge our future interest payments.</w:t>
      </w:r>
    </w:p>
    <w:p>
      <w:pPr>
        <w:spacing w:after="0" w:line="106" w:lineRule="exact"/>
        <w:rPr>
          <w:sz w:val="20"/>
          <w:szCs w:val="20"/>
          <w:color w:val="auto"/>
        </w:rPr>
      </w:pPr>
    </w:p>
    <w:p>
      <w:pPr>
        <w:ind w:firstLine="395"/>
        <w:spacing w:after="0" w:line="261" w:lineRule="auto"/>
        <w:rPr>
          <w:sz w:val="20"/>
          <w:szCs w:val="20"/>
          <w:color w:val="auto"/>
        </w:rPr>
      </w:pPr>
      <w:r>
        <w:rPr>
          <w:rFonts w:ascii="Arial" w:cs="Arial" w:eastAsia="Arial" w:hAnsi="Arial"/>
          <w:sz w:val="16"/>
          <w:szCs w:val="16"/>
          <w:color w:val="auto"/>
        </w:rPr>
        <w:t>At June 30, 2021, the interest rate swap contracts had an aggregate notional amount of $394.2 million, which were designated as cash flow hedges. In July 2021, upon the full repayment of our 2018 Term Loan, our interest rate swaps were discontinued as cash flow hedges and were subsequently extinguished. We paid $13.6 million to extinguish our interest rate swaps and hybrid debt. Upon discontinuance of the interest rate swaps as cash flow hedges, the unrealized losses of $9.2 million for the intervening period were recognized in interest expense, net.</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were no interest rate swaps outstanding as of December 31, 2022 and 2021.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Guarantee</w:t>
      </w:r>
    </w:p>
    <w:p>
      <w:pPr>
        <w:spacing w:after="0" w:line="119"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In September 2019, we provided a financial guarantee relating to a former executive officer upon their voluntary termination. The executive officer entered into a personal loan with a financial institution for $50.0 million with a three-year term. The personal loan was collateralized by personal assets, an investment portfolio and our common stock owned by the former executive officer. We provided a financial guarantee to the financial institution up to $25.0 million had the former executive officer defaulted or not met certain collateral requirements throughout the term of the personal loan. We deposited $25.0 million into a money market fund with the financial institution, or restricted cash equivalent, to evidence this financial guarantee. Had the former executive officer not met certain collateral requirements or defaulted on the personal loan, the financial institution would have had the ability to use our restricted cash equivalent for any shortfall up to $25.0 million. In that event, we would have had full recourse against the former executive officer to recover the amount retained by the financial institution up to $25.0 million. The personal loan was required to be repaid by the former executive officer prior to our making a public filing with the Securities and Exchange Commission, or SEC, for our IPO, or September 2022, whichever came first. In the event of our IPO, the former executive officer had the option to sell up to $25.0 million of his common stock back to us to pay off the personal loan with the financial institution.</w:t>
      </w:r>
    </w:p>
    <w:p>
      <w:pPr>
        <w:spacing w:after="0" w:line="91" w:lineRule="exact"/>
        <w:rPr>
          <w:sz w:val="20"/>
          <w:szCs w:val="20"/>
          <w:color w:val="auto"/>
        </w:rPr>
      </w:pPr>
    </w:p>
    <w:p>
      <w:pPr>
        <w:ind w:right="300" w:firstLine="395"/>
        <w:spacing w:after="0" w:line="252" w:lineRule="auto"/>
        <w:rPr>
          <w:sz w:val="20"/>
          <w:szCs w:val="20"/>
          <w:color w:val="auto"/>
        </w:rPr>
      </w:pPr>
      <w:r>
        <w:rPr>
          <w:rFonts w:ascii="Arial" w:cs="Arial" w:eastAsia="Arial" w:hAnsi="Arial"/>
          <w:sz w:val="16"/>
          <w:szCs w:val="16"/>
          <w:color w:val="auto"/>
        </w:rPr>
        <w:t>The financial guarantee was accounted for as a derivative at fair value with changes in fair value recorded in other income, net in our consolidated statements of operations. The financial guarantee had a term of three years and matured in September 2022. In June 2021, the financial guarantee was terminated and we recognized a gain of $0.1 million from the cancellation of our financial guarantee derivative in other income (expense), net in the accompanying consolidated statements of operations. The associated restricted cash equivalent of $25.0 million became unrestricted and was reclassified to cash and cash equivalents.</w:t>
      </w:r>
    </w:p>
    <w:p>
      <w:pPr>
        <w:spacing w:after="0" w:line="87"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The impact from losses from our interest rate cap, interest rate swaps, and hybrid debt in our consolidated statements of operations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8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Settlement of interest rate swaps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1,103</w:t>
            </w: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Amortization of prior hedge effectiveness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3,481</w:t>
            </w: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adjustment of interest rate swap</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Amortization of interest rate cap premium</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194</w:t>
            </w:r>
          </w:p>
        </w:tc>
      </w:tr>
      <w:tr>
        <w:trPr>
          <w:trHeight w:val="212"/>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hybrid debt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w:t>
            </w:r>
          </w:p>
        </w:tc>
      </w:tr>
      <w:tr>
        <w:trPr>
          <w:trHeight w:val="209"/>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Discontinuance of interest rate swaps and prior hedge effectiveness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05"/>
        </w:trPr>
        <w:tc>
          <w:tcPr>
            <w:tcW w:w="8380" w:type="dxa"/>
            <w:vAlign w:val="bottom"/>
            <w:gridSpan w:val="2"/>
          </w:tcPr>
          <w:p>
            <w:pPr>
              <w:ind w:left="340"/>
              <w:spacing w:after="0"/>
              <w:rPr>
                <w:sz w:val="20"/>
                <w:szCs w:val="20"/>
                <w:color w:val="auto"/>
              </w:rPr>
            </w:pPr>
            <w:r>
              <w:rPr>
                <w:rFonts w:ascii="Arial" w:cs="Arial" w:eastAsia="Arial" w:hAnsi="Arial"/>
                <w:sz w:val="16"/>
                <w:szCs w:val="16"/>
                <w:color w:val="auto"/>
              </w:rPr>
              <w:t>Total, recorded in interest expense, net</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5,408</w:t>
            </w:r>
          </w:p>
        </w:tc>
      </w:tr>
      <w:tr>
        <w:trPr>
          <w:trHeight w:val="20"/>
        </w:trPr>
        <w:tc>
          <w:tcPr>
            <w:tcW w:w="8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Media and Other Commitments</w:t>
      </w:r>
    </w:p>
    <w:p>
      <w:pPr>
        <w:spacing w:after="0" w:line="119"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color w:val="auto"/>
        </w:rPr>
        <w:t>We use a variety of media to advertise our services, including search engine marketing, television and radio. At December 31, 2022, we had non-cancelable minimum advertising and media commitments for future advertising spots of $8.1 million, substantially all of which will be paid over a two year period. We also have non-cancelable agreements with various vendors, which require us to pay $67.9 million over a five year period, of which $51.1 million remains to be paid as of December 31, 2022.</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19"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Dun &amp; Bradstreet has suffered any harm or damages. We believe we have meritorious defenses to the claims and will vigorously defend any action. While there is at least a reasonable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7" w:name="page88"/>
    <w:bookmarkEnd w:id="87"/>
    <w:p>
      <w:pPr>
        <w:ind w:right="180"/>
        <w:spacing w:after="0" w:line="270" w:lineRule="auto"/>
        <w:rPr>
          <w:sz w:val="20"/>
          <w:szCs w:val="20"/>
          <w:color w:val="auto"/>
        </w:rPr>
      </w:pPr>
      <w:r>
        <w:rPr>
          <w:rFonts w:ascii="Arial" w:cs="Arial" w:eastAsia="Arial" w:hAnsi="Arial"/>
          <w:sz w:val="16"/>
          <w:szCs w:val="16"/>
          <w:color w:val="auto"/>
        </w:rPr>
        <w:t>possibility that a loss may be incurred, we have not recorded any loss or accrual in the accompanying consolidated financial statements at December 31, 2022 for this matter as a loss is not probable.</w:t>
      </w:r>
    </w:p>
    <w:p>
      <w:pPr>
        <w:spacing w:after="0" w:line="73"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In July 2021, LegalInc Corporate Services Inc., our wholly owned subsidiary, or LegalInc, received a citation from the Wyoming Secretary of State regarding LegalInc’s registered agent services in Wyoming. The citation alleges that LegalInc failed to comply with Wyoming’s Registered Offices and Agents Act when carrying out its registered agent business in the state and assessed an initial $4.1 million penalty and revoked LegalInc’s status as a commercial registered agent in Wyoming. LegalInc requested a hearing to review the matter and engaged in negotiations with the State culminating in a settlement executed on December 28, 2022. This matter is now settled for an immaterial amount.</w:t>
      </w:r>
    </w:p>
    <w:p>
      <w:pPr>
        <w:spacing w:after="0" w:line="87" w:lineRule="exact"/>
        <w:rPr>
          <w:sz w:val="20"/>
          <w:szCs w:val="20"/>
          <w:color w:val="auto"/>
        </w:rPr>
      </w:pPr>
    </w:p>
    <w:p>
      <w:pPr>
        <w:ind w:firstLine="395"/>
        <w:spacing w:after="0" w:line="289" w:lineRule="auto"/>
        <w:rPr>
          <w:sz w:val="20"/>
          <w:szCs w:val="20"/>
          <w:color w:val="auto"/>
        </w:rPr>
      </w:pPr>
      <w:r>
        <w:rPr>
          <w:rFonts w:ascii="Arial" w:cs="Arial" w:eastAsia="Arial" w:hAnsi="Arial"/>
          <w:sz w:val="15"/>
          <w:szCs w:val="15"/>
          <w:color w:val="auto"/>
        </w:rPr>
        <w:t>From time to time, we may become subject to legal proceedings, claims and litigation arising in the ordinary course of business. Other than those described above and in our Annual Report on Form 10-K,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06" w:lineRule="exact"/>
        <w:rPr>
          <w:sz w:val="20"/>
          <w:szCs w:val="20"/>
          <w:color w:val="auto"/>
        </w:rPr>
      </w:pPr>
    </w:p>
    <w:p>
      <w:pPr>
        <w:ind w:right="220" w:firstLine="395"/>
        <w:spacing w:after="0" w:line="255"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87" w:lineRule="exact"/>
        <w:rPr>
          <w:sz w:val="20"/>
          <w:szCs w:val="20"/>
          <w:color w:val="auto"/>
        </w:rPr>
      </w:pPr>
    </w:p>
    <w:p>
      <w:pPr>
        <w:ind w:right="680" w:firstLine="395"/>
        <w:spacing w:after="0" w:line="270"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 Program</w:t>
      </w:r>
    </w:p>
    <w:p>
      <w:pPr>
        <w:spacing w:after="0" w:line="106"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On March 1, 2022, our board of directors approved a stock repurchase program authorizing us to repurchase up to $150.0 million of our common stock, with no fixed expiration. Stock repurchases under this program may be made through any manner, including open market transactions, accelerated stock repurchase agreements, or privately negotiated transactions with third-parties,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77" w:lineRule="exact"/>
        <w:rPr>
          <w:sz w:val="20"/>
          <w:szCs w:val="20"/>
          <w:color w:val="auto"/>
        </w:rPr>
      </w:pPr>
    </w:p>
    <w:p>
      <w:pPr>
        <w:jc w:val="both"/>
        <w:ind w:right="160" w:firstLine="395"/>
        <w:spacing w:after="0" w:line="263" w:lineRule="auto"/>
        <w:rPr>
          <w:sz w:val="20"/>
          <w:szCs w:val="20"/>
          <w:color w:val="auto"/>
        </w:rPr>
      </w:pPr>
      <w:r>
        <w:rPr>
          <w:rFonts w:ascii="Arial" w:cs="Arial" w:eastAsia="Arial" w:hAnsi="Arial"/>
          <w:sz w:val="16"/>
          <w:szCs w:val="16"/>
          <w:color w:val="auto"/>
        </w:rPr>
        <w:t>During the year ended December 31, 2022, using the Rule 10b5-1 plans, we repurchased a total of 9,256,268 shares of our common stock through open market purchases at an average per share price of $10.28 for a total repurchase of $95.1 million including broker commission. The repurchases were recorded as a reduction to our accumulated deficit in the accompanying consolidated statements of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Equity Incentive Plan</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June 2021, our board of directors adopted our 2021 Equity Incentive Plan, or 2021 Plan. All equity-based awards going forward will be granted under the</w:t>
      </w:r>
    </w:p>
    <w:p>
      <w:pPr>
        <w:spacing w:after="0" w:line="34"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2021 Plan. An aggregate of 18,946,871 shares of our common stock are reserved for issuance under our 2021 Plan, as well as any future automatic annual increases in the number of shares of common stock reserved for issuance under our 2021 Plan.</w:t>
      </w:r>
    </w:p>
    <w:p>
      <w:pPr>
        <w:spacing w:after="0" w:line="70"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Under the terms of the 2021 Plan, both incentive and nonqualified stock options could be granted with exercise prices not less than the fair market value of our common stock on the date of grant. Options granted pursuant to the 2021 Plan will vest at the rate specified in the stock option agreement. Under the 2021 Plan, if an option holder’s service relationship with us or any of our affiliates ceases for any reason other than disability, death, or cause, the option holder may generally exercise any vested options for a period of three months following the cessation of service. If under our 2021 Plan, shares subject to stock awards expire or terminate without being exercised in full or are paid out in cash rather than in shares, such awards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w:t>
      </w:r>
    </w:p>
    <w:p>
      <w:pPr>
        <w:spacing w:after="0" w:line="77" w:lineRule="exact"/>
        <w:rPr>
          <w:sz w:val="20"/>
          <w:szCs w:val="20"/>
          <w:color w:val="auto"/>
        </w:rPr>
      </w:pPr>
    </w:p>
    <w:p>
      <w:pPr>
        <w:ind w:right="180" w:firstLine="395"/>
        <w:spacing w:after="0" w:line="270" w:lineRule="auto"/>
        <w:rPr>
          <w:sz w:val="20"/>
          <w:szCs w:val="20"/>
          <w:color w:val="auto"/>
        </w:rPr>
      </w:pPr>
      <w:r>
        <w:rPr>
          <w:rFonts w:ascii="Arial" w:cs="Arial" w:eastAsia="Arial" w:hAnsi="Arial"/>
          <w:sz w:val="16"/>
          <w:szCs w:val="16"/>
          <w:color w:val="auto"/>
        </w:rPr>
        <w:t>Under the 2021 Plan, RSU awards are granted under RSU award agreements adopted by the administrator. RSU awards may be granted for any form of legal consideration that may be acceptable to our board of directors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8" w:name="page89"/>
    <w:bookmarkEnd w:id="88"/>
    <w:p>
      <w:pPr>
        <w:ind w:right="20"/>
        <w:spacing w:after="0" w:line="255" w:lineRule="auto"/>
        <w:rPr>
          <w:sz w:val="20"/>
          <w:szCs w:val="20"/>
          <w:color w:val="auto"/>
        </w:rPr>
      </w:pPr>
      <w:r>
        <w:rPr>
          <w:rFonts w:ascii="Arial" w:cs="Arial" w:eastAsia="Arial" w:hAnsi="Arial"/>
          <w:sz w:val="16"/>
          <w:szCs w:val="16"/>
          <w:color w:val="auto"/>
        </w:rPr>
        <w:t>permissible under applicable law. A RSU award may be settled by cash, delivery of stock, a combination of cash and stock as deemed appropriate by the administrator, or in any other form of consideration set forth in the RSU award agreement. Additionally, dividend equivalents may be credited in respect of shares covered by a RSU award. Except as otherwise provided in the applicable award agreement, or other written agreement between us and the recipient, RSU awards that have not vested will be forfeited once the participant’s continuous service ends for any reason.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Employee Stock Purchase Plan</w:t>
      </w:r>
    </w:p>
    <w:p>
      <w:pPr>
        <w:spacing w:after="0" w:line="106"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In June 2021, our board of directors adopted our 2021 Employee Stock Purchase Plan, or 2021 ESPP. We authorized the issuance of 3,552,538 shares of common stock under the 2021 ESPP. Our 2021 ESPP is implemented through a series of offerings under which eligible employees are granted rights to purchase shares of our common stock on specified dates during such offerings at a discounted price per share.</w:t>
      </w:r>
    </w:p>
    <w:p>
      <w:pPr>
        <w:spacing w:after="0" w:line="66"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Under the 2021 ESPP our employees may purchase common stock through payroll deductions at a price equal to 85% of the lower of the fair market value of the stock at the beginning of the offering period or at the end of each applicable purchase period. The 2021 ESPP generally provides for offering periods of six months in duration with purchase periods ending on either May 15 or November 15. Contributions under the 2021 ESPP are limited to a maximum of 15% of an employee’s eligible compensation. ESPP purchases are settled with common stock from the ESPP’s previously-authorized and available pool of shares. The stock-based compensation expense incurred in 2022 and 2021 was $0.7 million and $0.4 million, respectively. Our policy is to issue new common stock upon the exercise of stock options.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2016 Stock Option Plan</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Prior to the 2021 Plan, we granted stock options under our 2016 Stock Option Plan, or 2016 Plan.</w:t>
      </w:r>
    </w:p>
    <w:p>
      <w:pPr>
        <w:spacing w:after="0" w:line="106" w:lineRule="exact"/>
        <w:rPr>
          <w:sz w:val="20"/>
          <w:szCs w:val="20"/>
          <w:color w:val="auto"/>
        </w:rPr>
      </w:pPr>
    </w:p>
    <w:p>
      <w:pPr>
        <w:ind w:right="340" w:firstLine="395"/>
        <w:spacing w:after="0" w:line="255" w:lineRule="auto"/>
        <w:rPr>
          <w:sz w:val="20"/>
          <w:szCs w:val="20"/>
          <w:color w:val="auto"/>
        </w:rPr>
      </w:pPr>
      <w:r>
        <w:rPr>
          <w:rFonts w:ascii="Arial" w:cs="Arial" w:eastAsia="Arial" w:hAnsi="Arial"/>
          <w:sz w:val="16"/>
          <w:szCs w:val="16"/>
          <w:color w:val="auto"/>
        </w:rPr>
        <w:t>Under the terms of the 2016 Plan, both incentive and nonqualified stock options were granted with exercise prices not less than the fair value of the underlying common stock on the date of grant. Options granted pursuant to the 2016 Plan vest over periods of up to five years and expire ten years from the grant date. If a 2016 Plan option expires and is not exercised, such as if an employee does not exercise vested 2016 Plan options within thirty days of termination, then these options would revert back to the 2016 Plan’s option pool.</w:t>
      </w:r>
    </w:p>
    <w:p>
      <w:pPr>
        <w:spacing w:after="0" w:line="87" w:lineRule="exact"/>
        <w:rPr>
          <w:sz w:val="20"/>
          <w:szCs w:val="20"/>
          <w:color w:val="auto"/>
        </w:rPr>
      </w:pPr>
    </w:p>
    <w:p>
      <w:pPr>
        <w:ind w:right="80" w:firstLine="395"/>
        <w:spacing w:after="0" w:line="270" w:lineRule="auto"/>
        <w:rPr>
          <w:sz w:val="20"/>
          <w:szCs w:val="20"/>
          <w:color w:val="auto"/>
        </w:rPr>
      </w:pPr>
      <w:r>
        <w:rPr>
          <w:rFonts w:ascii="Arial" w:cs="Arial" w:eastAsia="Arial" w:hAnsi="Arial"/>
          <w:sz w:val="16"/>
          <w:szCs w:val="16"/>
          <w:color w:val="auto"/>
        </w:rPr>
        <w:t>The exercise price of all options granted was based on the estimated fair market value of our common stock as determined by the board of directors at the date of grant or date of modification.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06" w:lineRule="exact"/>
        <w:rPr>
          <w:sz w:val="20"/>
          <w:szCs w:val="20"/>
          <w:color w:val="auto"/>
        </w:rPr>
      </w:pPr>
    </w:p>
    <w:p>
      <w:pPr>
        <w:ind w:right="420" w:firstLine="395"/>
        <w:spacing w:after="0" w:line="270" w:lineRule="auto"/>
        <w:rPr>
          <w:sz w:val="20"/>
          <w:szCs w:val="20"/>
          <w:color w:val="auto"/>
        </w:rPr>
      </w:pPr>
      <w:r>
        <w:rPr>
          <w:rFonts w:ascii="Arial" w:cs="Arial" w:eastAsia="Arial" w:hAnsi="Arial"/>
          <w:sz w:val="16"/>
          <w:szCs w:val="16"/>
          <w:color w:val="auto"/>
        </w:rPr>
        <w:t>We recorded stock-based compensation expense in the following categories in the accompanying consolidated statements of operations and balance sheets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1,122</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50,820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9,719</w:t>
            </w:r>
          </w:p>
        </w:tc>
      </w:tr>
      <w:tr>
        <w:trPr>
          <w:trHeight w:val="20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80,469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13,721</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2,526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0"/>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82,995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i w:val="1"/>
          <w:iCs w:val="1"/>
          <w:color w:val="auto"/>
        </w:rPr>
        <w:t>Stock Options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option activity for the year ended December 31, 2022 is as follows (in thousands, except weighted-average exercise price and remaining contract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life):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Weighted-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Options</w:t>
            </w:r>
          </w:p>
        </w:tc>
        <w:tc>
          <w:tcPr>
            <w:tcW w:w="2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(in Years)</w:t>
            </w:r>
          </w:p>
        </w:tc>
        <w:tc>
          <w:tcPr>
            <w:tcW w:w="200" w:type="dxa"/>
            <w:vAlign w:val="bottom"/>
          </w:tcPr>
          <w:p>
            <w:pPr>
              <w:spacing w:after="0"/>
              <w:rPr>
                <w:sz w:val="20"/>
                <w:szCs w:val="20"/>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8"/>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2021</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15,274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97,094</w:t>
            </w: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2,766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2022</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Vested and expected to vest at December 31, 2022</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17,153</w:t>
            </w:r>
          </w:p>
        </w:tc>
        <w:tc>
          <w:tcPr>
            <w:tcW w:w="80" w:type="dxa"/>
            <w:vAlign w:val="bottom"/>
          </w:tcPr>
          <w:p>
            <w:pPr>
              <w:spacing w:after="0"/>
              <w:rPr>
                <w:sz w:val="15"/>
                <w:szCs w:val="15"/>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5"/>
                <w:szCs w:val="15"/>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Exercisable at December 31, 2022</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The aggregate intrinsic values in the table above represents the difference, if any, between the fair value per share of our common stock and the option exercise prices multiplied by the number of options at the respective balance sheet dates. The total intrinsic value of stock options exercised in 2022, 2021 and 2020 was $3.9 million, $13.5 million and $12.3 million, respectively. At December 31, 2022, total remaining stock-based compensation expense for unvested awards is $29.5 million, which is expected to be recognized over a weighted-average period of 2.2 years.</w:t>
      </w:r>
    </w:p>
    <w:p>
      <w:pPr>
        <w:spacing w:after="0" w:line="73" w:lineRule="exact"/>
        <w:rPr>
          <w:sz w:val="20"/>
          <w:szCs w:val="20"/>
          <w:color w:val="auto"/>
        </w:rPr>
      </w:pPr>
    </w:p>
    <w:p>
      <w:pPr>
        <w:ind w:right="40" w:firstLine="395"/>
        <w:spacing w:after="0" w:line="261" w:lineRule="auto"/>
        <w:rPr>
          <w:sz w:val="20"/>
          <w:szCs w:val="20"/>
          <w:color w:val="auto"/>
        </w:rPr>
      </w:pPr>
      <w:r>
        <w:rPr>
          <w:rFonts w:ascii="Arial" w:cs="Arial" w:eastAsia="Arial" w:hAnsi="Arial"/>
          <w:sz w:val="16"/>
          <w:szCs w:val="16"/>
          <w:color w:val="auto"/>
        </w:rPr>
        <w:t>The weighted-average grant-date fair value per share of options granted using the Black-Scholes option pricing model for 2022, 2021 and 2020 was $6.61, $11.78 and $4.32, respectively. There was a realized tax benefit of $2.6 million, $12.3 million and $14.2 million for tax deductions from stock options exercised in 2022, 2021 and 2020, respectively. All tax effects related to stock-based compensation have been recorded in our provision for income taxes in the accompanying consolidated statements of operations.</w:t>
      </w:r>
    </w:p>
    <w:p>
      <w:pPr>
        <w:spacing w:after="0" w:line="68" w:lineRule="exact"/>
        <w:rPr>
          <w:sz w:val="20"/>
          <w:szCs w:val="20"/>
          <w:color w:val="auto"/>
        </w:rPr>
      </w:pPr>
    </w:p>
    <w:p>
      <w:pPr>
        <w:ind w:right="180" w:firstLine="395"/>
        <w:spacing w:after="0" w:line="270" w:lineRule="auto"/>
        <w:rPr>
          <w:sz w:val="20"/>
          <w:szCs w:val="20"/>
          <w:color w:val="auto"/>
        </w:rPr>
      </w:pPr>
      <w:r>
        <w:rPr>
          <w:rFonts w:ascii="Arial" w:cs="Arial" w:eastAsia="Arial" w:hAnsi="Arial"/>
          <w:sz w:val="16"/>
          <w:szCs w:val="16"/>
          <w:color w:val="auto"/>
        </w:rPr>
        <w:t>The weighted-average assumptions that were used to calculate the grant-date fair value of our stock option grants using the Black-Scholes option pricing model were as follows:</w:t>
      </w:r>
    </w:p>
    <w:p>
      <w:pPr>
        <w:spacing w:after="0" w:line="110"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r>
      <w:tr>
        <w:trPr>
          <w:trHeight w:val="204"/>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2"/>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08"/>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540" w:type="dxa"/>
            <w:vAlign w:val="bottom"/>
            <w:gridSpan w:val="3"/>
          </w:tcPr>
          <w:p>
            <w:pPr>
              <w:jc w:val="right"/>
              <w:ind w:right="1181"/>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registration statement was declared effective. The related stock-based compensation expense for the year ended December 31, 2022 was $4.5 million and stock-based compensation of $3.1 million will be recognized over a weighted-average requisite service period of approximately 2.6 years.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i w:val="1"/>
          <w:iCs w:val="1"/>
          <w:color w:val="auto"/>
        </w:rPr>
        <w:t>Restricted and Performance Stock Units</w:t>
      </w:r>
    </w:p>
    <w:p>
      <w:pPr>
        <w:spacing w:after="0" w:line="106" w:lineRule="exact"/>
        <w:rPr>
          <w:sz w:val="20"/>
          <w:szCs w:val="20"/>
          <w:color w:val="auto"/>
        </w:rPr>
      </w:pPr>
    </w:p>
    <w:p>
      <w:pPr>
        <w:ind w:right="520" w:firstLine="395"/>
        <w:spacing w:after="0" w:line="287" w:lineRule="auto"/>
        <w:rPr>
          <w:sz w:val="20"/>
          <w:szCs w:val="20"/>
          <w:color w:val="auto"/>
        </w:rPr>
      </w:pPr>
      <w:r>
        <w:rPr>
          <w:rFonts w:ascii="Arial" w:cs="Arial" w:eastAsia="Arial" w:hAnsi="Arial"/>
          <w:sz w:val="16"/>
          <w:szCs w:val="16"/>
          <w:color w:val="auto"/>
        </w:rPr>
        <w:t>A summary of restricted stock units, or RSUs, and performance stock units, or PSUs, activity for the year ended December 31, 2022 is as follows (in thousands, except weighted-average grant-date fair value):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Average</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Grant-</w:t>
            </w:r>
          </w:p>
        </w:tc>
      </w:tr>
      <w:tr>
        <w:trPr>
          <w:trHeight w:val="197"/>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6"/>
              </w:rPr>
              <w:t>Date Fair</w:t>
            </w:r>
          </w:p>
        </w:tc>
      </w:tr>
      <w:tr>
        <w:trPr>
          <w:trHeight w:val="225"/>
        </w:trPr>
        <w:tc>
          <w:tcPr>
            <w:tcW w:w="840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Number of Units</w:t>
            </w:r>
          </w:p>
        </w:tc>
        <w:tc>
          <w:tcPr>
            <w:tcW w:w="200" w:type="dxa"/>
            <w:vAlign w:val="bottom"/>
          </w:tcPr>
          <w:p>
            <w:pPr>
              <w:spacing w:after="0"/>
              <w:rPr>
                <w:sz w:val="19"/>
                <w:szCs w:val="19"/>
                <w:color w:val="auto"/>
              </w:rPr>
            </w:pPr>
          </w:p>
        </w:tc>
        <w:tc>
          <w:tcPr>
            <w:tcW w:w="1180" w:type="dxa"/>
            <w:vAlign w:val="bottom"/>
          </w:tcPr>
          <w:p>
            <w:pPr>
              <w:jc w:val="center"/>
              <w:ind w:right="121"/>
              <w:spacing w:after="0" w:line="225" w:lineRule="exact"/>
              <w:rPr>
                <w:sz w:val="20"/>
                <w:szCs w:val="20"/>
                <w:color w:val="auto"/>
              </w:rPr>
            </w:pPr>
            <w:r>
              <w:rPr>
                <w:rFonts w:ascii="Arial" w:cs="Arial" w:eastAsia="Arial" w:hAnsi="Arial"/>
                <w:sz w:val="16"/>
                <w:szCs w:val="16"/>
                <w:b w:val="1"/>
                <w:bCs w:val="1"/>
                <w:color w:val="auto"/>
                <w:w w:val="91"/>
              </w:rPr>
              <w:t xml:space="preserve">Value </w:t>
            </w:r>
            <w:r>
              <w:rPr>
                <w:rFonts w:ascii="Arial" w:cs="Arial" w:eastAsia="Arial" w:hAnsi="Arial"/>
                <w:sz w:val="20"/>
                <w:szCs w:val="20"/>
                <w:b w:val="1"/>
                <w:bCs w:val="1"/>
                <w:color w:val="auto"/>
                <w:w w:val="91"/>
                <w:vertAlign w:val="superscript"/>
              </w:rPr>
              <w:t>(1)</w:t>
            </w:r>
          </w:p>
        </w:tc>
      </w:tr>
      <w:tr>
        <w:trPr>
          <w:trHeight w:val="20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360" w:type="dxa"/>
            <w:vAlign w:val="bottom"/>
            <w:tcBorders>
              <w:top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99"/>
              </w:rPr>
              <w:t>3,577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center"/>
              <w:ind w:left="761"/>
              <w:spacing w:after="0"/>
              <w:rPr>
                <w:sz w:val="20"/>
                <w:szCs w:val="20"/>
                <w:color w:val="auto"/>
              </w:rPr>
            </w:pPr>
            <w:r>
              <w:rPr>
                <w:rFonts w:ascii="Arial" w:cs="Arial" w:eastAsia="Arial" w:hAnsi="Arial"/>
                <w:sz w:val="16"/>
                <w:szCs w:val="16"/>
                <w:color w:val="auto"/>
                <w:w w:val="99"/>
              </w:rPr>
              <w:t>8,024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12.88</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shd w:val="clear" w:color="auto" w:fill="CCEEFF"/>
          </w:tcPr>
          <w:p>
            <w:pPr>
              <w:jc w:val="center"/>
              <w:ind w:left="741"/>
              <w:spacing w:after="0"/>
              <w:rPr>
                <w:sz w:val="20"/>
                <w:szCs w:val="20"/>
                <w:color w:val="auto"/>
              </w:rPr>
            </w:pPr>
            <w:r>
              <w:rPr>
                <w:rFonts w:ascii="Arial" w:cs="Arial" w:eastAsia="Arial" w:hAnsi="Arial"/>
                <w:sz w:val="16"/>
                <w:szCs w:val="16"/>
                <w:color w:val="auto"/>
                <w:w w:val="98"/>
              </w:rPr>
              <w:t>(1,264)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w:t>
            </w:r>
          </w:p>
        </w:tc>
      </w:tr>
      <w:tr>
        <w:trPr>
          <w:trHeight w:val="20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auto"/>
            </w:tcBorders>
          </w:tcPr>
          <w:p>
            <w:pPr>
              <w:jc w:val="center"/>
              <w:ind w:left="741"/>
              <w:spacing w:after="0"/>
              <w:rPr>
                <w:sz w:val="20"/>
                <w:szCs w:val="20"/>
                <w:color w:val="auto"/>
              </w:rPr>
            </w:pPr>
            <w:r>
              <w:rPr>
                <w:rFonts w:ascii="Arial" w:cs="Arial" w:eastAsia="Arial" w:hAnsi="Arial"/>
                <w:sz w:val="16"/>
                <w:szCs w:val="16"/>
                <w:color w:val="auto"/>
                <w:w w:val="98"/>
              </w:rPr>
              <w:t>(1,458)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w:t>
            </w: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2022</w:t>
            </w:r>
          </w:p>
        </w:tc>
        <w:tc>
          <w:tcPr>
            <w:tcW w:w="136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99"/>
              </w:rPr>
              <w:t>8,879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60" w:hanging="160"/>
        <w:spacing w:after="0"/>
        <w:tabs>
          <w:tab w:leader="none" w:pos="56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Includes weighted average grant date and modification date fair values.</w:t>
      </w:r>
    </w:p>
    <w:p>
      <w:pPr>
        <w:spacing w:after="0" w:line="83"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The fair value of vested RSUs in 2022, 2021 and 2020, were $18.5 million and $18.1 million and $3.4 million, respectively. Our RSUs consist of time-based RSUs. For the year ended December 31, 2022, 2021 and 2020, total stock-based compensation expense related to RSUs was $41.4 million, $38.6 million and $3.7 million, respectively. At December 31, 2022, total remaining stock-based compensation expense for unvested RSU awards is $97.6 million, which is expected to be recognized over a weighted-average period of 3.0 years. Since the consummation of our IPO, our outstanding RSUs no longer contain performance conditions which impact future vesting. There was no tax benefit for 2022. There was a realized tax benefit of $3.5 million and $0.4 million, for tax deductions from RSU settlements in 2021 and 2020, respectively.</w:t>
      </w:r>
    </w:p>
    <w:p>
      <w:pPr>
        <w:spacing w:after="0" w:line="86"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In November 2022, we granted 211,864 PSUs, with a grant date fair value of $2.0 million to certain employees where 25% and 50% of the PSUs vest upon the first and second anniversaries, respectively, from the Revv asset acquisition date should certain headcount thresholds be maintained, and 25% will vest upon the third anniversary from the Revv asset acquisition date. Stock-based compensation expense for these PSUs of $0.1 million was recognized on a graded vesting basis during the year ended December 31, 2022 and stock-based compensation of $1.9 million will be recognized over a weighted-average requisite service period of approximately 3.9 years.</w:t>
      </w:r>
    </w:p>
    <w:p>
      <w:pPr>
        <w:spacing w:after="0" w:line="87"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In June 2021, we granted 388,389 RSUs with a value of $10.9 million to our executive officers that were contingent on the effectiveness of the registration statement of our IPO, or IPO RSUs. As the IPO was a performance condition, no stock-based compensation expense was recognized until our IPO registration statement was declared effective. Stock-based compensation expense for the year ended December 31, 2022 was $4.3 million and was $3.1 million for the year ended December 31, 2021. Stock-based compensation of $2.9 million will be recognized over a weighted-average requisite service period of approximately 2.6 years.</w:t>
      </w:r>
    </w:p>
    <w:p>
      <w:pPr>
        <w:spacing w:after="0" w:line="74"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Upon the effectiveness of our IPO and through December 31, 2021, there were 550,091 RSUs that vested. Such shares of common stock were settled until after the lock-up period relating to our IPO that ended in the fourth quarter of 2021.</w:t>
      </w:r>
    </w:p>
    <w:p>
      <w:pPr>
        <w:spacing w:after="0" w:line="4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2021, we granted 1,338,028 liquidity event RSUs, or LERSUs, to various employees, which only vest upon the achievement of up to four-years of</w:t>
      </w:r>
    </w:p>
    <w:p>
      <w:pPr>
        <w:spacing w:after="0" w:line="23"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service and upon the consummation of a change in control, or CIC event, which included an IPO. If the recipient employee terminates for any reason other than for cause, the employee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spacing w:after="0" w:line="93" w:lineRule="exact"/>
        <w:rPr>
          <w:sz w:val="20"/>
          <w:szCs w:val="20"/>
          <w:color w:val="auto"/>
        </w:rPr>
      </w:pPr>
    </w:p>
    <w:p>
      <w:pPr>
        <w:ind w:right="240" w:firstLine="395"/>
        <w:spacing w:after="0" w:line="270" w:lineRule="auto"/>
        <w:rPr>
          <w:sz w:val="20"/>
          <w:szCs w:val="20"/>
          <w:color w:val="auto"/>
        </w:rPr>
      </w:pPr>
      <w:r>
        <w:rPr>
          <w:rFonts w:ascii="Arial" w:cs="Arial" w:eastAsia="Arial" w:hAnsi="Arial"/>
          <w:sz w:val="16"/>
          <w:szCs w:val="16"/>
          <w:color w:val="auto"/>
        </w:rPr>
        <w:t>Upon the effective date of our IPO registration statement on June 29, 2021, we commenced recognition of stock-based compensation for all LERSUs as the CIC performance event and service conditions for vested RSUs were satisfied.</w:t>
      </w:r>
    </w:p>
    <w:p>
      <w:pPr>
        <w:spacing w:after="0" w:line="60" w:lineRule="exact"/>
        <w:rPr>
          <w:sz w:val="20"/>
          <w:szCs w:val="20"/>
          <w:color w:val="auto"/>
        </w:rPr>
      </w:pPr>
    </w:p>
    <w:p>
      <w:pPr>
        <w:ind w:firstLine="395"/>
        <w:spacing w:after="0" w:line="256" w:lineRule="auto"/>
        <w:rPr>
          <w:sz w:val="20"/>
          <w:szCs w:val="20"/>
          <w:color w:val="auto"/>
        </w:rPr>
      </w:pPr>
      <w:r>
        <w:rPr>
          <w:rFonts w:ascii="Arial" w:cs="Arial" w:eastAsia="Arial" w:hAnsi="Arial"/>
          <w:sz w:val="16"/>
          <w:szCs w:val="16"/>
          <w:color w:val="auto"/>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1" w:name="page92"/>
    <w:bookmarkEnd w:id="91"/>
    <w:p>
      <w:pPr>
        <w:ind w:right="840" w:firstLine="395"/>
        <w:spacing w:after="0" w:line="270" w:lineRule="auto"/>
        <w:rPr>
          <w:sz w:val="20"/>
          <w:szCs w:val="20"/>
          <w:color w:val="auto"/>
        </w:rPr>
      </w:pPr>
      <w:r>
        <w:rPr>
          <w:rFonts w:ascii="Arial" w:cs="Arial" w:eastAsia="Arial" w:hAnsi="Arial"/>
          <w:sz w:val="16"/>
          <w:szCs w:val="16"/>
          <w:color w:val="auto"/>
        </w:rPr>
        <w:t>Stock-option and RSU activity described above, including total stock-based compensation expense recognized and total remaining stock-based compensation expense, is inclusive of awards modified during the period as discussed below.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Modification of Stock-Based Compensation Awards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2021, we modified the vesting conditions of certain stock options and RSUs as described below.</w:t>
      </w:r>
    </w:p>
    <w:p>
      <w:pPr>
        <w:spacing w:after="0" w:line="119" w:lineRule="exact"/>
        <w:rPr>
          <w:sz w:val="20"/>
          <w:szCs w:val="20"/>
          <w:color w:val="auto"/>
        </w:rPr>
      </w:pPr>
    </w:p>
    <w:p>
      <w:pPr>
        <w:ind w:right="240" w:firstLine="395"/>
        <w:spacing w:after="0" w:line="248" w:lineRule="auto"/>
        <w:rPr>
          <w:sz w:val="20"/>
          <w:szCs w:val="20"/>
          <w:color w:val="auto"/>
        </w:rPr>
      </w:pPr>
      <w:r>
        <w:rPr>
          <w:rFonts w:ascii="Arial" w:cs="Arial" w:eastAsia="Arial" w:hAnsi="Arial"/>
          <w:sz w:val="16"/>
          <w:szCs w:val="16"/>
          <w:color w:val="auto"/>
        </w:rPr>
        <w:t>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recognized stock-based compensation expense of $23.3 million from the effective date of our IPO registration statement through June 30, 2021 and we recognized stock-based compensation of $24.1 million during the six months ended December 31, 2021. Stock-based compensation expense for the year ended December 31, 2022 was $19.9 million. At December 31, 2022, remaining compensation of $7.1 million will be recognized over a remaining weighted-average service period of 1.5 years.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modified the vesting conditions of 3,627,936 outstanding 2019 performance options of an executive officer so that in the event of an IPO, the modified</w:t>
      </w:r>
    </w:p>
    <w:p>
      <w:pPr>
        <w:spacing w:after="0" w:line="2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expense of $6.6 million from the effective date of our IPO registration statement through June 30, 2021 and we recognized stock-based compensation of $6.7 million during the six months ended December 31, 2021. Stock-based compensation expense for the year ended December 31, 2022 was $5.0 million. At December 31, 2022, remaining compensation expense of $0.9 million will be recognized over a remaining weighted-average service period of 0.8 years.</w:t>
      </w:r>
    </w:p>
    <w:p>
      <w:pPr>
        <w:spacing w:after="0" w:line="91"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$0.2 million from the effective date of our IPO registration statement through June 30, 2021 and we recognized stock-based compensation of $1.2 million during the six months ended December 31, 2021. Stock-based compensation expense for the year ended December 31, 2022 was $0.6 million. At December 31, 2022, remaining compensation expense of $0.4 million will be recognized over a remaining weighted-average service period of 1.8 years.</w:t>
      </w:r>
    </w:p>
    <w:p>
      <w:pPr>
        <w:spacing w:after="0" w:line="93" w:lineRule="exact"/>
        <w:rPr>
          <w:sz w:val="20"/>
          <w:szCs w:val="20"/>
          <w:color w:val="auto"/>
        </w:rPr>
      </w:pPr>
    </w:p>
    <w:p>
      <w:pPr>
        <w:ind w:firstLine="395"/>
        <w:spacing w:after="0" w:line="266" w:lineRule="auto"/>
        <w:rPr>
          <w:sz w:val="20"/>
          <w:szCs w:val="20"/>
          <w:color w:val="auto"/>
        </w:rPr>
      </w:pPr>
      <w:r>
        <w:rPr>
          <w:rFonts w:ascii="Arial" w:cs="Arial" w:eastAsia="Arial" w:hAnsi="Arial"/>
          <w:sz w:val="15"/>
          <w:szCs w:val="15"/>
          <w:color w:val="auto"/>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 over the remaining service period. We recognized stock-based compensation expense of $7.4 million from the effective date of our IPO registration statement through June 30,</w:t>
      </w:r>
    </w:p>
    <w:p>
      <w:pPr>
        <w:ind w:right="160"/>
        <w:spacing w:after="0" w:line="257" w:lineRule="auto"/>
        <w:rPr>
          <w:sz w:val="20"/>
          <w:szCs w:val="20"/>
          <w:color w:val="auto"/>
        </w:rPr>
      </w:pPr>
      <w:r>
        <w:rPr>
          <w:rFonts w:ascii="Arial" w:cs="Arial" w:eastAsia="Arial" w:hAnsi="Arial"/>
          <w:sz w:val="16"/>
          <w:szCs w:val="16"/>
          <w:color w:val="auto"/>
        </w:rPr>
        <w:t>2021 and we recognized stock-based compensation of $15.8 million during the six months ended December 31, 2021. Stock-based compensation expense for the year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2" w:name="page93"/>
    <w:bookmarkEnd w:id="92"/>
    <w:p>
      <w:pPr>
        <w:ind w:right="460"/>
        <w:spacing w:after="0" w:line="270" w:lineRule="auto"/>
        <w:rPr>
          <w:sz w:val="20"/>
          <w:szCs w:val="20"/>
          <w:color w:val="auto"/>
        </w:rPr>
      </w:pPr>
      <w:r>
        <w:rPr>
          <w:rFonts w:ascii="Arial" w:cs="Arial" w:eastAsia="Arial" w:hAnsi="Arial"/>
          <w:sz w:val="16"/>
          <w:szCs w:val="16"/>
          <w:color w:val="auto"/>
        </w:rPr>
        <w:t>ended December 31, 2022 was $13.0 million. At December 31, 2022, remaining compensation expense of $6.2 million will be recognized over a remaining weighted-average service period of 1.8 years.</w:t>
      </w:r>
    </w:p>
    <w:p>
      <w:pPr>
        <w:spacing w:after="0" w:line="73" w:lineRule="exact"/>
        <w:rPr>
          <w:sz w:val="20"/>
          <w:szCs w:val="20"/>
          <w:color w:val="auto"/>
        </w:rPr>
      </w:pPr>
    </w:p>
    <w:p>
      <w:pPr>
        <w:ind w:right="40" w:firstLine="395"/>
        <w:spacing w:after="0" w:line="263" w:lineRule="auto"/>
        <w:rPr>
          <w:sz w:val="20"/>
          <w:szCs w:val="20"/>
          <w:color w:val="auto"/>
        </w:rPr>
      </w:pPr>
      <w:r>
        <w:rPr>
          <w:rFonts w:ascii="Arial" w:cs="Arial" w:eastAsia="Arial" w:hAnsi="Arial"/>
          <w:sz w:val="16"/>
          <w:szCs w:val="16"/>
          <w:color w:val="auto"/>
        </w:rPr>
        <w:t>During 2021, we modified 63,235 vested options to extend the exercise period for terminated employees who were not able to exercise their options during the IPO lock-up period. We recognized $1.4 million in incremental stock-based compensation related to this modification during the year ended December 31, 2021.</w:t>
      </w:r>
    </w:p>
    <w:p>
      <w:pPr>
        <w:spacing w:after="0" w:line="66" w:lineRule="exact"/>
        <w:rPr>
          <w:sz w:val="20"/>
          <w:szCs w:val="20"/>
          <w:color w:val="auto"/>
        </w:rPr>
      </w:pPr>
    </w:p>
    <w:p>
      <w:pPr>
        <w:ind w:right="60" w:firstLine="395"/>
        <w:spacing w:after="0" w:line="263" w:lineRule="auto"/>
        <w:rPr>
          <w:sz w:val="20"/>
          <w:szCs w:val="20"/>
          <w:color w:val="auto"/>
        </w:rPr>
      </w:pPr>
      <w:r>
        <w:rPr>
          <w:rFonts w:ascii="Arial" w:cs="Arial" w:eastAsia="Arial" w:hAnsi="Arial"/>
          <w:sz w:val="16"/>
          <w:szCs w:val="16"/>
          <w:color w:val="auto"/>
        </w:rPr>
        <w:t>The fair value of the modified 2020 performance options, 2019 performance option, performance RSUs and LERSUs were remeasured using the fair value of our common stock, as approved by the Pricing Committee of our board of directors, which was $25.50 per share, the midpoint of the price range set forth on the cover page of the preliminary prospectus filed with the SEC on June 21, 2021 as part of our registration statement on Form S-1/A.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Net (Loss) Income Per Share Attributable to Common Stockholders</w:t>
      </w:r>
    </w:p>
    <w:p>
      <w:pPr>
        <w:spacing w:after="0" w:line="121" w:lineRule="exact"/>
        <w:rPr>
          <w:sz w:val="20"/>
          <w:szCs w:val="20"/>
          <w:color w:val="auto"/>
        </w:rPr>
      </w:pPr>
    </w:p>
    <w:p>
      <w:pPr>
        <w:ind w:right="100" w:firstLine="395"/>
        <w:spacing w:after="0" w:line="270" w:lineRule="auto"/>
        <w:rPr>
          <w:sz w:val="20"/>
          <w:szCs w:val="20"/>
          <w:color w:val="auto"/>
        </w:rPr>
      </w:pPr>
      <w:r>
        <w:rPr>
          <w:rFonts w:ascii="Arial" w:cs="Arial" w:eastAsia="Arial" w:hAnsi="Arial"/>
          <w:sz w:val="16"/>
          <w:szCs w:val="16"/>
          <w:color w:val="auto"/>
        </w:rPr>
        <w:t>The following table shows the computation of basic and diluted net (loss) income per share attributable to common stockholders (in thousands, except per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amounts attributable to redeemable convertible preferred stock</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stockholders—basic</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undistributed earnings reallocated to common stockholders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5"/>
        </w:trPr>
        <w:tc>
          <w:tcPr>
            <w:tcW w:w="69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stockholders—diluted</w:t>
            </w: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(48,733)</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(108,664)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Denominator: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920" w:type="dxa"/>
            <w:vAlign w:val="bottom"/>
          </w:tcPr>
          <w:p>
            <w:pPr>
              <w:ind w:left="20"/>
              <w:spacing w:after="0" w:line="159" w:lineRule="exact"/>
              <w:rPr>
                <w:sz w:val="20"/>
                <w:szCs w:val="20"/>
                <w:color w:val="auto"/>
              </w:rPr>
            </w:pPr>
            <w:r>
              <w:rPr>
                <w:rFonts w:ascii="Arial" w:cs="Arial" w:eastAsia="Arial" w:hAnsi="Arial"/>
                <w:sz w:val="16"/>
                <w:szCs w:val="16"/>
                <w:color w:val="auto"/>
              </w:rPr>
              <w:t>Weighted-average common stock used in computing net (loss) income per share attributable to</w:t>
            </w:r>
          </w:p>
        </w:tc>
        <w:tc>
          <w:tcPr>
            <w:tcW w:w="320" w:type="dxa"/>
            <w:vAlign w:val="bottom"/>
          </w:tcPr>
          <w:p>
            <w:pPr>
              <w:spacing w:after="0"/>
              <w:rPr>
                <w:sz w:val="13"/>
                <w:szCs w:val="13"/>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195,829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161,424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124,709</w:t>
            </w:r>
          </w:p>
        </w:tc>
        <w:tc>
          <w:tcPr>
            <w:tcW w:w="0" w:type="dxa"/>
            <w:vAlign w:val="bottom"/>
          </w:tcPr>
          <w:p>
            <w:pPr>
              <w:spacing w:after="0"/>
              <w:rPr>
                <w:sz w:val="1"/>
                <w:szCs w:val="1"/>
                <w:color w:val="auto"/>
              </w:rPr>
            </w:pPr>
          </w:p>
        </w:tc>
      </w:tr>
      <w:tr>
        <w:trPr>
          <w:trHeight w:val="208"/>
        </w:trPr>
        <w:tc>
          <w:tcPr>
            <w:tcW w:w="6920" w:type="dxa"/>
            <w:vAlign w:val="bottom"/>
          </w:tcPr>
          <w:p>
            <w:pPr>
              <w:ind w:left="180"/>
              <w:spacing w:after="0"/>
              <w:rPr>
                <w:sz w:val="20"/>
                <w:szCs w:val="20"/>
                <w:color w:val="auto"/>
              </w:rPr>
            </w:pPr>
            <w:r>
              <w:rPr>
                <w:rFonts w:ascii="Arial" w:cs="Arial" w:eastAsia="Arial" w:hAnsi="Arial"/>
                <w:sz w:val="16"/>
                <w:szCs w:val="16"/>
                <w:color w:val="auto"/>
              </w:rPr>
              <w:t>common stockholders—basic</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potentially dilutive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Stock options</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stock units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39"/>
        </w:trPr>
        <w:tc>
          <w:tcPr>
            <w:tcW w:w="6920" w:type="dxa"/>
            <w:vAlign w:val="bottom"/>
          </w:tcPr>
          <w:p>
            <w:pPr>
              <w:ind w:left="20"/>
              <w:spacing w:after="0" w:line="139" w:lineRule="exact"/>
              <w:rPr>
                <w:sz w:val="20"/>
                <w:szCs w:val="20"/>
                <w:color w:val="auto"/>
              </w:rPr>
            </w:pPr>
            <w:r>
              <w:rPr>
                <w:rFonts w:ascii="Arial" w:cs="Arial" w:eastAsia="Arial" w:hAnsi="Arial"/>
                <w:sz w:val="16"/>
                <w:szCs w:val="16"/>
                <w:color w:val="auto"/>
              </w:rPr>
              <w:t>Weighted-average common stock used in computing net (loss) income per share attributable to</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195,829</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161,424</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127,259</w:t>
            </w:r>
          </w:p>
        </w:tc>
        <w:tc>
          <w:tcPr>
            <w:tcW w:w="0" w:type="dxa"/>
            <w:vAlign w:val="bottom"/>
          </w:tcPr>
          <w:p>
            <w:pPr>
              <w:spacing w:after="0"/>
              <w:rPr>
                <w:sz w:val="1"/>
                <w:szCs w:val="1"/>
                <w:color w:val="auto"/>
              </w:rPr>
            </w:pPr>
          </w:p>
        </w:tc>
      </w:tr>
      <w:tr>
        <w:trPr>
          <w:trHeight w:val="183"/>
        </w:trPr>
        <w:tc>
          <w:tcPr>
            <w:tcW w:w="6920" w:type="dxa"/>
            <w:vAlign w:val="bottom"/>
          </w:tcPr>
          <w:p>
            <w:pPr>
              <w:ind w:left="180"/>
              <w:spacing w:after="0"/>
              <w:rPr>
                <w:sz w:val="20"/>
                <w:szCs w:val="20"/>
                <w:color w:val="auto"/>
              </w:rPr>
            </w:pPr>
            <w:r>
              <w:rPr>
                <w:rFonts w:ascii="Arial" w:cs="Arial" w:eastAsia="Arial" w:hAnsi="Arial"/>
                <w:sz w:val="16"/>
                <w:szCs w:val="16"/>
                <w:color w:val="auto"/>
              </w:rPr>
              <w:t>common stockholders—diluted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stockholders—basic and diluted</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160" w:firstLine="395"/>
        <w:spacing w:after="0" w:line="270" w:lineRule="auto"/>
        <w:rPr>
          <w:sz w:val="20"/>
          <w:szCs w:val="20"/>
          <w:color w:val="auto"/>
        </w:rPr>
      </w:pPr>
      <w:r>
        <w:rPr>
          <w:rFonts w:ascii="Arial" w:cs="Arial" w:eastAsia="Arial" w:hAnsi="Arial"/>
          <w:sz w:val="16"/>
          <w:szCs w:val="16"/>
          <w:color w:val="auto"/>
        </w:rPr>
        <w:t>The following table presents the number of options, RSUs, PSUs and restricted stock excluded from the calculation of diluted net (loss) income per share attributable to common stockholders because they are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As of December 31,</w:t>
            </w:r>
          </w:p>
        </w:tc>
        <w:tc>
          <w:tcPr>
            <w:tcW w:w="1360" w:type="dxa"/>
            <w:vAlign w:val="bottom"/>
            <w:tcBorders>
              <w:bottom w:val="single" w:sz="8" w:color="auto"/>
            </w:tcBorders>
          </w:tcPr>
          <w:p>
            <w:pPr>
              <w:spacing w:after="0"/>
              <w:rPr>
                <w:sz w:val="18"/>
                <w:szCs w:val="18"/>
                <w:color w:val="auto"/>
              </w:rPr>
            </w:pPr>
          </w:p>
        </w:tc>
      </w:tr>
      <w:tr>
        <w:trPr>
          <w:trHeight w:val="204"/>
        </w:trPr>
        <w:tc>
          <w:tcPr>
            <w:tcW w:w="69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r>
      <w:tr>
        <w:trPr>
          <w:trHeight w:val="20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12,529</w:t>
            </w: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color w:val="auto"/>
              </w:rPr>
              <w:t>RSUs and PSUs</w:t>
            </w:r>
          </w:p>
        </w:tc>
        <w:tc>
          <w:tcPr>
            <w:tcW w:w="1360" w:type="dxa"/>
            <w:vAlign w:val="bottom"/>
          </w:tcPr>
          <w:p>
            <w:pPr>
              <w:jc w:val="right"/>
              <w:spacing w:after="0"/>
              <w:rPr>
                <w:sz w:val="20"/>
                <w:szCs w:val="20"/>
                <w:color w:val="auto"/>
              </w:rPr>
            </w:pPr>
            <w:r>
              <w:rPr>
                <w:rFonts w:ascii="Arial" w:cs="Arial" w:eastAsia="Arial" w:hAnsi="Arial"/>
                <w:sz w:val="16"/>
                <w:szCs w:val="16"/>
                <w:color w:val="auto"/>
              </w:rPr>
              <w:t>8,879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2,235</w:t>
            </w: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25"/>
        </w:trPr>
        <w:tc>
          <w:tcPr>
            <w:tcW w:w="6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18,997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Note 18. Fair Value Measurements</w:t>
      </w:r>
    </w:p>
    <w:p>
      <w:pPr>
        <w:spacing w:after="0" w:line="108" w:lineRule="exact"/>
        <w:rPr>
          <w:sz w:val="20"/>
          <w:szCs w:val="20"/>
          <w:color w:val="auto"/>
        </w:rPr>
      </w:pPr>
    </w:p>
    <w:p>
      <w:pPr>
        <w:ind w:right="320" w:firstLine="395"/>
        <w:spacing w:after="0" w:line="287"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As of December 31, 2022</w:t>
            </w:r>
          </w:p>
        </w:tc>
        <w:tc>
          <w:tcPr>
            <w:tcW w:w="1100" w:type="dxa"/>
            <w:vAlign w:val="bottom"/>
            <w:tcBorders>
              <w:bottom w:val="single" w:sz="8" w:color="auto"/>
            </w:tcBorders>
          </w:tcPr>
          <w:p>
            <w:pPr>
              <w:spacing w:after="0"/>
              <w:rPr>
                <w:sz w:val="18"/>
                <w:szCs w:val="18"/>
                <w:color w:val="auto"/>
              </w:rPr>
            </w:pPr>
          </w:p>
        </w:tc>
      </w:tr>
      <w:tr>
        <w:trPr>
          <w:trHeight w:val="204"/>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0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130,215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130,215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r>
      <w:tr>
        <w:trPr>
          <w:trHeight w:val="22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As of December 31, 2021</w:t>
            </w:r>
          </w:p>
        </w:tc>
        <w:tc>
          <w:tcPr>
            <w:tcW w:w="1100" w:type="dxa"/>
            <w:vAlign w:val="bottom"/>
            <w:tcBorders>
              <w:bottom w:val="single" w:sz="8" w:color="auto"/>
            </w:tcBorders>
          </w:tcPr>
          <w:p>
            <w:pPr>
              <w:spacing w:after="0"/>
              <w:rPr>
                <w:sz w:val="18"/>
                <w:szCs w:val="18"/>
                <w:color w:val="auto"/>
              </w:rPr>
            </w:pPr>
          </w:p>
        </w:tc>
      </w:tr>
      <w:tr>
        <w:trPr>
          <w:trHeight w:val="204"/>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0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22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20" w:firstLine="395"/>
        <w:spacing w:after="0" w:line="287" w:lineRule="auto"/>
        <w:rPr>
          <w:sz w:val="20"/>
          <w:szCs w:val="20"/>
          <w:color w:val="auto"/>
        </w:rPr>
      </w:pPr>
      <w:r>
        <w:rPr>
          <w:rFonts w:ascii="Arial" w:cs="Arial" w:eastAsia="Arial" w:hAnsi="Arial"/>
          <w:sz w:val="16"/>
          <w:szCs w:val="16"/>
          <w:color w:val="auto"/>
        </w:rPr>
        <w:t>There was no change in the fair value of the contingent consideration from our acquisition of UAS and Pure for the years ended December 31, 2022 and 2021.</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available-for-sale debt securities measured using Level 3 inputs have the following activity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As of December 31,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1,122</w:t>
            </w:r>
          </w:p>
        </w:tc>
        <w:tc>
          <w:tcPr>
            <w:tcW w:w="4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Other-than-temporary impairment</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(4,912)</w:t>
            </w:r>
          </w:p>
        </w:tc>
      </w:tr>
      <w:tr>
        <w:trPr>
          <w:trHeight w:val="205"/>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w:t>
            </w:r>
          </w:p>
        </w:tc>
      </w:tr>
      <w:tr>
        <w:trPr>
          <w:trHeight w:val="20"/>
        </w:trPr>
        <w:tc>
          <w:tcPr>
            <w:tcW w:w="6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77"/>
        </w:trPr>
        <w:tc>
          <w:tcPr>
            <w:tcW w:w="7800" w:type="dxa"/>
            <w:vAlign w:val="bottom"/>
            <w:gridSpan w:val="2"/>
          </w:tcPr>
          <w:p>
            <w:pPr>
              <w:ind w:left="400"/>
              <w:spacing w:after="0"/>
              <w:rPr>
                <w:sz w:val="20"/>
                <w:szCs w:val="20"/>
                <w:color w:val="auto"/>
              </w:rPr>
            </w:pPr>
            <w:r>
              <w:rPr>
                <w:rFonts w:ascii="Arial" w:cs="Arial" w:eastAsia="Arial" w:hAnsi="Arial"/>
                <w:sz w:val="16"/>
                <w:szCs w:val="16"/>
                <w:color w:val="auto"/>
              </w:rPr>
              <w:t>Our financial guarantee measured using Level 3 inputs has the following activity (in thousands):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0"/>
        </w:trPr>
        <w:tc>
          <w:tcPr>
            <w:tcW w:w="6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r>
      <w:tr>
        <w:trPr>
          <w:trHeight w:val="204"/>
        </w:trPr>
        <w:tc>
          <w:tcPr>
            <w:tcW w:w="69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cancellation of financial guarantee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
        </w:trPr>
        <w:tc>
          <w:tcPr>
            <w:tcW w:w="6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Restructuring</w:t>
      </w:r>
    </w:p>
    <w:p>
      <w:pPr>
        <w:spacing w:after="0" w:line="121" w:lineRule="exact"/>
        <w:rPr>
          <w:sz w:val="20"/>
          <w:szCs w:val="20"/>
          <w:color w:val="auto"/>
        </w:rPr>
      </w:pPr>
    </w:p>
    <w:p>
      <w:pPr>
        <w:ind w:right="160" w:firstLine="395"/>
        <w:spacing w:after="0" w:line="304" w:lineRule="auto"/>
        <w:rPr>
          <w:sz w:val="20"/>
          <w:szCs w:val="20"/>
          <w:color w:val="auto"/>
        </w:rPr>
      </w:pPr>
      <w:r>
        <w:rPr>
          <w:rFonts w:ascii="Arial" w:cs="Arial" w:eastAsia="Arial" w:hAnsi="Arial"/>
          <w:sz w:val="15"/>
          <w:szCs w:val="15"/>
          <w:color w:val="auto"/>
        </w:rPr>
        <w:t>In 2022, we incurred $1.9 million in severance costs related to a reduction in headcount in our U.S. workforce. Restructuring expenses include salary and benefits for the impacted employees and are included in general and administrative expenses in the accompanying consolidated statements of operations.</w:t>
      </w:r>
    </w:p>
    <w:p>
      <w:pPr>
        <w:spacing w:after="0" w:line="50"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In 2020, we incurred $0.6 million in severance costs related to a reduction in headcount in our U.K. workforce. In 2020, we incurred $1.9 million in severance costs related to a reduction in headcount in our U.S. workforce in October, or U.S. restructuring. Restructuring expenses include salary and benefits for the impacted employees and are included in general and administrative expenses in the accompanying consolidated statements of operations. As part of the severance arrangement for our U.S. restructuring, certain separated employees were eligible to participate in a tender offer transaction and we repurchased 319,257 shares of common stock from employees who were existing stockholders and vested option holders for total consideration of approximately $3.1 million. The repurchased shares were constructively retired.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20"/>
                <w:szCs w:val="20"/>
                <w:color w:val="auto"/>
              </w:rPr>
            </w:pPr>
            <w:r>
              <w:rPr>
                <w:rFonts w:ascii="Arial" w:cs="Arial" w:eastAsia="Arial" w:hAnsi="Arial"/>
                <w:sz w:val="16"/>
                <w:szCs w:val="16"/>
                <w:b w:val="1"/>
                <w:bCs w:val="1"/>
                <w:color w:val="auto"/>
              </w:rPr>
              <w:t>Note 20. Income Taxes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380" w:type="dxa"/>
            <w:vAlign w:val="bottom"/>
            <w:gridSpan w:val="4"/>
          </w:tcPr>
          <w:p>
            <w:pPr>
              <w:ind w:left="400"/>
              <w:spacing w:after="0"/>
              <w:rPr>
                <w:sz w:val="20"/>
                <w:szCs w:val="20"/>
                <w:color w:val="auto"/>
              </w:rPr>
            </w:pPr>
            <w:r>
              <w:rPr>
                <w:rFonts w:ascii="Arial" w:cs="Arial" w:eastAsia="Arial" w:hAnsi="Arial"/>
                <w:sz w:val="16"/>
                <w:szCs w:val="16"/>
                <w:color w:val="auto"/>
                <w:w w:val="99"/>
              </w:rPr>
              <w:t>The following are the domestic and foreign components of our (loss) income before income taxes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25,272</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(12,947)</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(loss) income before income taxes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12,325</w:t>
            </w:r>
          </w:p>
        </w:tc>
        <w:tc>
          <w:tcPr>
            <w:tcW w:w="0" w:type="dxa"/>
            <w:vAlign w:val="bottom"/>
          </w:tcPr>
          <w:p>
            <w:pPr>
              <w:spacing w:after="0"/>
              <w:rPr>
                <w:sz w:val="1"/>
                <w:szCs w:val="1"/>
                <w:color w:val="auto"/>
              </w:rPr>
            </w:pPr>
          </w:p>
        </w:tc>
      </w:tr>
      <w:tr>
        <w:trPr>
          <w:trHeight w:val="379"/>
        </w:trPr>
        <w:tc>
          <w:tcPr>
            <w:tcW w:w="8380" w:type="dxa"/>
            <w:vAlign w:val="bottom"/>
            <w:gridSpan w:val="4"/>
          </w:tcPr>
          <w:p>
            <w:pPr>
              <w:ind w:left="400"/>
              <w:spacing w:after="0"/>
              <w:rPr>
                <w:sz w:val="20"/>
                <w:szCs w:val="20"/>
                <w:color w:val="auto"/>
              </w:rPr>
            </w:pPr>
            <w:r>
              <w:rPr>
                <w:rFonts w:ascii="Arial" w:cs="Arial" w:eastAsia="Arial" w:hAnsi="Arial"/>
                <w:sz w:val="16"/>
                <w:szCs w:val="16"/>
                <w:color w:val="auto"/>
              </w:rPr>
              <w:t>The details for the provision for (benefit from) for income taxes by jurisdiction are as follows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6"/>
                <w:szCs w:val="16"/>
                <w:b w:val="1"/>
                <w:bCs w:val="1"/>
                <w:color w:val="auto"/>
                <w:w w:val="97"/>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Current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6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State</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2"/>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provision</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9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provision</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05"/>
        </w:trPr>
        <w:tc>
          <w:tcPr>
            <w:tcW w:w="6920" w:type="dxa"/>
            <w:vAlign w:val="bottom"/>
          </w:tcPr>
          <w:p>
            <w:pPr>
              <w:ind w:left="340"/>
              <w:spacing w:after="0"/>
              <w:rPr>
                <w:sz w:val="20"/>
                <w:szCs w:val="20"/>
                <w:color w:val="auto"/>
              </w:rPr>
            </w:pPr>
            <w:r>
              <w:rPr>
                <w:rFonts w:ascii="Arial" w:cs="Arial" w:eastAsia="Arial" w:hAnsi="Arial"/>
                <w:sz w:val="16"/>
                <w:szCs w:val="16"/>
                <w:color w:val="auto"/>
              </w:rPr>
              <w:t>Total provision for (benefit from) income tax</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color w:val="auto"/>
        </w:rPr>
        <w:t>The provision for (benefit from) income taxes for December 31, 2022, 2021, and 2020, differed from the amounts computed by applying the U.S. Federal income tax rate of 21% to (loss) income before income taxes as a result of the following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8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provision for income taxes at statutory rate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2,588</w:t>
            </w: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State income taxes, net of federal benefit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differential on foreign earnings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5,011</w:t>
            </w: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(2,162)</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stock-based compensation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978</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30"/>
        </w:trPr>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provision for (benefit from) income taxes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2,429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5" w:name="page96"/>
    <w:bookmarkEnd w:id="95"/>
    <w:p>
      <w:pPr>
        <w:ind w:left="400"/>
        <w:spacing w:after="0"/>
        <w:rPr>
          <w:sz w:val="20"/>
          <w:szCs w:val="20"/>
          <w:color w:val="auto"/>
        </w:rPr>
      </w:pPr>
      <w:r>
        <w:rPr>
          <w:rFonts w:ascii="Arial" w:cs="Arial" w:eastAsia="Arial" w:hAnsi="Arial"/>
          <w:sz w:val="16"/>
          <w:szCs w:val="16"/>
          <w:color w:val="auto"/>
        </w:rPr>
        <w:t>The tax effects of temporary differences that give rise to significant portions of our deferred tax assets and liabilities consisted of the following as of</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8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5,321</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Impairment on investment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 carryforwards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17,206</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Tax credit carryforwards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12,112</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Interest expense carryforwards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10,851</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loss carryforwards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Capitalized research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deferred tax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55,715</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(14,170)</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deferred tax assets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41,545</w:t>
            </w:r>
          </w:p>
        </w:tc>
        <w:tc>
          <w:tcPr>
            <w:tcW w:w="0" w:type="dxa"/>
            <w:vAlign w:val="bottom"/>
          </w:tcPr>
          <w:p>
            <w:pPr>
              <w:spacing w:after="0"/>
              <w:rPr>
                <w:sz w:val="1"/>
                <w:szCs w:val="1"/>
                <w:color w:val="auto"/>
              </w:rPr>
            </w:pPr>
          </w:p>
        </w:tc>
      </w:tr>
      <w:tr>
        <w:trPr>
          <w:trHeight w:val="191"/>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(10,865)</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color w:val="auto"/>
              </w:rPr>
              <w:t>Right of use asset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0" w:type="dxa"/>
            <w:vAlign w:val="bottom"/>
          </w:tcPr>
          <w:p>
            <w:pPr>
              <w:spacing w:after="0"/>
              <w:rPr>
                <w:sz w:val="1"/>
                <w:szCs w:val="1"/>
                <w:color w:val="auto"/>
              </w:rPr>
            </w:pPr>
          </w:p>
        </w:tc>
      </w:tr>
      <w:tr>
        <w:trPr>
          <w:trHeight w:val="202"/>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deferred tax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deferred tax assets and liabilities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27,654</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80" w:firstLine="395"/>
        <w:spacing w:after="0" w:line="261" w:lineRule="auto"/>
        <w:rPr>
          <w:sz w:val="20"/>
          <w:szCs w:val="20"/>
          <w:color w:val="auto"/>
        </w:rPr>
      </w:pPr>
      <w:r>
        <w:rPr>
          <w:rFonts w:ascii="Arial" w:cs="Arial" w:eastAsia="Arial" w:hAnsi="Arial"/>
          <w:sz w:val="16"/>
          <w:szCs w:val="16"/>
          <w:color w:val="auto"/>
        </w:rPr>
        <w:t>We evaluated the realizability of net deferred tax assets and determined it is more likely than not that separate state net operating losses, state net operating losses from the acquisition of LegalInc, capital loss carryovers from the acquisition of Earth Class Mail, the deferred tax assets for Pulse IP, LLC and Pulse Business, LLC, and foreign deferred tax assets will not be realized based on the available objective evidence and have recorded a valuation allowance on such deferred tax assets.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valuation allowance: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4"/>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Net increase in current year</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4,646</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valuation prior period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Net decrease in valuation allowance from acquisitions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Net changes in the valuation allowance in the years ended December 31, 2022, 2021, and 2020 include changes recorded through earnings relating to losses primarily from foreign operations and to a lesser extent valuation allowances established relating to acquired businesses.</w:t>
      </w:r>
    </w:p>
    <w:p>
      <w:pPr>
        <w:spacing w:after="0" w:line="73" w:lineRule="exact"/>
        <w:rPr>
          <w:sz w:val="20"/>
          <w:szCs w:val="20"/>
          <w:color w:val="auto"/>
        </w:rPr>
      </w:pPr>
    </w:p>
    <w:p>
      <w:pPr>
        <w:ind w:right="40" w:firstLine="395"/>
        <w:spacing w:after="0" w:line="251" w:lineRule="auto"/>
        <w:rPr>
          <w:sz w:val="20"/>
          <w:szCs w:val="20"/>
          <w:color w:val="auto"/>
        </w:rPr>
      </w:pPr>
      <w:r>
        <w:rPr>
          <w:rFonts w:ascii="Arial" w:cs="Arial" w:eastAsia="Arial" w:hAnsi="Arial"/>
          <w:sz w:val="16"/>
          <w:szCs w:val="16"/>
          <w:color w:val="auto"/>
        </w:rPr>
        <w:t xml:space="preserve">At December 31, 2022 and 2021, we had federal net operating loss, or NOL, carryforwards of $16.8 million and $29.8 million, respectively, which will begin to expire in 2032. At December 31, 2022, and 2021, we had state NOL carryforwards of $59.9 million and $58.8 million, respectively, which will begin to expire in 2027. At December 31, 2022 and 2021, we had foreign NOL carryforwards of $33.6 million and $31.8 million, respectively, which can be carried forward indefinitely and are not subject to expiration. At December 31, 2022 and 2021, we had federal tax credit carryforwards of $7.1 million and $7.6 million, respectively, which will begin to expire in 2035. At December 31, 2022 and 2021, we had state tax credit carryforwards of $10.8 million and $9.6 million, respectively, which carry forward indefinitely. Our domestic entities may be subject to an annual limitation on the utilization of NOL and credit carryforwards based on changes in ownership as defined by Section 382 of the </w:t>
      </w:r>
      <w:r>
        <w:rPr>
          <w:rFonts w:ascii="Arial" w:cs="Arial" w:eastAsia="Arial" w:hAnsi="Arial"/>
          <w:sz w:val="16"/>
          <w:szCs w:val="16"/>
          <w:i w:val="1"/>
          <w:iCs w:val="1"/>
          <w:color w:val="auto"/>
        </w:rPr>
        <w:t>Internal Revenue Code of 1986</w:t>
      </w:r>
      <w:r>
        <w:rPr>
          <w:rFonts w:ascii="Arial" w:cs="Arial" w:eastAsia="Arial" w:hAnsi="Arial"/>
          <w:sz w:val="16"/>
          <w:szCs w:val="16"/>
          <w:color w:val="auto"/>
        </w:rPr>
        <w:t>. In 2021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96" w:name="page97"/>
    <w:bookmarkEnd w:id="96"/>
    <w:p>
      <w:pPr>
        <w:ind w:right="220"/>
        <w:spacing w:after="0" w:line="270" w:lineRule="auto"/>
        <w:rPr>
          <w:sz w:val="20"/>
          <w:szCs w:val="20"/>
          <w:color w:val="auto"/>
        </w:rPr>
      </w:pPr>
      <w:r>
        <w:rPr>
          <w:rFonts w:ascii="Arial" w:cs="Arial" w:eastAsia="Arial" w:hAnsi="Arial"/>
          <w:sz w:val="16"/>
          <w:szCs w:val="16"/>
          <w:color w:val="auto"/>
        </w:rPr>
        <w:t>we acquired Earth Class Mail and in 2022 we acquired Revvsales Inc. Both were structured as stock acquisitions. Since there was a change in ownership, the acquired NOL carryforwards are subject to an annual Section 382 limitation on the utilization of the NOL carryforwards.</w:t>
      </w:r>
    </w:p>
    <w:p>
      <w:pPr>
        <w:spacing w:after="0" w:line="73" w:lineRule="exact"/>
        <w:rPr>
          <w:sz w:val="20"/>
          <w:szCs w:val="20"/>
          <w:color w:val="auto"/>
        </w:rPr>
      </w:pPr>
    </w:p>
    <w:p>
      <w:pPr>
        <w:ind w:right="520" w:firstLine="395"/>
        <w:spacing w:after="0" w:line="255" w:lineRule="auto"/>
        <w:rPr>
          <w:sz w:val="20"/>
          <w:szCs w:val="20"/>
          <w:color w:val="auto"/>
        </w:rPr>
      </w:pPr>
      <w:r>
        <w:rPr>
          <w:rFonts w:ascii="Arial" w:cs="Arial" w:eastAsia="Arial" w:hAnsi="Arial"/>
          <w:sz w:val="16"/>
          <w:szCs w:val="16"/>
          <w:color w:val="auto"/>
        </w:rPr>
        <w:t>We have had foreign operations since 2013. We have not provided for U.S. income taxes on the undistributed earnings and other outside temporary differences of foreign subsidiaries as they are considered indefinitely reinvested outside the U.S. At December 31, 2022, 2021, and 2020, the amount of temporary differences related to undistributed earnings and other outside temporary differences upon which U.S. income taxes are not material to our consolidated financial statements.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unrecognized tax benefits for the years ended December 31, 2022, 2021, and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81"/>
              <w:spacing w:after="0"/>
              <w:rPr>
                <w:sz w:val="20"/>
                <w:szCs w:val="20"/>
                <w:color w:val="auto"/>
              </w:rPr>
            </w:pPr>
            <w:r>
              <w:rPr>
                <w:rFonts w:ascii="Arial" w:cs="Arial" w:eastAsia="Arial" w:hAnsi="Arial"/>
                <w:sz w:val="16"/>
                <w:szCs w:val="16"/>
                <w:b w:val="1"/>
                <w:bCs w:val="1"/>
                <w:color w:val="auto"/>
                <w:w w:val="99"/>
              </w:rPr>
              <w:t>Gross</w:t>
            </w:r>
          </w:p>
        </w:tc>
      </w:tr>
      <w:tr>
        <w:trPr>
          <w:trHeight w:val="158"/>
        </w:trPr>
        <w:tc>
          <w:tcPr>
            <w:tcW w:w="8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81"/>
              <w:spacing w:after="0" w:line="158" w:lineRule="exact"/>
              <w:rPr>
                <w:sz w:val="20"/>
                <w:szCs w:val="20"/>
                <w:color w:val="auto"/>
              </w:rPr>
            </w:pPr>
            <w:r>
              <w:rPr>
                <w:rFonts w:ascii="Arial" w:cs="Arial" w:eastAsia="Arial" w:hAnsi="Arial"/>
                <w:sz w:val="16"/>
                <w:szCs w:val="16"/>
                <w:b w:val="1"/>
                <w:bCs w:val="1"/>
                <w:color w:val="auto"/>
                <w:w w:val="97"/>
              </w:rPr>
              <w:t>Unrealized Tax</w:t>
            </w:r>
          </w:p>
        </w:tc>
      </w:tr>
      <w:tr>
        <w:trPr>
          <w:trHeight w:val="211"/>
        </w:trPr>
        <w:tc>
          <w:tcPr>
            <w:tcW w:w="8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98"/>
              </w:rPr>
              <w:t>Benefits</w:t>
            </w:r>
          </w:p>
        </w:tc>
      </w:tr>
      <w:tr>
        <w:trPr>
          <w:trHeight w:val="20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color w:val="auto"/>
              </w:rPr>
              <w:t>Additions for tax positions related to the current year</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related to prior years</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4"/>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7,231</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related to the current year</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0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for tax positions related to prior years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0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7,873</w:t>
            </w: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color w:val="auto"/>
              </w:rPr>
              <w:t>Additions for tax positions related to the current year</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999</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related to prior years</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5"/>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If recognized, $8.9 million of unrecognized tax benefits, excluding interest and penalties, would reduce our annual effective tax rate. Due to the uncertain and complex application of tax laws and regulations, it is possible that the ultimate resolution of uncertain positions may result in liabilities that could be materially different from these estimates. In such an event, we will record additional tax expense or benefit in the period in which resolution occurs. Our policy is to recognize interest and penalties related to income tax matters in income tax expense. At December 31, 2022 and 2021, accrued interest and penalties related to income tax positions were not material to our consolidated financial statements. We do not anticipate that unrecognized tax benefits will materially change within the next twelve months.</w:t>
      </w:r>
    </w:p>
    <w:p>
      <w:pPr>
        <w:spacing w:after="0" w:line="86" w:lineRule="exact"/>
        <w:rPr>
          <w:sz w:val="20"/>
          <w:szCs w:val="20"/>
          <w:color w:val="auto"/>
        </w:rPr>
      </w:pPr>
    </w:p>
    <w:p>
      <w:pPr>
        <w:ind w:right="100" w:firstLine="395"/>
        <w:spacing w:after="0" w:line="270" w:lineRule="auto"/>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returns for the years 2019 through 2021 and state income tax returns for the tax years 2008 through 2021 remain open to examination.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Related Party Transactions</w:t>
      </w:r>
    </w:p>
    <w:p>
      <w:pPr>
        <w:spacing w:after="0" w:line="108" w:lineRule="exact"/>
        <w:rPr>
          <w:sz w:val="20"/>
          <w:szCs w:val="20"/>
          <w:color w:val="auto"/>
        </w:rPr>
      </w:pPr>
    </w:p>
    <w:p>
      <w:pPr>
        <w:ind w:right="40" w:firstLine="395"/>
        <w:spacing w:after="0" w:line="263" w:lineRule="auto"/>
        <w:rPr>
          <w:sz w:val="20"/>
          <w:szCs w:val="20"/>
          <w:color w:val="auto"/>
        </w:rPr>
      </w:pPr>
      <w:r>
        <w:rPr>
          <w:rFonts w:ascii="Arial" w:cs="Arial" w:eastAsia="Arial" w:hAnsi="Arial"/>
          <w:sz w:val="16"/>
          <w:szCs w:val="16"/>
          <w:color w:val="auto"/>
        </w:rPr>
        <w:t>There were no related party transactions identified for December 31, 2022. In 2021 and 2020, we incurred software and software maintenance fees of $0.9 million and $1.0 million, respectively, from two software vendors controlled by our largest stockholder. Amounts due to these vendors were immaterial as of December 31, 2021.</w:t>
      </w:r>
    </w:p>
    <w:p>
      <w:pPr>
        <w:spacing w:after="0" w:line="66" w:lineRule="exact"/>
        <w:rPr>
          <w:sz w:val="20"/>
          <w:szCs w:val="20"/>
          <w:color w:val="auto"/>
        </w:rPr>
      </w:pPr>
    </w:p>
    <w:p>
      <w:pPr>
        <w:jc w:val="both"/>
        <w:ind w:right="160" w:firstLine="395"/>
        <w:spacing w:after="0" w:line="263" w:lineRule="auto"/>
        <w:rPr>
          <w:sz w:val="20"/>
          <w:szCs w:val="20"/>
          <w:color w:val="auto"/>
        </w:rPr>
      </w:pPr>
      <w:r>
        <w:rPr>
          <w:rFonts w:ascii="Arial" w:cs="Arial" w:eastAsia="Arial" w:hAnsi="Arial"/>
          <w:sz w:val="16"/>
          <w:szCs w:val="16"/>
          <w:color w:val="auto"/>
        </w:rPr>
        <w:t>In December 31, 2020, we paid lead generation payments of $0.8 million, to a vendor in which a relative of the chairman of our board of directors is their President. At December 31, 2020, amounts due to this vendor were $1.5 million, respectively. In December 31, 2020, we received lead generation payments of $0.6 million, from this same vendor. There were no such transactions during the years ended 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401(k) Savings Plan</w:t>
      </w:r>
    </w:p>
    <w:p>
      <w:pPr>
        <w:spacing w:after="0" w:line="121" w:lineRule="exact"/>
        <w:rPr>
          <w:sz w:val="20"/>
          <w:szCs w:val="20"/>
          <w:color w:val="auto"/>
        </w:rPr>
      </w:pPr>
    </w:p>
    <w:p>
      <w:pPr>
        <w:ind w:right="240" w:firstLine="395"/>
        <w:spacing w:after="0" w:line="255" w:lineRule="auto"/>
        <w:rPr>
          <w:sz w:val="20"/>
          <w:szCs w:val="20"/>
          <w:color w:val="auto"/>
        </w:rPr>
      </w:pPr>
      <w:r>
        <w:rPr>
          <w:rFonts w:ascii="Arial" w:cs="Arial" w:eastAsia="Arial" w:hAnsi="Arial"/>
          <w:sz w:val="16"/>
          <w:szCs w:val="16"/>
          <w:color w:val="auto"/>
        </w:rPr>
        <w:t>We have a defined contribution savings plan under Section 401(k) of the Internal Revenue Code. This plan covers substantially all employees who meet minimum age and service requirements and allows participants to defer a portion of their annual compensation on a pre-tax basis. Under the 401(k) plan, matching contributions are based upon the amount of the employees’ contributions subject to certain limitations. We contributed $3.7 million, $2.3 million, and $1.8 million to the 401(k) plan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Note 23. Accumulated Other Comprehensive Income (Loss)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ind w:left="400"/>
              <w:spacing w:after="0"/>
              <w:rPr>
                <w:sz w:val="20"/>
                <w:szCs w:val="20"/>
                <w:color w:val="auto"/>
              </w:rPr>
            </w:pPr>
            <w:r>
              <w:rPr>
                <w:rFonts w:ascii="Arial" w:cs="Arial" w:eastAsia="Arial" w:hAnsi="Arial"/>
                <w:sz w:val="16"/>
                <w:szCs w:val="16"/>
                <w:color w:val="auto"/>
              </w:rPr>
              <w:t>Changes in accumulated other comprehensive income (loss) consisted of the following:</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6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8"/>
              </w:rPr>
              <w:t>Year Ended December 31, 2022</w:t>
            </w:r>
          </w:p>
        </w:tc>
        <w:tc>
          <w:tcPr>
            <w:tcW w:w="0" w:type="dxa"/>
            <w:vAlign w:val="bottom"/>
          </w:tcPr>
          <w:p>
            <w:pPr>
              <w:spacing w:after="0"/>
              <w:rPr>
                <w:sz w:val="1"/>
                <w:szCs w:val="1"/>
                <w:color w:val="auto"/>
              </w:rPr>
            </w:pPr>
          </w:p>
        </w:tc>
      </w:tr>
      <w:tr>
        <w:trPr>
          <w:trHeight w:val="151"/>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2"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center"/>
              <w:ind w:right="141"/>
              <w:spacing w:after="0" w:line="152" w:lineRule="exact"/>
              <w:rPr>
                <w:sz w:val="20"/>
                <w:szCs w:val="20"/>
                <w:color w:val="auto"/>
              </w:rPr>
            </w:pPr>
            <w:r>
              <w:rPr>
                <w:rFonts w:ascii="Arial" w:cs="Arial" w:eastAsia="Arial" w:hAnsi="Arial"/>
                <w:sz w:val="16"/>
                <w:szCs w:val="16"/>
                <w:b w:val="1"/>
                <w:bCs w:val="1"/>
                <w:color w:val="auto"/>
                <w:w w:val="95"/>
              </w:rPr>
              <w:t>Net of Tax</w:t>
            </w:r>
          </w:p>
        </w:tc>
        <w:tc>
          <w:tcPr>
            <w:tcW w:w="0" w:type="dxa"/>
            <w:vAlign w:val="bottom"/>
          </w:tcPr>
          <w:p>
            <w:pPr>
              <w:spacing w:after="0"/>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1,358</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Available-for-sale debt securities: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(1,747)</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05"/>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6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8"/>
              </w:rPr>
              <w:t>Year Ended December 31, 2021</w:t>
            </w:r>
          </w:p>
        </w:tc>
        <w:tc>
          <w:tcPr>
            <w:tcW w:w="0" w:type="dxa"/>
            <w:vAlign w:val="bottom"/>
          </w:tcPr>
          <w:p>
            <w:pPr>
              <w:spacing w:after="0"/>
              <w:rPr>
                <w:sz w:val="1"/>
                <w:szCs w:val="1"/>
                <w:color w:val="auto"/>
              </w:rPr>
            </w:pPr>
          </w:p>
        </w:tc>
      </w:tr>
      <w:tr>
        <w:trPr>
          <w:trHeight w:val="151"/>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2"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center"/>
              <w:ind w:right="141"/>
              <w:spacing w:after="0" w:line="152" w:lineRule="exact"/>
              <w:rPr>
                <w:sz w:val="20"/>
                <w:szCs w:val="20"/>
                <w:color w:val="auto"/>
              </w:rPr>
            </w:pPr>
            <w:r>
              <w:rPr>
                <w:rFonts w:ascii="Arial" w:cs="Arial" w:eastAsia="Arial" w:hAnsi="Arial"/>
                <w:sz w:val="16"/>
                <w:szCs w:val="16"/>
                <w:b w:val="1"/>
                <w:bCs w:val="1"/>
                <w:color w:val="auto"/>
                <w:w w:val="95"/>
              </w:rPr>
              <w:t>Net of Tax</w:t>
            </w:r>
          </w:p>
        </w:tc>
        <w:tc>
          <w:tcPr>
            <w:tcW w:w="0" w:type="dxa"/>
            <w:vAlign w:val="bottom"/>
          </w:tcPr>
          <w:p>
            <w:pPr>
              <w:spacing w:after="0"/>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Available-for-sale debt securities: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(14,708)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interest rate swaps and cap</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Reclassification of losses from interest rate cap to net loss</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Reclassification to net loss upon extinguishment of interest rate swaps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8,707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15,694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8"/>
              </w:rPr>
              <w:t>Year Ended December 31, 2020</w:t>
            </w:r>
          </w:p>
        </w:tc>
        <w:tc>
          <w:tcPr>
            <w:tcW w:w="0" w:type="dxa"/>
            <w:vAlign w:val="bottom"/>
          </w:tcPr>
          <w:p>
            <w:pPr>
              <w:spacing w:after="0"/>
              <w:rPr>
                <w:sz w:val="1"/>
                <w:szCs w:val="1"/>
                <w:color w:val="auto"/>
              </w:rPr>
            </w:pPr>
          </w:p>
        </w:tc>
      </w:tr>
      <w:tr>
        <w:trPr>
          <w:trHeight w:val="151"/>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2" w:lineRule="exact"/>
              <w:rPr>
                <w:sz w:val="20"/>
                <w:szCs w:val="20"/>
                <w:color w:val="auto"/>
              </w:rPr>
            </w:pPr>
            <w:r>
              <w:rPr>
                <w:rFonts w:ascii="Arial" w:cs="Arial" w:eastAsia="Arial" w:hAnsi="Arial"/>
                <w:sz w:val="16"/>
                <w:szCs w:val="16"/>
                <w:b w:val="1"/>
                <w:bCs w:val="1"/>
                <w:color w:val="auto"/>
                <w:w w:val="96"/>
              </w:rPr>
              <w:t>Before Tax</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right"/>
              <w:ind w:right="241"/>
              <w:spacing w:after="0" w:line="152"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02"/>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80" w:type="dxa"/>
            <w:vAlign w:val="bottom"/>
          </w:tcPr>
          <w:p>
            <w:pPr>
              <w:spacing w:after="0"/>
              <w:rPr>
                <w:sz w:val="17"/>
                <w:szCs w:val="17"/>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Available-for-sale debt securities: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Loss from impairment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5"/>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09"/>
        </w:trPr>
        <w:tc>
          <w:tcPr>
            <w:tcW w:w="6920" w:type="dxa"/>
            <w:vAlign w:val="bottom"/>
          </w:tcPr>
          <w:p>
            <w:pPr>
              <w:ind w:left="340"/>
              <w:spacing w:after="0"/>
              <w:rPr>
                <w:sz w:val="20"/>
                <w:szCs w:val="20"/>
                <w:color w:val="auto"/>
              </w:rPr>
            </w:pPr>
            <w:r>
              <w:rPr>
                <w:rFonts w:ascii="Arial" w:cs="Arial" w:eastAsia="Arial" w:hAnsi="Arial"/>
                <w:sz w:val="16"/>
                <w:szCs w:val="16"/>
                <w:color w:val="auto"/>
              </w:rPr>
              <w:t>Unrealized losses on interest rate swaps and cap</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(9,578)</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losses from interest rate cap to net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Reclassification of prior hedge effectiveness to net income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1"/>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Unaudited Selected Quarterly Financial Information</w:t>
      </w:r>
    </w:p>
    <w:p>
      <w:pPr>
        <w:spacing w:after="0" w:line="108" w:lineRule="exact"/>
        <w:rPr>
          <w:sz w:val="20"/>
          <w:szCs w:val="20"/>
          <w:color w:val="auto"/>
        </w:rPr>
      </w:pPr>
    </w:p>
    <w:p>
      <w:pPr>
        <w:ind w:right="100" w:firstLine="395"/>
        <w:spacing w:after="0" w:line="256" w:lineRule="auto"/>
        <w:rPr>
          <w:sz w:val="20"/>
          <w:szCs w:val="20"/>
          <w:color w:val="auto"/>
        </w:rPr>
      </w:pPr>
      <w:r>
        <w:rPr>
          <w:rFonts w:ascii="Arial" w:cs="Arial" w:eastAsia="Arial" w:hAnsi="Arial"/>
          <w:sz w:val="16"/>
          <w:szCs w:val="16"/>
          <w:color w:val="auto"/>
        </w:rPr>
        <w:t>As previously disclosed on February 17, 2023 and February 27, 2023, in connection with the preparation of our consolidated financial statements for the year ended December 31, 2022, we identified tax errors within our previously issued unaudited condensed consolidated financial statements as of and for the quarterly and year to date periods ended March 31, 2022, (“Q1 2022”), June 30, 2022 (“Q2 2022”), and September 30, 2022 (“Q3 2022”) as included in our previously filed Quarterly Reports on Form 10-Q. Specifically, within our income tax provision there was an error relating to the identification of named executive officers subject to limitation on the deductibility of executive compensation under Internal Revenue Code Section 162(m), or Section 162(m).</w:t>
      </w:r>
    </w:p>
    <w:p>
      <w:pPr>
        <w:spacing w:after="0" w:line="71" w:lineRule="exact"/>
        <w:rPr>
          <w:sz w:val="20"/>
          <w:szCs w:val="20"/>
          <w:color w:val="auto"/>
        </w:rPr>
      </w:pPr>
    </w:p>
    <w:p>
      <w:pPr>
        <w:ind w:firstLine="395"/>
        <w:spacing w:after="0" w:line="251" w:lineRule="auto"/>
        <w:rPr>
          <w:sz w:val="20"/>
          <w:szCs w:val="20"/>
          <w:color w:val="auto"/>
        </w:rPr>
      </w:pPr>
      <w:r>
        <w:rPr>
          <w:rFonts w:ascii="Arial" w:cs="Arial" w:eastAsia="Arial" w:hAnsi="Arial"/>
          <w:sz w:val="16"/>
          <w:szCs w:val="16"/>
          <w:color w:val="auto"/>
        </w:rPr>
        <w:t>As a result of this error, Q1 2022 deferred tax assets were understated and the provision for income taxes was overstated by $3.9 million, reflecting a discrete impact of $2.4 million and a $1.5 million impact resulting from the error in the annual effective tax rate. The Section 162(m) error also had the impact of a $0.2 million understatement of the benefit for income taxes and a $4.1 million overstatement of the provision for income taxes for the three and six months ended June 30, 2022, respectively, and a $1.2 million overstatement of the benefit for income taxes and a $2.8 million overstatement of the provision for income taxes for the three and nine months ended September 30, 2022, respectively, and the associated impacts on deferred tax assets. Management has concluded that such errors resulted in the previously issued Q1 2022, Q2 2022, and Q3 2022 unaudited condensed consolidated financial statements, including the respective year-to-date periods, being materially misstated and therefore require restatement.</w:t>
      </w:r>
    </w:p>
    <w:p>
      <w:pPr>
        <w:spacing w:after="0" w:line="87" w:lineRule="exact"/>
        <w:rPr>
          <w:sz w:val="20"/>
          <w:szCs w:val="20"/>
          <w:color w:val="auto"/>
        </w:rPr>
      </w:pPr>
    </w:p>
    <w:p>
      <w:pPr>
        <w:ind w:right="160" w:firstLine="395"/>
        <w:spacing w:after="0" w:line="252" w:lineRule="auto"/>
        <w:rPr>
          <w:sz w:val="20"/>
          <w:szCs w:val="20"/>
          <w:color w:val="auto"/>
        </w:rPr>
      </w:pPr>
      <w:r>
        <w:rPr>
          <w:rFonts w:ascii="Arial" w:cs="Arial" w:eastAsia="Arial" w:hAnsi="Arial"/>
          <w:sz w:val="16"/>
          <w:szCs w:val="16"/>
          <w:color w:val="auto"/>
        </w:rPr>
        <w:t>In connection with the tax errors noted above, we are also correcting other previously identified immaterial errors related to: i) $1.2 million of revenue and $0.2 million of associated costs of revenue, that should have been recognized in Q1 2022, and which was initially corrected for as an out of period correction in Q2 2022; ii) $1.2 million of a late customer acquisition marketing, or CAM credit, that should have been recognized as a reduction to sales and marketing expense in Q2 2022, and which was initially corrected for as an out of period adjustment in Q3 2022; and iii) $0.9 million of revenue and $0.3 million of associated costs of revenue that should have been recognized in Q3 2022.</w:t>
      </w:r>
    </w:p>
    <w:p>
      <w:pPr>
        <w:spacing w:after="0" w:line="87" w:lineRule="exact"/>
        <w:rPr>
          <w:sz w:val="20"/>
          <w:szCs w:val="20"/>
          <w:color w:val="auto"/>
        </w:rPr>
      </w:pPr>
    </w:p>
    <w:p>
      <w:pPr>
        <w:ind w:right="220" w:firstLine="395"/>
        <w:spacing w:after="0" w:line="270" w:lineRule="auto"/>
        <w:rPr>
          <w:sz w:val="20"/>
          <w:szCs w:val="20"/>
          <w:color w:val="auto"/>
        </w:rPr>
      </w:pPr>
      <w:r>
        <w:rPr>
          <w:rFonts w:ascii="Arial" w:cs="Arial" w:eastAsia="Arial" w:hAnsi="Arial"/>
          <w:sz w:val="16"/>
          <w:szCs w:val="16"/>
          <w:color w:val="auto"/>
        </w:rPr>
        <w:t>The following table presents summarized unaudited consolidated quarterly financial information for each of the quarters in the year ended December 31, 2022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0"/>
        </w:trPr>
        <w:tc>
          <w:tcPr>
            <w:tcW w:w="5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60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December 31, 2022</w:t>
            </w:r>
          </w:p>
        </w:tc>
        <w:tc>
          <w:tcPr>
            <w:tcW w:w="14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rPr>
              <w:t>September 30, 2022 As</w:t>
            </w:r>
          </w:p>
        </w:tc>
        <w:tc>
          <w:tcPr>
            <w:tcW w:w="140" w:type="dxa"/>
            <w:vAlign w:val="bottom"/>
          </w:tcPr>
          <w:p>
            <w:pPr>
              <w:spacing w:after="0"/>
              <w:rPr>
                <w:sz w:val="10"/>
                <w:szCs w:val="10"/>
                <w:color w:val="auto"/>
              </w:rPr>
            </w:pPr>
          </w:p>
        </w:tc>
        <w:tc>
          <w:tcPr>
            <w:tcW w:w="13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June 30, 2022 As</w:t>
            </w:r>
          </w:p>
        </w:tc>
        <w:tc>
          <w:tcPr>
            <w:tcW w:w="140" w:type="dxa"/>
            <w:vAlign w:val="bottom"/>
          </w:tcPr>
          <w:p>
            <w:pPr>
              <w:spacing w:after="0"/>
              <w:rPr>
                <w:sz w:val="10"/>
                <w:szCs w:val="10"/>
                <w:color w:val="auto"/>
              </w:rPr>
            </w:pPr>
          </w:p>
        </w:tc>
        <w:tc>
          <w:tcPr>
            <w:tcW w:w="1220" w:type="dxa"/>
            <w:vAlign w:val="bottom"/>
          </w:tcPr>
          <w:p>
            <w:pPr>
              <w:jc w:val="right"/>
              <w:ind w:right="123"/>
              <w:spacing w:after="0" w:line="122" w:lineRule="exact"/>
              <w:rPr>
                <w:sz w:val="20"/>
                <w:szCs w:val="20"/>
                <w:color w:val="auto"/>
              </w:rPr>
            </w:pPr>
            <w:r>
              <w:rPr>
                <w:rFonts w:ascii="Arial" w:cs="Arial" w:eastAsia="Arial" w:hAnsi="Arial"/>
                <w:sz w:val="11"/>
                <w:szCs w:val="11"/>
                <w:b w:val="1"/>
                <w:bCs w:val="1"/>
                <w:color w:val="auto"/>
              </w:rPr>
              <w:t>March 31, 2022 As</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Restated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Restated</w:t>
            </w:r>
          </w:p>
        </w:tc>
        <w:tc>
          <w:tcPr>
            <w:tcW w:w="140" w:type="dxa"/>
            <w:vAlign w:val="bottom"/>
          </w:tcPr>
          <w:p>
            <w:pPr>
              <w:spacing w:after="0"/>
              <w:rPr>
                <w:sz w:val="13"/>
                <w:szCs w:val="13"/>
                <w:color w:val="auto"/>
              </w:rPr>
            </w:pPr>
          </w:p>
        </w:tc>
        <w:tc>
          <w:tcPr>
            <w:tcW w:w="1220" w:type="dxa"/>
            <w:vAlign w:val="bottom"/>
          </w:tcPr>
          <w:p>
            <w:pPr>
              <w:jc w:val="right"/>
              <w:ind w:right="383"/>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64"/>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146,626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155,277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162,649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155,427</w:t>
            </w:r>
          </w:p>
        </w:tc>
        <w:tc>
          <w:tcPr>
            <w:tcW w:w="0" w:type="dxa"/>
            <w:vAlign w:val="bottom"/>
          </w:tcPr>
          <w:p>
            <w:pPr>
              <w:spacing w:after="0"/>
              <w:rPr>
                <w:sz w:val="1"/>
                <w:szCs w:val="1"/>
                <w:color w:val="auto"/>
              </w:rPr>
            </w:pPr>
          </w:p>
        </w:tc>
      </w:tr>
      <w:tr>
        <w:trPr>
          <w:trHeight w:val="16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47,448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50,314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57,151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56,182</w:t>
            </w:r>
          </w:p>
        </w:tc>
        <w:tc>
          <w:tcPr>
            <w:tcW w:w="0" w:type="dxa"/>
            <w:vAlign w:val="bottom"/>
          </w:tcPr>
          <w:p>
            <w:pPr>
              <w:spacing w:after="0"/>
              <w:rPr>
                <w:sz w:val="1"/>
                <w:szCs w:val="1"/>
                <w:color w:val="auto"/>
              </w:rPr>
            </w:pPr>
          </w:p>
        </w:tc>
      </w:tr>
      <w:tr>
        <w:trPr>
          <w:trHeight w:val="171"/>
        </w:trPr>
        <w:tc>
          <w:tcPr>
            <w:tcW w:w="54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Gross profit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99,178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104,963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105,498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99,245</w:t>
            </w:r>
          </w:p>
        </w:tc>
        <w:tc>
          <w:tcPr>
            <w:tcW w:w="0" w:type="dxa"/>
            <w:vAlign w:val="bottom"/>
          </w:tcPr>
          <w:p>
            <w:pPr>
              <w:spacing w:after="0"/>
              <w:rPr>
                <w:sz w:val="1"/>
                <w:szCs w:val="1"/>
                <w:color w:val="auto"/>
              </w:rPr>
            </w:pPr>
          </w:p>
        </w:tc>
      </w:tr>
      <w:tr>
        <w:trPr>
          <w:trHeight w:val="163"/>
        </w:trPr>
        <w:tc>
          <w:tcPr>
            <w:tcW w:w="54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Sales and marketing</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47,920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67,369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71,721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76,874</w:t>
            </w:r>
          </w:p>
        </w:tc>
        <w:tc>
          <w:tcPr>
            <w:tcW w:w="0" w:type="dxa"/>
            <w:vAlign w:val="bottom"/>
          </w:tcPr>
          <w:p>
            <w:pPr>
              <w:spacing w:after="0"/>
              <w:rPr>
                <w:sz w:val="1"/>
                <w:szCs w:val="1"/>
                <w:color w:val="auto"/>
              </w:rPr>
            </w:pPr>
          </w:p>
        </w:tc>
      </w:tr>
      <w:tr>
        <w:trPr>
          <w:trHeight w:val="163"/>
        </w:trPr>
        <w:tc>
          <w:tcPr>
            <w:tcW w:w="5420" w:type="dxa"/>
            <w:vAlign w:val="bottom"/>
          </w:tcPr>
          <w:p>
            <w:pPr>
              <w:ind w:left="340"/>
              <w:spacing w:after="0"/>
              <w:rPr>
                <w:sz w:val="20"/>
                <w:szCs w:val="20"/>
                <w:color w:val="auto"/>
              </w:rPr>
            </w:pPr>
            <w:r>
              <w:rPr>
                <w:rFonts w:ascii="Arial" w:cs="Arial" w:eastAsia="Arial" w:hAnsi="Arial"/>
                <w:sz w:val="11"/>
                <w:szCs w:val="11"/>
                <w:color w:val="auto"/>
              </w:rPr>
              <w:t>Technology and development</w:t>
            </w:r>
          </w:p>
        </w:tc>
        <w:tc>
          <w:tcPr>
            <w:tcW w:w="12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18,821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17,457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16,197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17,959</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General and administrative</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30,103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28,969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29,488</w:t>
            </w:r>
          </w:p>
        </w:tc>
        <w:tc>
          <w:tcPr>
            <w:tcW w:w="0" w:type="dxa"/>
            <w:vAlign w:val="bottom"/>
          </w:tcPr>
          <w:p>
            <w:pPr>
              <w:spacing w:after="0"/>
              <w:rPr>
                <w:sz w:val="1"/>
                <w:szCs w:val="1"/>
                <w:color w:val="auto"/>
              </w:rPr>
            </w:pPr>
          </w:p>
        </w:tc>
      </w:tr>
      <w:tr>
        <w:trPr>
          <w:trHeight w:val="164"/>
        </w:trPr>
        <w:tc>
          <w:tcPr>
            <w:tcW w:w="5420" w:type="dxa"/>
            <w:vAlign w:val="bottom"/>
          </w:tcPr>
          <w:p>
            <w:pPr>
              <w:ind w:left="340"/>
              <w:spacing w:after="0"/>
              <w:rPr>
                <w:sz w:val="20"/>
                <w:szCs w:val="20"/>
                <w:color w:val="auto"/>
              </w:rPr>
            </w:pPr>
            <w:r>
              <w:rPr>
                <w:rFonts w:ascii="Arial" w:cs="Arial" w:eastAsia="Arial" w:hAnsi="Arial"/>
                <w:sz w:val="11"/>
                <w:szCs w:val="11"/>
                <w:color w:val="auto"/>
              </w:rPr>
              <w:t>Impairment of long-lived and other assets</w:t>
            </w:r>
          </w:p>
        </w:tc>
        <w:tc>
          <w:tcPr>
            <w:tcW w:w="12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54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94,249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115,166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116,887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124,321</w:t>
            </w:r>
          </w:p>
        </w:tc>
        <w:tc>
          <w:tcPr>
            <w:tcW w:w="0" w:type="dxa"/>
            <w:vAlign w:val="bottom"/>
          </w:tcPr>
          <w:p>
            <w:pPr>
              <w:spacing w:after="0"/>
              <w:rPr>
                <w:sz w:val="1"/>
                <w:szCs w:val="1"/>
                <w:color w:val="auto"/>
              </w:rPr>
            </w:pPr>
          </w:p>
        </w:tc>
      </w:tr>
      <w:tr>
        <w:trPr>
          <w:trHeight w:val="156"/>
        </w:trPr>
        <w:tc>
          <w:tcPr>
            <w:tcW w:w="542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1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4,929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(10,203)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(11,389)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(25,076)</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Interest income (expense), net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63"/>
        </w:trPr>
        <w:tc>
          <w:tcPr>
            <w:tcW w:w="5420" w:type="dxa"/>
            <w:vAlign w:val="bottom"/>
          </w:tcPr>
          <w:p>
            <w:pPr>
              <w:ind w:left="340"/>
              <w:spacing w:after="0"/>
              <w:rPr>
                <w:sz w:val="20"/>
                <w:szCs w:val="20"/>
                <w:color w:val="auto"/>
              </w:rPr>
            </w:pPr>
            <w:r>
              <w:rPr>
                <w:rFonts w:ascii="Arial" w:cs="Arial" w:eastAsia="Arial" w:hAnsi="Arial"/>
                <w:sz w:val="11"/>
                <w:szCs w:val="11"/>
                <w:color w:val="auto"/>
              </w:rPr>
              <w:t>Other income (expense), net</w:t>
            </w:r>
          </w:p>
        </w:tc>
        <w:tc>
          <w:tcPr>
            <w:tcW w:w="12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1,625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(2,536)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(1,544)</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Impairment of other equity security</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42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4,586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(12,204)</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(13,382)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(26,673)</w:t>
            </w:r>
          </w:p>
        </w:tc>
        <w:tc>
          <w:tcPr>
            <w:tcW w:w="0" w:type="dxa"/>
            <w:vAlign w:val="bottom"/>
          </w:tcPr>
          <w:p>
            <w:pPr>
              <w:spacing w:after="0"/>
              <w:rPr>
                <w:sz w:val="1"/>
                <w:szCs w:val="1"/>
                <w:color w:val="auto"/>
              </w:rPr>
            </w:pPr>
          </w:p>
        </w:tc>
      </w:tr>
      <w:tr>
        <w:trPr>
          <w:trHeight w:val="173"/>
        </w:trPr>
        <w:tc>
          <w:tcPr>
            <w:tcW w:w="54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Provision for (benefit from) income taxes</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2,842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(920)</w:t>
            </w:r>
          </w:p>
        </w:tc>
        <w:tc>
          <w:tcPr>
            <w:tcW w:w="0" w:type="dxa"/>
            <w:vAlign w:val="bottom"/>
          </w:tcPr>
          <w:p>
            <w:pPr>
              <w:spacing w:after="0"/>
              <w:rPr>
                <w:sz w:val="1"/>
                <w:szCs w:val="1"/>
                <w:color w:val="auto"/>
              </w:rPr>
            </w:pPr>
          </w:p>
        </w:tc>
      </w:tr>
      <w:tr>
        <w:trPr>
          <w:trHeight w:val="171"/>
        </w:trPr>
        <w:tc>
          <w:tcPr>
            <w:tcW w:w="542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1,744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(11,981)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(12,743)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(25,753)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 per share attributable to common stockholders—basic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line="110" w:lineRule="exact"/>
              <w:rPr>
                <w:sz w:val="20"/>
                <w:szCs w:val="20"/>
                <w:color w:val="auto"/>
              </w:rPr>
            </w:pPr>
            <w:r>
              <w:rPr>
                <w:rFonts w:ascii="Arial" w:cs="Arial" w:eastAsia="Arial" w:hAnsi="Arial"/>
                <w:sz w:val="11"/>
                <w:szCs w:val="11"/>
                <w:color w:val="auto"/>
              </w:rPr>
              <w:t>Weighted-average shares used to compute net income (loss) per share attributable to common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restart"/>
          </w:tcPr>
          <w:p>
            <w:pPr>
              <w:jc w:val="right"/>
              <w:ind w:right="3"/>
              <w:spacing w:after="0"/>
              <w:rPr>
                <w:sz w:val="20"/>
                <w:szCs w:val="20"/>
                <w:color w:val="auto"/>
              </w:rPr>
            </w:pPr>
            <w:r>
              <w:rPr>
                <w:rFonts w:ascii="Arial" w:cs="Arial" w:eastAsia="Arial" w:hAnsi="Arial"/>
                <w:sz w:val="11"/>
                <w:szCs w:val="11"/>
                <w:color w:val="auto"/>
              </w:rPr>
              <w:t>192,401</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1"/>
                <w:szCs w:val="11"/>
                <w:color w:val="auto"/>
              </w:rPr>
              <w:t>194,906</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restart"/>
          </w:tcPr>
          <w:p>
            <w:pPr>
              <w:jc w:val="right"/>
              <w:ind w:right="3"/>
              <w:spacing w:after="0"/>
              <w:rPr>
                <w:sz w:val="20"/>
                <w:szCs w:val="20"/>
                <w:color w:val="auto"/>
              </w:rPr>
            </w:pPr>
            <w:r>
              <w:rPr>
                <w:rFonts w:ascii="Arial" w:cs="Arial" w:eastAsia="Arial" w:hAnsi="Arial"/>
                <w:sz w:val="11"/>
                <w:szCs w:val="11"/>
                <w:color w:val="auto"/>
              </w:rPr>
              <w:t>197,819</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restart"/>
          </w:tcPr>
          <w:p>
            <w:pPr>
              <w:jc w:val="right"/>
              <w:ind w:right="3"/>
              <w:spacing w:after="0"/>
              <w:rPr>
                <w:sz w:val="20"/>
                <w:szCs w:val="20"/>
                <w:color w:val="auto"/>
              </w:rPr>
            </w:pPr>
            <w:r>
              <w:rPr>
                <w:rFonts w:ascii="Arial" w:cs="Arial" w:eastAsia="Arial" w:hAnsi="Arial"/>
                <w:sz w:val="11"/>
                <w:szCs w:val="11"/>
                <w:color w:val="auto"/>
              </w:rPr>
              <w:t>198,265</w:t>
            </w:r>
          </w:p>
        </w:tc>
        <w:tc>
          <w:tcPr>
            <w:tcW w:w="0" w:type="dxa"/>
            <w:vAlign w:val="bottom"/>
          </w:tcPr>
          <w:p>
            <w:pPr>
              <w:spacing w:after="0"/>
              <w:rPr>
                <w:sz w:val="1"/>
                <w:szCs w:val="1"/>
                <w:color w:val="auto"/>
              </w:rPr>
            </w:pPr>
          </w:p>
        </w:tc>
      </w:tr>
      <w:tr>
        <w:trPr>
          <w:trHeight w:val="126"/>
        </w:trPr>
        <w:tc>
          <w:tcPr>
            <w:tcW w:w="5420" w:type="dxa"/>
            <w:vAlign w:val="bottom"/>
          </w:tcPr>
          <w:p>
            <w:pPr>
              <w:ind w:left="180"/>
              <w:spacing w:after="0"/>
              <w:rPr>
                <w:sz w:val="20"/>
                <w:szCs w:val="20"/>
                <w:color w:val="auto"/>
              </w:rPr>
            </w:pPr>
            <w:r>
              <w:rPr>
                <w:rFonts w:ascii="Arial" w:cs="Arial" w:eastAsia="Arial" w:hAnsi="Arial"/>
                <w:sz w:val="11"/>
                <w:szCs w:val="11"/>
                <w:color w:val="auto"/>
              </w:rPr>
              <w:t>stockholders—basic:</w:t>
            </w: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420" w:type="dxa"/>
            <w:vAlign w:val="bottom"/>
            <w:shd w:val="clear" w:color="auto" w:fill="CCEEFF"/>
          </w:tcPr>
          <w:p>
            <w:pPr>
              <w:ind w:left="20"/>
              <w:spacing w:after="0" w:line="90" w:lineRule="exact"/>
              <w:rPr>
                <w:sz w:val="20"/>
                <w:szCs w:val="20"/>
                <w:color w:val="auto"/>
              </w:rPr>
            </w:pPr>
            <w:r>
              <w:rPr>
                <w:rFonts w:ascii="Arial" w:cs="Arial" w:eastAsia="Arial" w:hAnsi="Arial"/>
                <w:sz w:val="10"/>
                <w:szCs w:val="10"/>
                <w:color w:val="auto"/>
              </w:rPr>
              <w:t>Weighted-average shares used to compute net income (loss) per share attributable to common</w:t>
            </w:r>
          </w:p>
        </w:tc>
        <w:tc>
          <w:tcPr>
            <w:tcW w:w="12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193,327</w:t>
            </w: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194,906</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197,819</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198,265</w:t>
            </w:r>
          </w:p>
        </w:tc>
        <w:tc>
          <w:tcPr>
            <w:tcW w:w="0" w:type="dxa"/>
            <w:vAlign w:val="bottom"/>
          </w:tcPr>
          <w:p>
            <w:pPr>
              <w:spacing w:after="0"/>
              <w:rPr>
                <w:sz w:val="1"/>
                <w:szCs w:val="1"/>
                <w:color w:val="auto"/>
              </w:rPr>
            </w:pPr>
          </w:p>
        </w:tc>
      </w:tr>
      <w:tr>
        <w:trPr>
          <w:trHeight w:val="146"/>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stockholders—diluted:</w:t>
            </w:r>
          </w:p>
        </w:tc>
        <w:tc>
          <w:tcPr>
            <w:tcW w:w="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Restatement of Financial Information</w:t>
      </w:r>
    </w:p>
    <w:p>
      <w:pPr>
        <w:spacing w:after="0" w:line="106" w:lineRule="exact"/>
        <w:rPr>
          <w:sz w:val="20"/>
          <w:szCs w:val="20"/>
          <w:color w:val="auto"/>
        </w:rPr>
      </w:pPr>
    </w:p>
    <w:p>
      <w:pPr>
        <w:jc w:val="both"/>
        <w:ind w:right="160" w:firstLine="395"/>
        <w:spacing w:after="0" w:line="255" w:lineRule="auto"/>
        <w:rPr>
          <w:sz w:val="20"/>
          <w:szCs w:val="20"/>
          <w:color w:val="auto"/>
        </w:rPr>
      </w:pPr>
      <w:r>
        <w:rPr>
          <w:rFonts w:ascii="Arial" w:cs="Arial" w:eastAsia="Arial" w:hAnsi="Arial"/>
          <w:sz w:val="16"/>
          <w:szCs w:val="16"/>
          <w:color w:val="auto"/>
        </w:rPr>
        <w:t>In the following tables, we have presented a reconciliation of our unaudited condensed consolidated financial information as originally reported, to the as restated amounts as of and for the three months ended March 31, 2022, the three and six months ended June 30, 2022, and the three and nine months ended September 30, 2022. The restatements will be effected in future filings of our 2023 unaudited condensed consolidated financial statements within our Quarterly Reports on Form 10-Q.</w:t>
      </w:r>
    </w:p>
    <w:p>
      <w:pPr>
        <w:spacing w:after="0" w:line="87" w:lineRule="exact"/>
        <w:rPr>
          <w:sz w:val="20"/>
          <w:szCs w:val="20"/>
          <w:color w:val="auto"/>
        </w:rPr>
      </w:pPr>
    </w:p>
    <w:p>
      <w:pPr>
        <w:ind w:right="440" w:firstLine="395"/>
        <w:spacing w:after="0" w:line="270" w:lineRule="auto"/>
        <w:rPr>
          <w:sz w:val="20"/>
          <w:szCs w:val="20"/>
          <w:color w:val="auto"/>
        </w:rPr>
      </w:pPr>
      <w:r>
        <w:rPr>
          <w:rFonts w:ascii="Arial" w:cs="Arial" w:eastAsia="Arial" w:hAnsi="Arial"/>
          <w:sz w:val="16"/>
          <w:szCs w:val="16"/>
          <w:color w:val="auto"/>
        </w:rPr>
        <w:t>The table below sets forth the unaudited condensed consolidated balance sheet information, including the balances as reported, adjustments and the balances as restated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1"/>
                <w:szCs w:val="11"/>
                <w:b w:val="1"/>
                <w:bCs w:val="1"/>
                <w:color w:val="auto"/>
                <w:w w:val="95"/>
              </w:rPr>
              <w:t>September 30, 2022</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w w:val="94"/>
              </w:rPr>
              <w:t>June 30, 2022</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1"/>
                <w:szCs w:val="11"/>
                <w:b w:val="1"/>
                <w:bCs w:val="1"/>
                <w:color w:val="auto"/>
                <w:w w:val="94"/>
              </w:rPr>
              <w:t>March 31, 2022</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5"/>
              </w:rPr>
              <w:t>Adjustments</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Restated</w:t>
            </w: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Pr>
          <w:p>
            <w:pPr>
              <w:spacing w:after="0"/>
              <w:rPr>
                <w:sz w:val="13"/>
                <w:szCs w:val="13"/>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5"/>
              </w:rPr>
              <w:t>Adjustments</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Restated</w:t>
            </w: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Reported</w:t>
            </w:r>
          </w:p>
        </w:tc>
        <w:tc>
          <w:tcPr>
            <w:tcW w:w="80" w:type="dxa"/>
            <w:vAlign w:val="bottom"/>
          </w:tcPr>
          <w:p>
            <w:pPr>
              <w:spacing w:after="0"/>
              <w:rPr>
                <w:sz w:val="13"/>
                <w:szCs w:val="13"/>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2"/>
              </w:rPr>
              <w:t>Adjustments</w:t>
            </w:r>
          </w:p>
        </w:tc>
        <w:tc>
          <w:tcPr>
            <w:tcW w:w="820" w:type="dxa"/>
            <w:vAlign w:val="bottom"/>
          </w:tcPr>
          <w:p>
            <w:pPr>
              <w:jc w:val="right"/>
              <w:ind w:right="103"/>
              <w:spacing w:after="0"/>
              <w:rPr>
                <w:sz w:val="20"/>
                <w:szCs w:val="20"/>
                <w:color w:val="auto"/>
              </w:rPr>
            </w:pPr>
            <w:r>
              <w:rPr>
                <w:rFonts w:ascii="Arial" w:cs="Arial" w:eastAsia="Arial" w:hAnsi="Arial"/>
                <w:sz w:val="11"/>
                <w:szCs w:val="11"/>
                <w:b w:val="1"/>
                <w:bCs w:val="1"/>
                <w:color w:val="auto"/>
              </w:rPr>
              <w:t>As Restated</w:t>
            </w:r>
          </w:p>
        </w:tc>
        <w:tc>
          <w:tcPr>
            <w:tcW w:w="0" w:type="dxa"/>
            <w:vAlign w:val="bottom"/>
          </w:tcPr>
          <w:p>
            <w:pPr>
              <w:spacing w:after="0"/>
              <w:rPr>
                <w:sz w:val="1"/>
                <w:szCs w:val="1"/>
                <w:color w:val="auto"/>
              </w:rPr>
            </w:pPr>
          </w:p>
        </w:tc>
      </w:tr>
      <w:tr>
        <w:trPr>
          <w:trHeight w:val="153"/>
        </w:trPr>
        <w:tc>
          <w:tcPr>
            <w:tcW w:w="2040" w:type="dxa"/>
            <w:vAlign w:val="bottom"/>
          </w:tcPr>
          <w:p>
            <w:pPr>
              <w:ind w:left="20"/>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assets: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tcPr>
          <w:p>
            <w:pPr>
              <w:ind w:left="340"/>
              <w:spacing w:after="0"/>
              <w:rPr>
                <w:sz w:val="20"/>
                <w:szCs w:val="20"/>
                <w:color w:val="auto"/>
              </w:rPr>
            </w:pPr>
            <w:r>
              <w:rPr>
                <w:rFonts w:ascii="Arial" w:cs="Arial" w:eastAsia="Arial" w:hAnsi="Arial"/>
                <w:sz w:val="11"/>
                <w:szCs w:val="11"/>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211,812</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40" w:type="dxa"/>
            <w:vAlign w:val="bottom"/>
            <w:gridSpan w:val="3"/>
          </w:tcPr>
          <w:p>
            <w:pPr>
              <w:ind w:left="660"/>
              <w:spacing w:after="0"/>
              <w:rPr>
                <w:sz w:val="20"/>
                <w:szCs w:val="20"/>
                <w:color w:val="auto"/>
              </w:rPr>
            </w:pPr>
            <w:r>
              <w:rPr>
                <w:rFonts w:ascii="Arial" w:cs="Arial" w:eastAsia="Arial" w:hAnsi="Arial"/>
                <w:sz w:val="11"/>
                <w:szCs w:val="11"/>
                <w:color w:val="auto"/>
              </w:rPr>
              <w:t>—   $</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211,812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215,537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gridSpan w:val="3"/>
          </w:tcPr>
          <w:p>
            <w:pPr>
              <w:ind w:left="660"/>
              <w:spacing w:after="0"/>
              <w:rPr>
                <w:sz w:val="20"/>
                <w:szCs w:val="20"/>
                <w:color w:val="auto"/>
              </w:rPr>
            </w:pPr>
            <w:r>
              <w:rPr>
                <w:rFonts w:ascii="Arial" w:cs="Arial" w:eastAsia="Arial" w:hAnsi="Arial"/>
                <w:sz w:val="11"/>
                <w:szCs w:val="11"/>
                <w:color w:val="auto"/>
              </w:rPr>
              <w:t>—   $</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215,537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247,504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gridSpan w:val="3"/>
          </w:tcPr>
          <w:p>
            <w:pPr>
              <w:ind w:left="700"/>
              <w:spacing w:after="0"/>
              <w:rPr>
                <w:sz w:val="20"/>
                <w:szCs w:val="20"/>
                <w:color w:val="auto"/>
              </w:rPr>
            </w:pPr>
            <w:r>
              <w:rPr>
                <w:rFonts w:ascii="Arial" w:cs="Arial" w:eastAsia="Arial" w:hAnsi="Arial"/>
                <w:sz w:val="11"/>
                <w:szCs w:val="11"/>
                <w:color w:val="auto"/>
              </w:rPr>
              <w:t>—   $</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247,504</w:t>
            </w:r>
          </w:p>
        </w:tc>
        <w:tc>
          <w:tcPr>
            <w:tcW w:w="0" w:type="dxa"/>
            <w:vAlign w:val="bottom"/>
          </w:tcPr>
          <w:p>
            <w:pPr>
              <w:spacing w:after="0"/>
              <w:rPr>
                <w:sz w:val="1"/>
                <w:szCs w:val="1"/>
                <w:color w:val="auto"/>
              </w:rPr>
            </w:pPr>
          </w:p>
        </w:tc>
      </w:tr>
      <w:tr>
        <w:trPr>
          <w:trHeight w:val="132"/>
        </w:trPr>
        <w:tc>
          <w:tcPr>
            <w:tcW w:w="20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Accounts receivable, net of</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40" w:type="dxa"/>
            <w:vAlign w:val="bottom"/>
            <w:shd w:val="clear" w:color="auto" w:fill="CCEEFF"/>
          </w:tcPr>
          <w:p>
            <w:pPr>
              <w:ind w:left="500"/>
              <w:spacing w:after="0" w:line="119" w:lineRule="exact"/>
              <w:rPr>
                <w:sz w:val="20"/>
                <w:szCs w:val="20"/>
                <w:color w:val="auto"/>
              </w:rPr>
            </w:pPr>
            <w:r>
              <w:rPr>
                <w:rFonts w:ascii="Arial" w:cs="Arial" w:eastAsia="Arial" w:hAnsi="Arial"/>
                <w:sz w:val="11"/>
                <w:szCs w:val="11"/>
                <w:color w:val="auto"/>
              </w:rPr>
              <w:t>allowance $4,419, $4,508.</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13,578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13,700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12,993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12,993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12,784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605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13,389</w:t>
            </w: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ind w:left="500"/>
              <w:spacing w:after="0"/>
              <w:rPr>
                <w:sz w:val="20"/>
                <w:szCs w:val="20"/>
                <w:color w:val="auto"/>
              </w:rPr>
            </w:pPr>
            <w:r>
              <w:rPr>
                <w:rFonts w:ascii="Arial" w:cs="Arial" w:eastAsia="Arial" w:hAnsi="Arial"/>
                <w:sz w:val="11"/>
                <w:szCs w:val="11"/>
                <w:color w:val="auto"/>
              </w:rPr>
              <w:t>and $3,633, respectively</w:t>
            </w: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40" w:type="dxa"/>
            <w:vAlign w:val="bottom"/>
          </w:tcPr>
          <w:p>
            <w:pPr>
              <w:ind w:left="340"/>
              <w:spacing w:after="0" w:line="124" w:lineRule="exact"/>
              <w:rPr>
                <w:sz w:val="20"/>
                <w:szCs w:val="20"/>
                <w:color w:val="auto"/>
              </w:rPr>
            </w:pPr>
            <w:r>
              <w:rPr>
                <w:rFonts w:ascii="Arial" w:cs="Arial" w:eastAsia="Arial" w:hAnsi="Arial"/>
                <w:sz w:val="11"/>
                <w:szCs w:val="11"/>
                <w:color w:val="auto"/>
              </w:rPr>
              <w:t>Prepaid expenses and other</w:t>
            </w:r>
          </w:p>
        </w:tc>
        <w:tc>
          <w:tcPr>
            <w:tcW w:w="10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16,624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(264)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16,360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13,860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13,860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23,172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22,930</w:t>
            </w:r>
          </w:p>
        </w:tc>
        <w:tc>
          <w:tcPr>
            <w:tcW w:w="0" w:type="dxa"/>
            <w:vAlign w:val="bottom"/>
          </w:tcPr>
          <w:p>
            <w:pPr>
              <w:spacing w:after="0"/>
              <w:rPr>
                <w:sz w:val="1"/>
                <w:szCs w:val="1"/>
                <w:color w:val="auto"/>
              </w:rPr>
            </w:pPr>
          </w:p>
        </w:tc>
      </w:tr>
      <w:tr>
        <w:trPr>
          <w:trHeight w:val="151"/>
        </w:trPr>
        <w:tc>
          <w:tcPr>
            <w:tcW w:w="2040" w:type="dxa"/>
            <w:vAlign w:val="bottom"/>
          </w:tcPr>
          <w:p>
            <w:pPr>
              <w:ind w:left="340"/>
              <w:spacing w:after="0"/>
              <w:rPr>
                <w:sz w:val="20"/>
                <w:szCs w:val="20"/>
                <w:color w:val="auto"/>
              </w:rPr>
            </w:pPr>
            <w:r>
              <w:rPr>
                <w:rFonts w:ascii="Arial" w:cs="Arial" w:eastAsia="Arial" w:hAnsi="Arial"/>
                <w:sz w:val="11"/>
                <w:szCs w:val="11"/>
                <w:color w:val="auto"/>
              </w:rPr>
              <w:t>current assets</w:t>
            </w: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Current assets held for sale</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22,722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22,722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40" w:type="dxa"/>
            <w:vAlign w:val="bottom"/>
          </w:tcPr>
          <w:p>
            <w:pPr>
              <w:ind w:left="660"/>
              <w:spacing w:after="0"/>
              <w:rPr>
                <w:sz w:val="20"/>
                <w:szCs w:val="20"/>
                <w:color w:val="auto"/>
              </w:rPr>
            </w:pPr>
            <w:r>
              <w:rPr>
                <w:rFonts w:ascii="Arial" w:cs="Arial" w:eastAsia="Arial" w:hAnsi="Arial"/>
                <w:sz w:val="11"/>
                <w:szCs w:val="11"/>
                <w:color w:val="auto"/>
              </w:rPr>
              <w:t>Total current assets</w:t>
            </w:r>
          </w:p>
        </w:tc>
        <w:tc>
          <w:tcPr>
            <w:tcW w:w="1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264,736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264,594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242,390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242,390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283,460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283,823</w:t>
            </w:r>
          </w:p>
        </w:tc>
        <w:tc>
          <w:tcPr>
            <w:tcW w:w="0" w:type="dxa"/>
            <w:vAlign w:val="bottom"/>
          </w:tcPr>
          <w:p>
            <w:pPr>
              <w:spacing w:after="0"/>
              <w:rPr>
                <w:sz w:val="1"/>
                <w:szCs w:val="1"/>
                <w:color w:val="auto"/>
              </w:rPr>
            </w:pPr>
          </w:p>
        </w:tc>
      </w:tr>
      <w:tr>
        <w:trPr>
          <w:trHeight w:val="179"/>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49,342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49,342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47,769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47,769</w:t>
            </w: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1"/>
                <w:szCs w:val="11"/>
                <w:color w:val="auto"/>
              </w:rPr>
              <w:t>Goodwill</w:t>
            </w:r>
          </w:p>
        </w:tc>
        <w:tc>
          <w:tcPr>
            <w:tcW w:w="10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63,184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63,184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59,933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59,933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59,994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59,994</w:t>
            </w:r>
          </w:p>
        </w:tc>
        <w:tc>
          <w:tcPr>
            <w:tcW w:w="0" w:type="dxa"/>
            <w:vAlign w:val="bottom"/>
          </w:tcPr>
          <w:p>
            <w:pPr>
              <w:spacing w:after="0"/>
              <w:rPr>
                <w:sz w:val="1"/>
                <w:szCs w:val="1"/>
                <w:color w:val="auto"/>
              </w:rPr>
            </w:pPr>
          </w:p>
        </w:tc>
      </w:tr>
      <w:tr>
        <w:trPr>
          <w:trHeight w:val="179"/>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13,552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14,570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15,361</w:t>
            </w: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1"/>
                <w:szCs w:val="11"/>
                <w:color w:val="auto"/>
              </w:rPr>
              <w:t>Operating lease right-of-use assets</w:t>
            </w:r>
          </w:p>
        </w:tc>
        <w:tc>
          <w:tcPr>
            <w:tcW w:w="10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11,796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11,796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6,961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6,961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5,292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5,292</w:t>
            </w:r>
          </w:p>
        </w:tc>
        <w:tc>
          <w:tcPr>
            <w:tcW w:w="0" w:type="dxa"/>
            <w:vAlign w:val="bottom"/>
          </w:tcPr>
          <w:p>
            <w:pPr>
              <w:spacing w:after="0"/>
              <w:rPr>
                <w:sz w:val="1"/>
                <w:szCs w:val="1"/>
                <w:color w:val="auto"/>
              </w:rPr>
            </w:pPr>
          </w:p>
        </w:tc>
      </w:tr>
      <w:tr>
        <w:trPr>
          <w:trHeight w:val="179"/>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30,276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25,685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57"/>
        </w:trPr>
        <w:tc>
          <w:tcPr>
            <w:tcW w:w="2060" w:type="dxa"/>
            <w:vAlign w:val="bottom"/>
          </w:tcPr>
          <w:p>
            <w:pPr>
              <w:ind w:left="20"/>
              <w:spacing w:after="0"/>
              <w:rPr>
                <w:sz w:val="20"/>
                <w:szCs w:val="20"/>
                <w:color w:val="auto"/>
              </w:rPr>
            </w:pPr>
            <w:r>
              <w:rPr>
                <w:rFonts w:ascii="Arial" w:cs="Arial" w:eastAsia="Arial" w:hAnsi="Arial"/>
                <w:sz w:val="11"/>
                <w:szCs w:val="11"/>
                <w:color w:val="auto"/>
              </w:rPr>
              <w:t>Available-for-sale debt securities</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1,183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1,183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1,182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1,182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1,182</w:t>
            </w: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13,157</w:t>
            </w:r>
          </w:p>
        </w:tc>
        <w:tc>
          <w:tcPr>
            <w:tcW w:w="0" w:type="dxa"/>
            <w:vAlign w:val="bottom"/>
          </w:tcPr>
          <w:p>
            <w:pPr>
              <w:spacing w:after="0"/>
              <w:rPr>
                <w:sz w:val="1"/>
                <w:szCs w:val="1"/>
                <w:color w:val="auto"/>
              </w:rPr>
            </w:pPr>
          </w:p>
        </w:tc>
      </w:tr>
      <w:tr>
        <w:trPr>
          <w:trHeight w:val="171"/>
        </w:trPr>
        <w:tc>
          <w:tcPr>
            <w:tcW w:w="2060" w:type="dxa"/>
            <w:vAlign w:val="bottom"/>
          </w:tcPr>
          <w:p>
            <w:pPr>
              <w:ind w:left="660"/>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423,813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2,660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426,473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413,382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4,057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417,439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451,064</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4,240</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455,304</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25,805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25,805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18,404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18,404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31,747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31,747</w:t>
            </w:r>
          </w:p>
        </w:tc>
        <w:tc>
          <w:tcPr>
            <w:tcW w:w="0" w:type="dxa"/>
            <w:vAlign w:val="bottom"/>
          </w:tcPr>
          <w:p>
            <w:pPr>
              <w:spacing w:after="0"/>
              <w:rPr>
                <w:sz w:val="1"/>
                <w:szCs w:val="1"/>
                <w:color w:val="auto"/>
              </w:rPr>
            </w:pPr>
          </w:p>
        </w:tc>
      </w:tr>
      <w:tr>
        <w:trPr>
          <w:trHeight w:val="124"/>
        </w:trPr>
        <w:tc>
          <w:tcPr>
            <w:tcW w:w="2060" w:type="dxa"/>
            <w:vAlign w:val="bottom"/>
          </w:tcPr>
          <w:p>
            <w:pPr>
              <w:ind w:left="340"/>
              <w:spacing w:after="0" w:line="124" w:lineRule="exact"/>
              <w:rPr>
                <w:sz w:val="20"/>
                <w:szCs w:val="20"/>
                <w:color w:val="auto"/>
              </w:rPr>
            </w:pPr>
            <w:r>
              <w:rPr>
                <w:rFonts w:ascii="Arial" w:cs="Arial" w:eastAsia="Arial" w:hAnsi="Arial"/>
                <w:sz w:val="11"/>
                <w:szCs w:val="11"/>
                <w:color w:val="auto"/>
              </w:rPr>
              <w:t>Accrued expenses and other</w:t>
            </w:r>
          </w:p>
        </w:tc>
        <w:tc>
          <w:tcPr>
            <w:tcW w:w="220" w:type="dxa"/>
            <w:vAlign w:val="bottom"/>
          </w:tcPr>
          <w:p>
            <w:pPr>
              <w:spacing w:after="0"/>
              <w:rPr>
                <w:sz w:val="10"/>
                <w:szCs w:val="10"/>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59,916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59,895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55,820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(1,235)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54,585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56,509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56,606</w:t>
            </w:r>
          </w:p>
        </w:tc>
        <w:tc>
          <w:tcPr>
            <w:tcW w:w="0" w:type="dxa"/>
            <w:vAlign w:val="bottom"/>
          </w:tcPr>
          <w:p>
            <w:pPr>
              <w:spacing w:after="0"/>
              <w:rPr>
                <w:sz w:val="1"/>
                <w:szCs w:val="1"/>
                <w:color w:val="auto"/>
              </w:rPr>
            </w:pPr>
          </w:p>
        </w:tc>
      </w:tr>
      <w:tr>
        <w:trPr>
          <w:trHeight w:val="151"/>
        </w:trPr>
        <w:tc>
          <w:tcPr>
            <w:tcW w:w="2060" w:type="dxa"/>
            <w:vAlign w:val="bottom"/>
          </w:tcPr>
          <w:p>
            <w:pPr>
              <w:ind w:left="340"/>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Deferred revenue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168,705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167,967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163,140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163,140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163,729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163,016</w:t>
            </w:r>
          </w:p>
        </w:tc>
        <w:tc>
          <w:tcPr>
            <w:tcW w:w="0" w:type="dxa"/>
            <w:vAlign w:val="bottom"/>
          </w:tcPr>
          <w:p>
            <w:pPr>
              <w:spacing w:after="0"/>
              <w:rPr>
                <w:sz w:val="1"/>
                <w:szCs w:val="1"/>
                <w:color w:val="auto"/>
              </w:rPr>
            </w:pPr>
          </w:p>
        </w:tc>
      </w:tr>
      <w:tr>
        <w:trPr>
          <w:trHeight w:val="164"/>
        </w:trPr>
        <w:tc>
          <w:tcPr>
            <w:tcW w:w="2060" w:type="dxa"/>
            <w:vAlign w:val="bottom"/>
          </w:tcPr>
          <w:p>
            <w:pPr>
              <w:ind w:left="340"/>
              <w:spacing w:after="0"/>
              <w:rPr>
                <w:sz w:val="20"/>
                <w:szCs w:val="20"/>
                <w:color w:val="auto"/>
              </w:rPr>
            </w:pPr>
            <w:r>
              <w:rPr>
                <w:rFonts w:ascii="Arial" w:cs="Arial" w:eastAsia="Arial" w:hAnsi="Arial"/>
                <w:sz w:val="11"/>
                <w:szCs w:val="11"/>
                <w:color w:val="auto"/>
              </w:rPr>
              <w:t>Operating lease liabilities</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2,054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1,542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1,607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1,607</w:t>
            </w:r>
          </w:p>
        </w:tc>
        <w:tc>
          <w:tcPr>
            <w:tcW w:w="0" w:type="dxa"/>
            <w:vAlign w:val="bottom"/>
          </w:tcPr>
          <w:p>
            <w:pPr>
              <w:spacing w:after="0"/>
              <w:rPr>
                <w:sz w:val="1"/>
                <w:szCs w:val="1"/>
                <w:color w:val="auto"/>
              </w:rPr>
            </w:pPr>
          </w:p>
        </w:tc>
      </w:tr>
      <w:tr>
        <w:trPr>
          <w:trHeight w:val="171"/>
        </w:trPr>
        <w:tc>
          <w:tcPr>
            <w:tcW w:w="20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current liabilities</w:t>
            </w: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256,480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255,721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238,906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237,671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253,592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252,976</w:t>
            </w:r>
          </w:p>
        </w:tc>
        <w:tc>
          <w:tcPr>
            <w:tcW w:w="0" w:type="dxa"/>
            <w:vAlign w:val="bottom"/>
          </w:tcPr>
          <w:p>
            <w:pPr>
              <w:spacing w:after="0"/>
              <w:rPr>
                <w:sz w:val="1"/>
                <w:szCs w:val="1"/>
                <w:color w:val="auto"/>
              </w:rPr>
            </w:pPr>
          </w:p>
        </w:tc>
      </w:tr>
      <w:tr>
        <w:trPr>
          <w:trHeight w:val="163"/>
        </w:trPr>
        <w:tc>
          <w:tcPr>
            <w:tcW w:w="2060" w:type="dxa"/>
            <w:vAlign w:val="bottom"/>
          </w:tcPr>
          <w:p>
            <w:pPr>
              <w:ind w:left="20"/>
              <w:spacing w:after="0"/>
              <w:rPr>
                <w:sz w:val="20"/>
                <w:szCs w:val="20"/>
                <w:color w:val="auto"/>
              </w:rPr>
            </w:pPr>
            <w:r>
              <w:rPr>
                <w:rFonts w:ascii="Arial" w:cs="Arial" w:eastAsia="Arial" w:hAnsi="Arial"/>
                <w:sz w:val="11"/>
                <w:szCs w:val="11"/>
                <w:color w:val="auto"/>
              </w:rPr>
              <w:t>Operating lease liabilities, non-current</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9,568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9,568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4,842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4,842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3,505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3,505</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revenue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1,283</w:t>
            </w:r>
          </w:p>
        </w:tc>
        <w:tc>
          <w:tcPr>
            <w:tcW w:w="0" w:type="dxa"/>
            <w:vAlign w:val="bottom"/>
          </w:tcPr>
          <w:p>
            <w:pPr>
              <w:spacing w:after="0"/>
              <w:rPr>
                <w:sz w:val="1"/>
                <w:szCs w:val="1"/>
                <w:color w:val="auto"/>
              </w:rPr>
            </w:pPr>
          </w:p>
        </w:tc>
      </w:tr>
      <w:tr>
        <w:trPr>
          <w:trHeight w:val="164"/>
        </w:trPr>
        <w:tc>
          <w:tcPr>
            <w:tcW w:w="2060" w:type="dxa"/>
            <w:vAlign w:val="bottom"/>
          </w:tcPr>
          <w:p>
            <w:pPr>
              <w:ind w:left="20"/>
              <w:spacing w:after="0"/>
              <w:rPr>
                <w:sz w:val="20"/>
                <w:szCs w:val="20"/>
                <w:color w:val="auto"/>
              </w:rPr>
            </w:pPr>
            <w:r>
              <w:rPr>
                <w:rFonts w:ascii="Arial" w:cs="Arial" w:eastAsia="Arial" w:hAnsi="Arial"/>
                <w:sz w:val="11"/>
                <w:szCs w:val="11"/>
                <w:color w:val="auto"/>
              </w:rPr>
              <w:t>Other liabilities</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2,926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2,926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2,841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2,841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2,833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2,833</w:t>
            </w:r>
          </w:p>
        </w:tc>
        <w:tc>
          <w:tcPr>
            <w:tcW w:w="0" w:type="dxa"/>
            <w:vAlign w:val="bottom"/>
          </w:tcPr>
          <w:p>
            <w:pPr>
              <w:spacing w:after="0"/>
              <w:rPr>
                <w:sz w:val="1"/>
                <w:szCs w:val="1"/>
                <w:color w:val="auto"/>
              </w:rPr>
            </w:pPr>
          </w:p>
        </w:tc>
      </w:tr>
      <w:tr>
        <w:trPr>
          <w:trHeight w:val="171"/>
        </w:trPr>
        <w:tc>
          <w:tcPr>
            <w:tcW w:w="20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liabilities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269,987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269,228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247,726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246,491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261,213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260,597</w:t>
            </w:r>
          </w:p>
        </w:tc>
        <w:tc>
          <w:tcPr>
            <w:tcW w:w="0" w:type="dxa"/>
            <w:vAlign w:val="bottom"/>
          </w:tcPr>
          <w:p>
            <w:pPr>
              <w:spacing w:after="0"/>
              <w:rPr>
                <w:sz w:val="1"/>
                <w:szCs w:val="1"/>
                <w:color w:val="auto"/>
              </w:rPr>
            </w:pPr>
          </w:p>
        </w:tc>
      </w:tr>
      <w:tr>
        <w:trPr>
          <w:trHeight w:val="143"/>
        </w:trPr>
        <w:tc>
          <w:tcPr>
            <w:tcW w:w="2060" w:type="dxa"/>
            <w:vAlign w:val="bottom"/>
          </w:tcPr>
          <w:p>
            <w:pPr>
              <w:ind w:left="20"/>
              <w:spacing w:after="0"/>
              <w:rPr>
                <w:sz w:val="20"/>
                <w:szCs w:val="20"/>
                <w:color w:val="auto"/>
              </w:rPr>
            </w:pPr>
            <w:r>
              <w:rPr>
                <w:rFonts w:ascii="Arial" w:cs="Arial" w:eastAsia="Arial" w:hAnsi="Arial"/>
                <w:sz w:val="11"/>
                <w:szCs w:val="11"/>
                <w:color w:val="auto"/>
              </w:rPr>
              <w:t>Commitments and contingencies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60" w:type="dxa"/>
            <w:vAlign w:val="bottom"/>
          </w:tcPr>
          <w:p>
            <w:pPr>
              <w:ind w:left="340"/>
              <w:spacing w:after="0" w:line="124" w:lineRule="exact"/>
              <w:rPr>
                <w:sz w:val="20"/>
                <w:szCs w:val="20"/>
                <w:color w:val="auto"/>
              </w:rPr>
            </w:pPr>
            <w:r>
              <w:rPr>
                <w:rFonts w:ascii="Arial" w:cs="Arial" w:eastAsia="Arial" w:hAnsi="Arial"/>
                <w:sz w:val="11"/>
                <w:szCs w:val="11"/>
                <w:color w:val="auto"/>
              </w:rPr>
              <w:t>Preferred stock, $0.001 par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60" w:type="dxa"/>
            <w:vAlign w:val="bottom"/>
          </w:tcPr>
          <w:p>
            <w:pPr>
              <w:ind w:left="500"/>
              <w:spacing w:after="0" w:line="113" w:lineRule="exact"/>
              <w:rPr>
                <w:sz w:val="20"/>
                <w:szCs w:val="20"/>
                <w:color w:val="auto"/>
              </w:rPr>
            </w:pPr>
            <w:r>
              <w:rPr>
                <w:rFonts w:ascii="Arial" w:cs="Arial" w:eastAsia="Arial" w:hAnsi="Arial"/>
                <w:sz w:val="11"/>
                <w:szCs w:val="11"/>
                <w:color w:val="auto"/>
              </w:rPr>
              <w:t>value; 100,000 shares</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60" w:type="dxa"/>
            <w:vAlign w:val="bottom"/>
          </w:tcPr>
          <w:p>
            <w:pPr>
              <w:ind w:left="500"/>
              <w:spacing w:after="0" w:line="111" w:lineRule="exact"/>
              <w:rPr>
                <w:sz w:val="20"/>
                <w:szCs w:val="20"/>
                <w:color w:val="auto"/>
              </w:rPr>
            </w:pPr>
            <w:r>
              <w:rPr>
                <w:rFonts w:ascii="Arial" w:cs="Arial" w:eastAsia="Arial" w:hAnsi="Arial"/>
                <w:sz w:val="11"/>
                <w:szCs w:val="11"/>
                <w:color w:val="auto"/>
              </w:rPr>
              <w:t>authorized; 0 issued or</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60" w:type="dxa"/>
            <w:vAlign w:val="bottom"/>
          </w:tcPr>
          <w:p>
            <w:pPr>
              <w:ind w:left="500"/>
              <w:spacing w:after="0" w:line="119" w:lineRule="exact"/>
              <w:rPr>
                <w:sz w:val="20"/>
                <w:szCs w:val="20"/>
                <w:color w:val="auto"/>
              </w:rPr>
            </w:pPr>
            <w:r>
              <w:rPr>
                <w:rFonts w:ascii="Arial" w:cs="Arial" w:eastAsia="Arial" w:hAnsi="Arial"/>
                <w:sz w:val="11"/>
                <w:szCs w:val="11"/>
                <w:color w:val="auto"/>
              </w:rPr>
              <w:t>outstanding at September 30,</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60" w:type="dxa"/>
            <w:vAlign w:val="bottom"/>
          </w:tcPr>
          <w:p>
            <w:pPr>
              <w:ind w:left="500"/>
              <w:spacing w:after="0" w:line="113" w:lineRule="exact"/>
              <w:rPr>
                <w:sz w:val="20"/>
                <w:szCs w:val="20"/>
                <w:color w:val="auto"/>
              </w:rPr>
            </w:pPr>
            <w:r>
              <w:rPr>
                <w:rFonts w:ascii="Arial" w:cs="Arial" w:eastAsia="Arial" w:hAnsi="Arial"/>
                <w:sz w:val="11"/>
                <w:szCs w:val="11"/>
                <w:color w:val="auto"/>
              </w:rPr>
              <w:t>2022, June 30, 2022, and</w:t>
            </w:r>
          </w:p>
        </w:tc>
        <w:tc>
          <w:tcPr>
            <w:tcW w:w="2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060" w:type="dxa"/>
            <w:vAlign w:val="bottom"/>
          </w:tcPr>
          <w:p>
            <w:pPr>
              <w:ind w:left="500"/>
              <w:spacing w:after="0"/>
              <w:rPr>
                <w:sz w:val="20"/>
                <w:szCs w:val="20"/>
                <w:color w:val="auto"/>
              </w:rPr>
            </w:pPr>
            <w:r>
              <w:rPr>
                <w:rFonts w:ascii="Arial" w:cs="Arial" w:eastAsia="Arial" w:hAnsi="Arial"/>
                <w:sz w:val="11"/>
                <w:szCs w:val="11"/>
                <w:color w:val="auto"/>
              </w:rPr>
              <w:t>March 31, 2022, respectively</w:t>
            </w:r>
          </w:p>
        </w:tc>
        <w:tc>
          <w:tcPr>
            <w:tcW w:w="2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Common stock, $0.001 par</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60" w:type="dxa"/>
            <w:vAlign w:val="bottom"/>
            <w:shd w:val="clear" w:color="auto" w:fill="CCEEFF"/>
          </w:tcPr>
          <w:p>
            <w:pPr>
              <w:ind w:left="500"/>
              <w:spacing w:after="0" w:line="113" w:lineRule="exact"/>
              <w:rPr>
                <w:sz w:val="20"/>
                <w:szCs w:val="20"/>
                <w:color w:val="auto"/>
              </w:rPr>
            </w:pPr>
            <w:r>
              <w:rPr>
                <w:rFonts w:ascii="Arial" w:cs="Arial" w:eastAsia="Arial" w:hAnsi="Arial"/>
                <w:sz w:val="11"/>
                <w:szCs w:val="11"/>
                <w:color w:val="auto"/>
              </w:rPr>
              <w:t>value; 1,000,000 shares</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60" w:type="dxa"/>
            <w:vAlign w:val="bottom"/>
            <w:shd w:val="clear" w:color="auto" w:fill="CCEEFF"/>
          </w:tcPr>
          <w:p>
            <w:pPr>
              <w:ind w:left="500"/>
              <w:spacing w:after="0" w:line="111" w:lineRule="exact"/>
              <w:rPr>
                <w:sz w:val="20"/>
                <w:szCs w:val="20"/>
                <w:color w:val="auto"/>
              </w:rPr>
            </w:pPr>
            <w:r>
              <w:rPr>
                <w:rFonts w:ascii="Arial" w:cs="Arial" w:eastAsia="Arial" w:hAnsi="Arial"/>
                <w:sz w:val="11"/>
                <w:szCs w:val="11"/>
                <w:color w:val="auto"/>
              </w:rPr>
              <w:t>authorized; 193,848, 196,076,</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60" w:type="dxa"/>
            <w:vAlign w:val="bottom"/>
            <w:shd w:val="clear" w:color="auto" w:fill="CCEEFF"/>
          </w:tcPr>
          <w:p>
            <w:pPr>
              <w:ind w:left="500"/>
              <w:spacing w:after="0" w:line="119" w:lineRule="exact"/>
              <w:rPr>
                <w:sz w:val="20"/>
                <w:szCs w:val="20"/>
                <w:color w:val="auto"/>
              </w:rPr>
            </w:pPr>
            <w:r>
              <w:rPr>
                <w:rFonts w:ascii="Arial" w:cs="Arial" w:eastAsia="Arial" w:hAnsi="Arial"/>
                <w:sz w:val="11"/>
                <w:szCs w:val="11"/>
                <w:color w:val="auto"/>
              </w:rPr>
              <w:t>and 198,599 shares issued</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60" w:type="dxa"/>
            <w:vAlign w:val="bottom"/>
            <w:shd w:val="clear" w:color="auto" w:fill="CCEEFF"/>
          </w:tcPr>
          <w:p>
            <w:pPr>
              <w:ind w:left="500"/>
              <w:spacing w:after="0" w:line="113" w:lineRule="exact"/>
              <w:rPr>
                <w:sz w:val="20"/>
                <w:szCs w:val="20"/>
                <w:color w:val="auto"/>
              </w:rPr>
            </w:pPr>
            <w:r>
              <w:rPr>
                <w:rFonts w:ascii="Arial" w:cs="Arial" w:eastAsia="Arial" w:hAnsi="Arial"/>
                <w:sz w:val="11"/>
                <w:szCs w:val="11"/>
                <w:color w:val="auto"/>
              </w:rPr>
              <w:t>and outstanding at September</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60" w:type="dxa"/>
            <w:vAlign w:val="bottom"/>
            <w:shd w:val="clear" w:color="auto" w:fill="CCEEFF"/>
          </w:tcPr>
          <w:p>
            <w:pPr>
              <w:ind w:left="500"/>
              <w:spacing w:after="0" w:line="111" w:lineRule="exact"/>
              <w:rPr>
                <w:sz w:val="20"/>
                <w:szCs w:val="20"/>
                <w:color w:val="auto"/>
              </w:rPr>
            </w:pPr>
            <w:r>
              <w:rPr>
                <w:rFonts w:ascii="Arial" w:cs="Arial" w:eastAsia="Arial" w:hAnsi="Arial"/>
                <w:sz w:val="11"/>
                <w:szCs w:val="11"/>
                <w:color w:val="auto"/>
              </w:rPr>
              <w:t>30, 2022, June 30, 2022, and</w:t>
            </w:r>
          </w:p>
        </w:tc>
        <w:tc>
          <w:tcPr>
            <w:tcW w:w="2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193</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196</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196</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198</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66"/>
        </w:trPr>
        <w:tc>
          <w:tcPr>
            <w:tcW w:w="20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March 31, 2022, respectively</w:t>
            </w: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ind w:left="34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1,015,068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1,015,068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994,558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994,558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969,731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969,731</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Accumulated deficit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(865,933)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(862,514)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(830,952)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5,292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(825,660)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(779,723)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(774,867)</w:t>
            </w:r>
          </w:p>
        </w:tc>
        <w:tc>
          <w:tcPr>
            <w:tcW w:w="0" w:type="dxa"/>
            <w:vAlign w:val="bottom"/>
          </w:tcPr>
          <w:p>
            <w:pPr>
              <w:spacing w:after="0"/>
              <w:rPr>
                <w:sz w:val="1"/>
                <w:szCs w:val="1"/>
                <w:color w:val="auto"/>
              </w:rPr>
            </w:pPr>
          </w:p>
        </w:tc>
      </w:tr>
      <w:tr>
        <w:trPr>
          <w:trHeight w:val="124"/>
        </w:trPr>
        <w:tc>
          <w:tcPr>
            <w:tcW w:w="2060" w:type="dxa"/>
            <w:vAlign w:val="bottom"/>
          </w:tcPr>
          <w:p>
            <w:pPr>
              <w:ind w:left="340"/>
              <w:spacing w:after="0" w:line="124" w:lineRule="exact"/>
              <w:rPr>
                <w:sz w:val="20"/>
                <w:szCs w:val="20"/>
                <w:color w:val="auto"/>
              </w:rPr>
            </w:pPr>
            <w:r>
              <w:rPr>
                <w:rFonts w:ascii="Arial" w:cs="Arial" w:eastAsia="Arial" w:hAnsi="Arial"/>
                <w:sz w:val="11"/>
                <w:szCs w:val="11"/>
                <w:color w:val="auto"/>
              </w:rPr>
              <w:t>Accumulated other</w:t>
            </w:r>
          </w:p>
        </w:tc>
        <w:tc>
          <w:tcPr>
            <w:tcW w:w="220" w:type="dxa"/>
            <w:vAlign w:val="bottom"/>
          </w:tcPr>
          <w:p>
            <w:pPr>
              <w:spacing w:after="0"/>
              <w:rPr>
                <w:sz w:val="10"/>
                <w:szCs w:val="10"/>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4,498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4,498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1,854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1,854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51"/>
        </w:trPr>
        <w:tc>
          <w:tcPr>
            <w:tcW w:w="2060" w:type="dxa"/>
            <w:vAlign w:val="bottom"/>
          </w:tcPr>
          <w:p>
            <w:pPr>
              <w:ind w:left="340"/>
              <w:spacing w:after="0"/>
              <w:rPr>
                <w:sz w:val="20"/>
                <w:szCs w:val="20"/>
                <w:color w:val="auto"/>
              </w:rPr>
            </w:pPr>
            <w:r>
              <w:rPr>
                <w:rFonts w:ascii="Arial" w:cs="Arial" w:eastAsia="Arial" w:hAnsi="Arial"/>
                <w:sz w:val="11"/>
                <w:szCs w:val="11"/>
                <w:color w:val="auto"/>
              </w:rPr>
              <w:t>comprehensive income (loss)</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153,826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157,245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165,656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5,292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170,948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189,851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4,856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194,707</w:t>
            </w:r>
          </w:p>
        </w:tc>
        <w:tc>
          <w:tcPr>
            <w:tcW w:w="0" w:type="dxa"/>
            <w:vAlign w:val="bottom"/>
          </w:tcPr>
          <w:p>
            <w:pPr>
              <w:spacing w:after="0"/>
              <w:rPr>
                <w:sz w:val="1"/>
                <w:szCs w:val="1"/>
                <w:color w:val="auto"/>
              </w:rPr>
            </w:pPr>
          </w:p>
        </w:tc>
      </w:tr>
      <w:tr>
        <w:trPr>
          <w:trHeight w:val="104"/>
        </w:trPr>
        <w:tc>
          <w:tcPr>
            <w:tcW w:w="2060" w:type="dxa"/>
            <w:vAlign w:val="bottom"/>
          </w:tcPr>
          <w:p>
            <w:pPr>
              <w:ind w:left="20"/>
              <w:spacing w:after="0" w:line="104" w:lineRule="exact"/>
              <w:rPr>
                <w:sz w:val="20"/>
                <w:szCs w:val="20"/>
                <w:color w:val="auto"/>
              </w:rPr>
            </w:pPr>
            <w:r>
              <w:rPr>
                <w:rFonts w:ascii="Arial" w:cs="Arial" w:eastAsia="Arial" w:hAnsi="Arial"/>
                <w:sz w:val="11"/>
                <w:szCs w:val="11"/>
                <w:b w:val="1"/>
                <w:bCs w:val="1"/>
                <w:color w:val="auto"/>
              </w:rPr>
              <w:t>Total liabilities and stockholders’</w:t>
            </w:r>
          </w:p>
        </w:tc>
        <w:tc>
          <w:tcPr>
            <w:tcW w:w="220" w:type="dxa"/>
            <w:vAlign w:val="bottom"/>
            <w:vMerge w:val="restart"/>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423,813</w:t>
            </w:r>
          </w:p>
        </w:tc>
        <w:tc>
          <w:tcPr>
            <w:tcW w:w="80" w:type="dxa"/>
            <w:vAlign w:val="bottom"/>
          </w:tcPr>
          <w:p>
            <w:pPr>
              <w:spacing w:after="0"/>
              <w:rPr>
                <w:sz w:val="9"/>
                <w:szCs w:val="9"/>
                <w:color w:val="auto"/>
              </w:rPr>
            </w:pPr>
          </w:p>
        </w:tc>
        <w:tc>
          <w:tcPr>
            <w:tcW w:w="340" w:type="dxa"/>
            <w:vAlign w:val="bottom"/>
            <w:vMerge w:val="restart"/>
          </w:tcPr>
          <w:p>
            <w:pPr>
              <w:jc w:val="right"/>
              <w:ind w:right="203"/>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auto"/>
              </w:rPr>
              <w:t>2,660</w:t>
            </w:r>
          </w:p>
        </w:tc>
        <w:tc>
          <w:tcPr>
            <w:tcW w:w="100" w:type="dxa"/>
            <w:vAlign w:val="bottom"/>
          </w:tcPr>
          <w:p>
            <w:pPr>
              <w:spacing w:after="0"/>
              <w:rPr>
                <w:sz w:val="9"/>
                <w:szCs w:val="9"/>
                <w:color w:val="auto"/>
              </w:rPr>
            </w:pPr>
          </w:p>
        </w:tc>
        <w:tc>
          <w:tcPr>
            <w:tcW w:w="220" w:type="dxa"/>
            <w:vAlign w:val="bottom"/>
            <w:vMerge w:val="restart"/>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426,473</w:t>
            </w:r>
          </w:p>
        </w:tc>
        <w:tc>
          <w:tcPr>
            <w:tcW w:w="100" w:type="dxa"/>
            <w:vAlign w:val="bottom"/>
          </w:tcPr>
          <w:p>
            <w:pPr>
              <w:spacing w:after="0"/>
              <w:rPr>
                <w:sz w:val="9"/>
                <w:szCs w:val="9"/>
                <w:color w:val="auto"/>
              </w:rPr>
            </w:pP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413,382</w:t>
            </w:r>
          </w:p>
        </w:tc>
        <w:tc>
          <w:tcPr>
            <w:tcW w:w="80" w:type="dxa"/>
            <w:vAlign w:val="bottom"/>
          </w:tcPr>
          <w:p>
            <w:pPr>
              <w:spacing w:after="0"/>
              <w:rPr>
                <w:sz w:val="9"/>
                <w:szCs w:val="9"/>
                <w:color w:val="auto"/>
              </w:rPr>
            </w:pPr>
          </w:p>
        </w:tc>
        <w:tc>
          <w:tcPr>
            <w:tcW w:w="320" w:type="dxa"/>
            <w:vAlign w:val="bottom"/>
            <w:vMerge w:val="restart"/>
          </w:tcPr>
          <w:p>
            <w:pPr>
              <w:jc w:val="right"/>
              <w:ind w:right="183"/>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4,057</w:t>
            </w:r>
          </w:p>
        </w:tc>
        <w:tc>
          <w:tcPr>
            <w:tcW w:w="80" w:type="dxa"/>
            <w:vAlign w:val="bottom"/>
          </w:tcPr>
          <w:p>
            <w:pPr>
              <w:spacing w:after="0"/>
              <w:rPr>
                <w:sz w:val="9"/>
                <w:szCs w:val="9"/>
                <w:color w:val="auto"/>
              </w:rPr>
            </w:pPr>
          </w:p>
        </w:tc>
        <w:tc>
          <w:tcPr>
            <w:tcW w:w="26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417,439</w:t>
            </w:r>
          </w:p>
        </w:tc>
        <w:tc>
          <w:tcPr>
            <w:tcW w:w="80" w:type="dxa"/>
            <w:vAlign w:val="bottom"/>
          </w:tcPr>
          <w:p>
            <w:pPr>
              <w:spacing w:after="0"/>
              <w:rPr>
                <w:sz w:val="9"/>
                <w:szCs w:val="9"/>
                <w:color w:val="auto"/>
              </w:rPr>
            </w:pPr>
          </w:p>
        </w:tc>
        <w:tc>
          <w:tcPr>
            <w:tcW w:w="26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451,064</w:t>
            </w:r>
          </w:p>
        </w:tc>
        <w:tc>
          <w:tcPr>
            <w:tcW w:w="80" w:type="dxa"/>
            <w:vAlign w:val="bottom"/>
          </w:tcPr>
          <w:p>
            <w:pPr>
              <w:spacing w:after="0"/>
              <w:rPr>
                <w:sz w:val="9"/>
                <w:szCs w:val="9"/>
                <w:color w:val="auto"/>
              </w:rPr>
            </w:pPr>
          </w:p>
        </w:tc>
        <w:tc>
          <w:tcPr>
            <w:tcW w:w="340" w:type="dxa"/>
            <w:vAlign w:val="bottom"/>
            <w:vMerge w:val="restart"/>
          </w:tcPr>
          <w:p>
            <w:pPr>
              <w:jc w:val="right"/>
              <w:ind w:right="203"/>
              <w:spacing w:after="0"/>
              <w:rPr>
                <w:sz w:val="20"/>
                <w:szCs w:val="20"/>
                <w:color w:val="auto"/>
              </w:rPr>
            </w:pPr>
            <w:r>
              <w:rPr>
                <w:rFonts w:ascii="Arial" w:cs="Arial" w:eastAsia="Arial" w:hAnsi="Arial"/>
                <w:sz w:val="11"/>
                <w:szCs w:val="11"/>
                <w:color w:val="auto"/>
                <w:w w:val="97"/>
              </w:rPr>
              <w:t>$</w:t>
            </w: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auto"/>
              </w:rPr>
              <w:t>4,240</w:t>
            </w:r>
          </w:p>
        </w:tc>
        <w:tc>
          <w:tcPr>
            <w:tcW w:w="100" w:type="dxa"/>
            <w:vAlign w:val="bottom"/>
          </w:tcPr>
          <w:p>
            <w:pPr>
              <w:spacing w:after="0"/>
              <w:rPr>
                <w:sz w:val="9"/>
                <w:szCs w:val="9"/>
                <w:color w:val="auto"/>
              </w:rPr>
            </w:pP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455,304</w:t>
            </w:r>
          </w:p>
        </w:tc>
        <w:tc>
          <w:tcPr>
            <w:tcW w:w="0" w:type="dxa"/>
            <w:vAlign w:val="bottom"/>
          </w:tcPr>
          <w:p>
            <w:pPr>
              <w:spacing w:after="0"/>
              <w:rPr>
                <w:sz w:val="1"/>
                <w:szCs w:val="1"/>
                <w:color w:val="auto"/>
              </w:rPr>
            </w:pPr>
          </w:p>
        </w:tc>
      </w:tr>
      <w:tr>
        <w:trPr>
          <w:trHeight w:val="131"/>
        </w:trPr>
        <w:tc>
          <w:tcPr>
            <w:tcW w:w="2060" w:type="dxa"/>
            <w:vAlign w:val="bottom"/>
          </w:tcPr>
          <w:p>
            <w:pPr>
              <w:ind w:left="20"/>
              <w:spacing w:after="0"/>
              <w:rPr>
                <w:sz w:val="20"/>
                <w:szCs w:val="20"/>
                <w:color w:val="auto"/>
              </w:rPr>
            </w:pPr>
            <w:r>
              <w:rPr>
                <w:rFonts w:ascii="Arial" w:cs="Arial" w:eastAsia="Arial" w:hAnsi="Arial"/>
                <w:sz w:val="11"/>
                <w:szCs w:val="11"/>
                <w:b w:val="1"/>
                <w:bCs w:val="1"/>
                <w:color w:val="auto"/>
              </w:rPr>
              <w:t>equity</w:t>
            </w:r>
          </w:p>
        </w:tc>
        <w:tc>
          <w:tcPr>
            <w:tcW w:w="2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right="120" w:firstLine="395"/>
        <w:spacing w:after="0" w:line="270" w:lineRule="auto"/>
        <w:rPr>
          <w:sz w:val="20"/>
          <w:szCs w:val="20"/>
          <w:color w:val="auto"/>
        </w:rPr>
      </w:pPr>
      <w:r>
        <w:rPr>
          <w:rFonts w:ascii="Arial" w:cs="Arial" w:eastAsia="Arial" w:hAnsi="Arial"/>
          <w:sz w:val="16"/>
          <w:szCs w:val="16"/>
          <w:color w:val="auto"/>
        </w:rPr>
        <w:t>The table below sets forth the unaudited condensed consolidated statements of operations, including the balances as reported, adjustments and the as restated balances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51"/>
        </w:trPr>
        <w:tc>
          <w:tcPr>
            <w:tcW w:w="2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1"/>
                <w:szCs w:val="11"/>
                <w:b w:val="1"/>
                <w:bCs w:val="1"/>
                <w:color w:val="auto"/>
                <w:w w:val="95"/>
              </w:rPr>
              <w:t>Three Months Ended</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September 30, 2022</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4"/>
              </w:rPr>
              <w:t>June 30, 2022</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March 31, 2022</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As Reported</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8"/>
              </w:rPr>
              <w:t>Adjustments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As Restated</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w w:val="98"/>
              </w:rPr>
              <w:t>Adjustments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As Restated</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As Reported</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Adjustments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As Restated</w:t>
            </w:r>
          </w:p>
        </w:tc>
        <w:tc>
          <w:tcPr>
            <w:tcW w:w="0" w:type="dxa"/>
            <w:vAlign w:val="bottom"/>
          </w:tcPr>
          <w:p>
            <w:pPr>
              <w:spacing w:after="0"/>
              <w:rPr>
                <w:sz w:val="1"/>
                <w:szCs w:val="1"/>
                <w:color w:val="auto"/>
              </w:rPr>
            </w:pPr>
          </w:p>
        </w:tc>
      </w:tr>
      <w:tr>
        <w:trPr>
          <w:trHeight w:val="171"/>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154,416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155,277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163,867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162,649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154,209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155,427</w:t>
            </w:r>
          </w:p>
        </w:tc>
        <w:tc>
          <w:tcPr>
            <w:tcW w:w="0" w:type="dxa"/>
            <w:vAlign w:val="bottom"/>
          </w:tcPr>
          <w:p>
            <w:pPr>
              <w:spacing w:after="0"/>
              <w:rPr>
                <w:sz w:val="1"/>
                <w:szCs w:val="1"/>
                <w:color w:val="auto"/>
              </w:rPr>
            </w:pPr>
          </w:p>
        </w:tc>
      </w:tr>
      <w:tr>
        <w:trPr>
          <w:trHeight w:val="164"/>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50,050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50,314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57,393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57,151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55,940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56,182</w:t>
            </w:r>
          </w:p>
        </w:tc>
        <w:tc>
          <w:tcPr>
            <w:tcW w:w="0" w:type="dxa"/>
            <w:vAlign w:val="bottom"/>
          </w:tcPr>
          <w:p>
            <w:pPr>
              <w:spacing w:after="0"/>
              <w:rPr>
                <w:sz w:val="1"/>
                <w:szCs w:val="1"/>
                <w:color w:val="auto"/>
              </w:rPr>
            </w:pPr>
          </w:p>
        </w:tc>
      </w:tr>
      <w:tr>
        <w:trPr>
          <w:trHeight w:val="171"/>
        </w:trPr>
        <w:tc>
          <w:tcPr>
            <w:tcW w:w="20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Gross profit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104,366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104,963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106,474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105,498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98,269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99,245</w:t>
            </w:r>
          </w:p>
        </w:tc>
        <w:tc>
          <w:tcPr>
            <w:tcW w:w="0" w:type="dxa"/>
            <w:vAlign w:val="bottom"/>
          </w:tcPr>
          <w:p>
            <w:pPr>
              <w:spacing w:after="0"/>
              <w:rPr>
                <w:sz w:val="1"/>
                <w:szCs w:val="1"/>
                <w:color w:val="auto"/>
              </w:rPr>
            </w:pPr>
          </w:p>
        </w:tc>
      </w:tr>
      <w:tr>
        <w:trPr>
          <w:trHeight w:val="163"/>
        </w:trPr>
        <w:tc>
          <w:tcPr>
            <w:tcW w:w="20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Sales and marketing</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72,945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71,721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76,874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76,874</w:t>
            </w:r>
          </w:p>
        </w:tc>
        <w:tc>
          <w:tcPr>
            <w:tcW w:w="0" w:type="dxa"/>
            <w:vAlign w:val="bottom"/>
          </w:tcPr>
          <w:p>
            <w:pPr>
              <w:spacing w:after="0"/>
              <w:rPr>
                <w:sz w:val="1"/>
                <w:szCs w:val="1"/>
                <w:color w:val="auto"/>
              </w:rPr>
            </w:pPr>
          </w:p>
        </w:tc>
      </w:tr>
      <w:tr>
        <w:trPr>
          <w:trHeight w:val="163"/>
        </w:trPr>
        <w:tc>
          <w:tcPr>
            <w:tcW w:w="2020" w:type="dxa"/>
            <w:vAlign w:val="bottom"/>
          </w:tcPr>
          <w:p>
            <w:pPr>
              <w:ind w:left="240"/>
              <w:spacing w:after="0"/>
              <w:rPr>
                <w:sz w:val="20"/>
                <w:szCs w:val="20"/>
                <w:color w:val="auto"/>
              </w:rPr>
            </w:pPr>
            <w:r>
              <w:rPr>
                <w:rFonts w:ascii="Arial" w:cs="Arial" w:eastAsia="Arial" w:hAnsi="Arial"/>
                <w:sz w:val="11"/>
                <w:szCs w:val="11"/>
                <w:color w:val="auto"/>
              </w:rPr>
              <w:t>Technology and development</w:t>
            </w: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17,457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17,457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16,197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16,197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17,959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17,959</w:t>
            </w: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General and administrative</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30,103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28,969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28,969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29,488</w:t>
            </w:r>
          </w:p>
        </w:tc>
        <w:tc>
          <w:tcPr>
            <w:tcW w:w="0" w:type="dxa"/>
            <w:vAlign w:val="bottom"/>
          </w:tcPr>
          <w:p>
            <w:pPr>
              <w:spacing w:after="0"/>
              <w:rPr>
                <w:sz w:val="1"/>
                <w:szCs w:val="1"/>
                <w:color w:val="auto"/>
              </w:rPr>
            </w:pPr>
          </w:p>
        </w:tc>
      </w:tr>
      <w:tr>
        <w:trPr>
          <w:trHeight w:val="124"/>
        </w:trPr>
        <w:tc>
          <w:tcPr>
            <w:tcW w:w="2020" w:type="dxa"/>
            <w:vAlign w:val="bottom"/>
          </w:tcPr>
          <w:p>
            <w:pPr>
              <w:ind w:left="240"/>
              <w:spacing w:after="0" w:line="124" w:lineRule="exact"/>
              <w:rPr>
                <w:sz w:val="20"/>
                <w:szCs w:val="20"/>
                <w:color w:val="auto"/>
              </w:rPr>
            </w:pPr>
            <w:r>
              <w:rPr>
                <w:rFonts w:ascii="Arial" w:cs="Arial" w:eastAsia="Arial" w:hAnsi="Arial"/>
                <w:sz w:val="11"/>
                <w:szCs w:val="11"/>
                <w:color w:val="auto"/>
              </w:rPr>
              <w:t>Impairment of long-lived and other</w:t>
            </w: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02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assets</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operating expenses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113,942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115,166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118,111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116,887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124,321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124,321</w:t>
            </w:r>
          </w:p>
        </w:tc>
        <w:tc>
          <w:tcPr>
            <w:tcW w:w="0" w:type="dxa"/>
            <w:vAlign w:val="bottom"/>
          </w:tcPr>
          <w:p>
            <w:pPr>
              <w:spacing w:after="0"/>
              <w:rPr>
                <w:sz w:val="1"/>
                <w:szCs w:val="1"/>
                <w:color w:val="auto"/>
              </w:rPr>
            </w:pPr>
          </w:p>
        </w:tc>
      </w:tr>
      <w:tr>
        <w:trPr>
          <w:trHeight w:val="156"/>
        </w:trPr>
        <w:tc>
          <w:tcPr>
            <w:tcW w:w="202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(9,576)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(627)</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(10,203)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(11,637)</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248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(11,389)</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(26,052)</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976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(25,076)</w:t>
            </w: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Interest income (expense), net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64"/>
        </w:trPr>
        <w:tc>
          <w:tcPr>
            <w:tcW w:w="2020" w:type="dxa"/>
            <w:vAlign w:val="bottom"/>
          </w:tcPr>
          <w:p>
            <w:pPr>
              <w:ind w:left="240"/>
              <w:spacing w:after="0"/>
              <w:rPr>
                <w:sz w:val="20"/>
                <w:szCs w:val="20"/>
                <w:color w:val="auto"/>
              </w:rPr>
            </w:pPr>
            <w:r>
              <w:rPr>
                <w:rFonts w:ascii="Arial" w:cs="Arial" w:eastAsia="Arial" w:hAnsi="Arial"/>
                <w:sz w:val="11"/>
                <w:szCs w:val="11"/>
                <w:color w:val="auto"/>
              </w:rPr>
              <w:t>Other expense, net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(1,544)</w:t>
            </w:r>
          </w:p>
        </w:tc>
        <w:tc>
          <w:tcPr>
            <w:tcW w:w="0" w:type="dxa"/>
            <w:vAlign w:val="bottom"/>
          </w:tcPr>
          <w:p>
            <w:pPr>
              <w:spacing w:after="0"/>
              <w:rPr>
                <w:sz w:val="1"/>
                <w:szCs w:val="1"/>
                <w:color w:val="auto"/>
              </w:rPr>
            </w:pPr>
          </w:p>
        </w:tc>
      </w:tr>
      <w:tr>
        <w:trPr>
          <w:trHeight w:val="171"/>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before income taxes</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(12,204)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(13,630)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248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(13,382)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(27,649)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976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(26,673)</w:t>
            </w:r>
          </w:p>
        </w:tc>
        <w:tc>
          <w:tcPr>
            <w:tcW w:w="0" w:type="dxa"/>
            <w:vAlign w:val="bottom"/>
          </w:tcPr>
          <w:p>
            <w:pPr>
              <w:spacing w:after="0"/>
              <w:rPr>
                <w:sz w:val="1"/>
                <w:szCs w:val="1"/>
                <w:color w:val="auto"/>
              </w:rPr>
            </w:pPr>
          </w:p>
        </w:tc>
      </w:tr>
      <w:tr>
        <w:trPr>
          <w:trHeight w:val="124"/>
        </w:trPr>
        <w:tc>
          <w:tcPr>
            <w:tcW w:w="2020" w:type="dxa"/>
            <w:vAlign w:val="bottom"/>
          </w:tcPr>
          <w:p>
            <w:pPr>
              <w:ind w:left="240"/>
              <w:spacing w:after="0" w:line="124" w:lineRule="exact"/>
              <w:rPr>
                <w:sz w:val="20"/>
                <w:szCs w:val="20"/>
                <w:color w:val="auto"/>
              </w:rPr>
            </w:pPr>
            <w:r>
              <w:rPr>
                <w:rFonts w:ascii="Arial" w:cs="Arial" w:eastAsia="Arial" w:hAnsi="Arial"/>
                <w:sz w:val="11"/>
                <w:szCs w:val="11"/>
                <w:color w:val="auto"/>
              </w:rPr>
              <w:t>(Benefit from) provision for income</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(1,469)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1,246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(451)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(639)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2,960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(3,880)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(920)</w:t>
            </w:r>
          </w:p>
        </w:tc>
        <w:tc>
          <w:tcPr>
            <w:tcW w:w="0" w:type="dxa"/>
            <w:vAlign w:val="bottom"/>
          </w:tcPr>
          <w:p>
            <w:pPr>
              <w:spacing w:after="0"/>
              <w:rPr>
                <w:sz w:val="1"/>
                <w:szCs w:val="1"/>
                <w:color w:val="auto"/>
              </w:rPr>
            </w:pPr>
          </w:p>
        </w:tc>
      </w:tr>
      <w:tr>
        <w:trPr>
          <w:trHeight w:val="151"/>
        </w:trPr>
        <w:tc>
          <w:tcPr>
            <w:tcW w:w="202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taxes</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(30,609)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4,856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(25,753)</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line="110" w:lineRule="exact"/>
              <w:rPr>
                <w:sz w:val="20"/>
                <w:szCs w:val="20"/>
                <w:color w:val="auto"/>
              </w:rPr>
            </w:pPr>
            <w:r>
              <w:rPr>
                <w:rFonts w:ascii="Arial" w:cs="Arial" w:eastAsia="Arial" w:hAnsi="Arial"/>
                <w:sz w:val="11"/>
                <w:szCs w:val="11"/>
                <w:color w:val="auto"/>
              </w:rPr>
              <w:t>Net loss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20" w:type="dxa"/>
            <w:vAlign w:val="bottom"/>
          </w:tcPr>
          <w:p>
            <w:pPr>
              <w:ind w:left="180"/>
              <w:spacing w:after="0" w:line="113" w:lineRule="exact"/>
              <w:rPr>
                <w:sz w:val="20"/>
                <w:szCs w:val="20"/>
                <w:color w:val="auto"/>
              </w:rPr>
            </w:pPr>
            <w:r>
              <w:rPr>
                <w:rFonts w:ascii="Arial" w:cs="Arial" w:eastAsia="Arial" w:hAnsi="Arial"/>
                <w:sz w:val="11"/>
                <w:szCs w:val="11"/>
                <w:color w:val="auto"/>
              </w:rPr>
              <w:t>common stockholders—basic and</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(0.05)</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(0.07)</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(0.15)</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132"/>
        </w:trPr>
        <w:tc>
          <w:tcPr>
            <w:tcW w:w="2020" w:type="dxa"/>
            <w:vAlign w:val="bottom"/>
          </w:tcPr>
          <w:p>
            <w:pPr>
              <w:ind w:left="180"/>
              <w:spacing w:after="0"/>
              <w:rPr>
                <w:sz w:val="20"/>
                <w:szCs w:val="20"/>
                <w:color w:val="auto"/>
              </w:rPr>
            </w:pPr>
            <w:r>
              <w:rPr>
                <w:rFonts w:ascii="Arial" w:cs="Arial" w:eastAsia="Arial" w:hAnsi="Arial"/>
                <w:sz w:val="11"/>
                <w:szCs w:val="11"/>
                <w:color w:val="auto"/>
              </w:rPr>
              <w:t>diluted:</w:t>
            </w:r>
          </w:p>
        </w:tc>
        <w:tc>
          <w:tcPr>
            <w:tcW w:w="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20" w:type="dxa"/>
            <w:vAlign w:val="bottom"/>
            <w:shd w:val="clear" w:color="auto" w:fill="CCEEFF"/>
          </w:tcPr>
          <w:p>
            <w:pPr>
              <w:ind w:left="20"/>
              <w:spacing w:after="0" w:line="90" w:lineRule="exact"/>
              <w:rPr>
                <w:sz w:val="20"/>
                <w:szCs w:val="20"/>
                <w:color w:val="auto"/>
              </w:rPr>
            </w:pPr>
            <w:r>
              <w:rPr>
                <w:rFonts w:ascii="Arial" w:cs="Arial" w:eastAsia="Arial" w:hAnsi="Arial"/>
                <w:sz w:val="10"/>
                <w:szCs w:val="10"/>
                <w:color w:val="auto"/>
              </w:rPr>
              <w:t>Weighted-average shares used to</w:t>
            </w: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20" w:type="dxa"/>
            <w:vAlign w:val="bottom"/>
            <w:shd w:val="clear" w:color="auto" w:fill="CCEEFF"/>
          </w:tcPr>
          <w:p>
            <w:pPr>
              <w:ind w:left="180"/>
              <w:spacing w:after="0" w:line="113" w:lineRule="exact"/>
              <w:rPr>
                <w:sz w:val="20"/>
                <w:szCs w:val="20"/>
                <w:color w:val="auto"/>
              </w:rPr>
            </w:pPr>
            <w:r>
              <w:rPr>
                <w:rFonts w:ascii="Arial" w:cs="Arial" w:eastAsia="Arial" w:hAnsi="Arial"/>
                <w:sz w:val="11"/>
                <w:szCs w:val="11"/>
                <w:color w:val="auto"/>
              </w:rPr>
              <w:t>compute net loss per share</w:t>
            </w: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20" w:type="dxa"/>
            <w:vAlign w:val="bottom"/>
            <w:shd w:val="clear" w:color="auto" w:fill="CCEEFF"/>
          </w:tcPr>
          <w:p>
            <w:pPr>
              <w:ind w:left="180"/>
              <w:spacing w:after="0" w:line="111" w:lineRule="exact"/>
              <w:rPr>
                <w:sz w:val="20"/>
                <w:szCs w:val="20"/>
                <w:color w:val="auto"/>
              </w:rPr>
            </w:pPr>
            <w:r>
              <w:rPr>
                <w:rFonts w:ascii="Arial" w:cs="Arial" w:eastAsia="Arial" w:hAnsi="Arial"/>
                <w:sz w:val="11"/>
                <w:szCs w:val="11"/>
                <w:color w:val="auto"/>
              </w:rPr>
              <w:t>attributable to common</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194,906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194,906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197,819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197,819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198,265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198,265</w:t>
            </w: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stockholders—basic and diluted:</w:t>
            </w: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right="140" w:firstLine="632"/>
        <w:spacing w:after="0" w:line="270" w:lineRule="auto"/>
        <w:rPr>
          <w:sz w:val="20"/>
          <w:szCs w:val="20"/>
          <w:color w:val="auto"/>
        </w:rPr>
      </w:pPr>
      <w:r>
        <w:rPr>
          <w:rFonts w:ascii="Arial" w:cs="Arial" w:eastAsia="Arial" w:hAnsi="Arial"/>
          <w:sz w:val="16"/>
          <w:szCs w:val="16"/>
          <w:color w:val="auto"/>
        </w:rPr>
        <w:t>The table below sets forth the unaudited condensed consolidated statements of operations, including the balances as reported, adjustments and the balances as restated (in thousands,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Nine Months Ended</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Six Months Ended</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September 30, 2022</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June 30, 2022</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As Restated</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Adjustments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As Restated</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472,492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473,353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318,076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318,076</w:t>
            </w:r>
          </w:p>
        </w:tc>
        <w:tc>
          <w:tcPr>
            <w:tcW w:w="0" w:type="dxa"/>
            <w:vAlign w:val="bottom"/>
          </w:tcPr>
          <w:p>
            <w:pPr>
              <w:spacing w:after="0"/>
              <w:rPr>
                <w:sz w:val="1"/>
                <w:szCs w:val="1"/>
                <w:color w:val="auto"/>
              </w:rPr>
            </w:pPr>
          </w:p>
        </w:tc>
      </w:tr>
      <w:tr>
        <w:trPr>
          <w:trHeight w:val="16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163,383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163,647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113,333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113,333</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Gross profit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309,109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309,706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204,743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204,743</w:t>
            </w:r>
          </w:p>
        </w:tc>
        <w:tc>
          <w:tcPr>
            <w:tcW w:w="0" w:type="dxa"/>
            <w:vAlign w:val="bottom"/>
          </w:tcPr>
          <w:p>
            <w:pPr>
              <w:spacing w:after="0"/>
              <w:rPr>
                <w:sz w:val="1"/>
                <w:szCs w:val="1"/>
                <w:color w:val="auto"/>
              </w:rPr>
            </w:pPr>
          </w:p>
        </w:tc>
      </w:tr>
      <w:tr>
        <w:trPr>
          <w:trHeight w:val="163"/>
        </w:trPr>
        <w:tc>
          <w:tcPr>
            <w:tcW w:w="37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Sales and marketing</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215,964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215,964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149,819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148,595</w:t>
            </w:r>
          </w:p>
        </w:tc>
        <w:tc>
          <w:tcPr>
            <w:tcW w:w="0" w:type="dxa"/>
            <w:vAlign w:val="bottom"/>
          </w:tcPr>
          <w:p>
            <w:pPr>
              <w:spacing w:after="0"/>
              <w:rPr>
                <w:sz w:val="1"/>
                <w:szCs w:val="1"/>
                <w:color w:val="auto"/>
              </w:rPr>
            </w:pPr>
          </w:p>
        </w:tc>
      </w:tr>
      <w:tr>
        <w:trPr>
          <w:trHeight w:val="163"/>
        </w:trPr>
        <w:tc>
          <w:tcPr>
            <w:tcW w:w="3720" w:type="dxa"/>
            <w:vAlign w:val="bottom"/>
          </w:tcPr>
          <w:p>
            <w:pPr>
              <w:ind w:left="340"/>
              <w:spacing w:after="0"/>
              <w:rPr>
                <w:sz w:val="20"/>
                <w:szCs w:val="20"/>
                <w:color w:val="auto"/>
              </w:rPr>
            </w:pPr>
            <w:r>
              <w:rPr>
                <w:rFonts w:ascii="Arial" w:cs="Arial" w:eastAsia="Arial" w:hAnsi="Arial"/>
                <w:sz w:val="11"/>
                <w:szCs w:val="11"/>
                <w:color w:val="auto"/>
              </w:rPr>
              <w:t>Technology and development</w:t>
            </w:r>
          </w:p>
        </w:tc>
        <w:tc>
          <w:tcPr>
            <w:tcW w:w="16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51,613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51,613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34,156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34,156</w:t>
            </w:r>
          </w:p>
        </w:tc>
        <w:tc>
          <w:tcPr>
            <w:tcW w:w="0" w:type="dxa"/>
            <w:vAlign w:val="bottom"/>
          </w:tcPr>
          <w:p>
            <w:pPr>
              <w:spacing w:after="0"/>
              <w:rPr>
                <w:sz w:val="1"/>
                <w:szCs w:val="1"/>
                <w:color w:val="auto"/>
              </w:rPr>
            </w:pPr>
          </w:p>
        </w:tc>
      </w:tr>
      <w:tr>
        <w:trPr>
          <w:trHeight w:val="179"/>
        </w:trPr>
        <w:tc>
          <w:tcPr>
            <w:tcW w:w="37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General and administrative</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88,560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88,560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58,457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58,457</w:t>
            </w:r>
          </w:p>
        </w:tc>
        <w:tc>
          <w:tcPr>
            <w:tcW w:w="0" w:type="dxa"/>
            <w:vAlign w:val="bottom"/>
          </w:tcPr>
          <w:p>
            <w:pPr>
              <w:spacing w:after="0"/>
              <w:rPr>
                <w:sz w:val="1"/>
                <w:szCs w:val="1"/>
                <w:color w:val="auto"/>
              </w:rPr>
            </w:pPr>
          </w:p>
        </w:tc>
      </w:tr>
      <w:tr>
        <w:trPr>
          <w:trHeight w:val="164"/>
        </w:trPr>
        <w:tc>
          <w:tcPr>
            <w:tcW w:w="372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Impairment of long-lived and other assets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operating expenses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356,374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356,374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242,432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241,208</w:t>
            </w:r>
          </w:p>
        </w:tc>
        <w:tc>
          <w:tcPr>
            <w:tcW w:w="0" w:type="dxa"/>
            <w:vAlign w:val="bottom"/>
          </w:tcPr>
          <w:p>
            <w:pPr>
              <w:spacing w:after="0"/>
              <w:rPr>
                <w:sz w:val="1"/>
                <w:szCs w:val="1"/>
                <w:color w:val="auto"/>
              </w:rPr>
            </w:pPr>
          </w:p>
        </w:tc>
      </w:tr>
      <w:tr>
        <w:trPr>
          <w:trHeight w:val="156"/>
        </w:trPr>
        <w:tc>
          <w:tcPr>
            <w:tcW w:w="372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(47,265)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597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(46,668)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(37,689)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1,224</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(36,465)</w:t>
            </w:r>
          </w:p>
        </w:tc>
        <w:tc>
          <w:tcPr>
            <w:tcW w:w="0" w:type="dxa"/>
            <w:vAlign w:val="bottom"/>
          </w:tcPr>
          <w:p>
            <w:pPr>
              <w:spacing w:after="0"/>
              <w:rPr>
                <w:sz w:val="1"/>
                <w:szCs w:val="1"/>
                <w:color w:val="auto"/>
              </w:rPr>
            </w:pPr>
          </w:p>
        </w:tc>
      </w:tr>
      <w:tr>
        <w:trPr>
          <w:trHeight w:val="179"/>
        </w:trPr>
        <w:tc>
          <w:tcPr>
            <w:tcW w:w="37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Interest income (expense), net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4"/>
        </w:trPr>
        <w:tc>
          <w:tcPr>
            <w:tcW w:w="3720" w:type="dxa"/>
            <w:vAlign w:val="bottom"/>
          </w:tcPr>
          <w:p>
            <w:pPr>
              <w:ind w:left="340"/>
              <w:spacing w:after="0"/>
              <w:rPr>
                <w:sz w:val="20"/>
                <w:szCs w:val="20"/>
                <w:color w:val="auto"/>
              </w:rPr>
            </w:pPr>
            <w:r>
              <w:rPr>
                <w:rFonts w:ascii="Arial" w:cs="Arial" w:eastAsia="Arial" w:hAnsi="Arial"/>
                <w:sz w:val="11"/>
                <w:szCs w:val="11"/>
                <w:color w:val="auto"/>
              </w:rPr>
              <w:t>Other expense, net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(3,566)</w:t>
            </w:r>
          </w:p>
        </w:tc>
        <w:tc>
          <w:tcPr>
            <w:tcW w:w="0" w:type="dxa"/>
            <w:vAlign w:val="bottom"/>
          </w:tcPr>
          <w:p>
            <w:pPr>
              <w:spacing w:after="0"/>
              <w:rPr>
                <w:sz w:val="1"/>
                <w:szCs w:val="1"/>
                <w:color w:val="auto"/>
              </w:rPr>
            </w:pPr>
          </w:p>
        </w:tc>
      </w:tr>
      <w:tr>
        <w:trPr>
          <w:trHeight w:val="171"/>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before income taxes</w:t>
            </w: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(52,856)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597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(52,259)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(41,279)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1,224</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(40,055)</w:t>
            </w:r>
          </w:p>
        </w:tc>
        <w:tc>
          <w:tcPr>
            <w:tcW w:w="0" w:type="dxa"/>
            <w:vAlign w:val="bottom"/>
          </w:tcPr>
          <w:p>
            <w:pPr>
              <w:spacing w:after="0"/>
              <w:rPr>
                <w:sz w:val="1"/>
                <w:szCs w:val="1"/>
                <w:color w:val="auto"/>
              </w:rPr>
            </w:pPr>
          </w:p>
        </w:tc>
      </w:tr>
      <w:tr>
        <w:trPr>
          <w:trHeight w:val="164"/>
        </w:trPr>
        <w:tc>
          <w:tcPr>
            <w:tcW w:w="372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Provision for (benefit from) income taxes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2,509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(4,068)</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(1,559)</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(53,896)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3,419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(50,477)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(43,788)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5,292</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(38,496)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13" w:lineRule="exact"/>
              <w:rPr>
                <w:sz w:val="20"/>
                <w:szCs w:val="20"/>
                <w:color w:val="auto"/>
              </w:rPr>
            </w:pPr>
            <w:r>
              <w:rPr>
                <w:rFonts w:ascii="Arial" w:cs="Arial" w:eastAsia="Arial" w:hAnsi="Arial"/>
                <w:sz w:val="12"/>
                <w:szCs w:val="12"/>
                <w:color w:val="auto"/>
              </w:rPr>
              <w:t>Net loss per share attributable to common stockholders—basic and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3720" w:type="dxa"/>
            <w:vAlign w:val="bottom"/>
            <w:vMerge w:val="continue"/>
          </w:tcPr>
          <w:p>
            <w:pPr>
              <w:spacing w:after="0"/>
              <w:rPr>
                <w:sz w:val="6"/>
                <w:szCs w:val="6"/>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6"/>
                <w:szCs w:val="6"/>
                <w:color w:val="auto"/>
              </w:rPr>
            </w:pP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(0.26)</w:t>
            </w:r>
          </w:p>
        </w:tc>
        <w:tc>
          <w:tcPr>
            <w:tcW w:w="100" w:type="dxa"/>
            <w:vAlign w:val="bottom"/>
          </w:tcPr>
          <w:p>
            <w:pPr>
              <w:spacing w:after="0"/>
              <w:rPr>
                <w:sz w:val="6"/>
                <w:szCs w:val="6"/>
                <w:color w:val="auto"/>
              </w:rPr>
            </w:pP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(0.22)</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(0.19)</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rPr>
                <w:sz w:val="20"/>
                <w:szCs w:val="20"/>
                <w:color w:val="auto"/>
              </w:rPr>
            </w:pPr>
            <w:r>
              <w:rPr>
                <w:rFonts w:ascii="Arial" w:cs="Arial" w:eastAsia="Arial" w:hAnsi="Arial"/>
                <w:sz w:val="12"/>
                <w:szCs w:val="12"/>
                <w:color w:val="auto"/>
              </w:rPr>
              <w:t>diluted:</w:t>
            </w: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720" w:type="dxa"/>
            <w:vAlign w:val="bottom"/>
            <w:shd w:val="clear" w:color="auto" w:fill="CCEEFF"/>
          </w:tcPr>
          <w:p>
            <w:pPr>
              <w:ind w:left="20"/>
              <w:spacing w:after="0" w:line="93" w:lineRule="exact"/>
              <w:rPr>
                <w:sz w:val="20"/>
                <w:szCs w:val="20"/>
                <w:color w:val="auto"/>
              </w:rPr>
            </w:pPr>
            <w:r>
              <w:rPr>
                <w:rFonts w:ascii="Arial" w:cs="Arial" w:eastAsia="Arial" w:hAnsi="Arial"/>
                <w:sz w:val="10"/>
                <w:szCs w:val="10"/>
                <w:color w:val="auto"/>
              </w:rPr>
              <w:t>Weighted-average shares used to compute net loss per share</w:t>
            </w:r>
          </w:p>
        </w:tc>
        <w:tc>
          <w:tcPr>
            <w:tcW w:w="16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196,984</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196,984</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198,040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198,040</w:t>
            </w: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attributable to common stockholders—basic and diluted:</w:t>
            </w: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102" w:name="page103"/>
    <w:bookmarkEnd w:id="102"/>
    <w:p>
      <w:pPr>
        <w:ind w:right="840" w:firstLine="395"/>
        <w:spacing w:after="0" w:line="270" w:lineRule="auto"/>
        <w:rPr>
          <w:sz w:val="20"/>
          <w:szCs w:val="20"/>
          <w:color w:val="auto"/>
        </w:rPr>
      </w:pPr>
      <w:r>
        <w:rPr>
          <w:rFonts w:ascii="Arial" w:cs="Arial" w:eastAsia="Arial" w:hAnsi="Arial"/>
          <w:sz w:val="16"/>
          <w:szCs w:val="16"/>
          <w:color w:val="auto"/>
        </w:rPr>
        <w:t>The tables below sets forth the unaudited condensed consolidated statements of comprehensive (loss) income, including balances as reported, adjustments and balances as restated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5"/>
              </w:rPr>
              <w:t>Three Months Ended</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51"/>
        </w:trPr>
        <w:tc>
          <w:tcPr>
            <w:tcW w:w="2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rPr>
              <w:t>September 30, 2022</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4"/>
              </w:rPr>
              <w:t>June 30, 2022</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b w:val="1"/>
                <w:bCs w:val="1"/>
                <w:color w:val="auto"/>
                <w:w w:val="94"/>
              </w:rPr>
              <w:t>March 31, 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51"/>
        </w:trPr>
        <w:tc>
          <w:tcPr>
            <w:tcW w:w="20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w w:val="97"/>
              </w:rPr>
              <w:t>As Reported</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1"/>
                <w:szCs w:val="11"/>
                <w:b w:val="1"/>
                <w:bCs w:val="1"/>
                <w:color w:val="auto"/>
                <w:w w:val="98"/>
              </w:rPr>
              <w:t>Adjustments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As Restated</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As Reported</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w w:val="95"/>
              </w:rPr>
              <w:t>Adjustments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1"/>
                <w:szCs w:val="11"/>
                <w:b w:val="1"/>
                <w:bCs w:val="1"/>
                <w:color w:val="auto"/>
                <w:w w:val="97"/>
              </w:rPr>
              <w:t>As Restated</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1"/>
                <w:szCs w:val="11"/>
                <w:b w:val="1"/>
                <w:bCs w:val="1"/>
                <w:color w:val="auto"/>
              </w:rPr>
              <w:t>Adjustments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As Restated</w:t>
            </w:r>
          </w:p>
        </w:tc>
      </w:tr>
      <w:tr>
        <w:trPr>
          <w:trHeight w:val="171"/>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(11,981)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(13,179)</w:t>
            </w:r>
          </w:p>
        </w:tc>
        <w:tc>
          <w:tcPr>
            <w:tcW w:w="2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(12,743)</w:t>
            </w:r>
          </w:p>
        </w:tc>
        <w:tc>
          <w:tcPr>
            <w:tcW w:w="460" w:type="dxa"/>
            <w:vAlign w:val="bottom"/>
            <w:gridSpan w:val="2"/>
            <w:shd w:val="clear" w:color="auto" w:fill="CCEEFF"/>
          </w:tcPr>
          <w:p>
            <w:pPr>
              <w:jc w:val="right"/>
              <w:ind w:right="22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(25,753)</w:t>
            </w:r>
          </w:p>
        </w:tc>
      </w:tr>
      <w:tr>
        <w:trPr>
          <w:trHeight w:val="164"/>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comprehensive income</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2,644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color w:val="auto"/>
              </w:rPr>
              <w:t>2,644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2,209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2,209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1,440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1,440</w:t>
            </w:r>
          </w:p>
        </w:tc>
      </w:tr>
      <w:tr>
        <w:trPr>
          <w:trHeight w:val="19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(7,464)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(1,873)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(9,337)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(10,970)</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(10,534)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(29,169)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(24,313)</w:t>
            </w:r>
          </w:p>
        </w:tc>
      </w:tr>
      <w:tr>
        <w:trPr>
          <w:trHeight w:val="20"/>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691"/>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2"/>
          </w:tcPr>
          <w:p>
            <w:pPr>
              <w:ind w:left="200"/>
              <w:spacing w:after="0"/>
              <w:rPr>
                <w:sz w:val="20"/>
                <w:szCs w:val="20"/>
                <w:color w:val="auto"/>
              </w:rPr>
            </w:pPr>
            <w:r>
              <w:rPr>
                <w:rFonts w:ascii="Arial" w:cs="Arial" w:eastAsia="Arial" w:hAnsi="Arial"/>
                <w:sz w:val="11"/>
                <w:szCs w:val="11"/>
                <w:b w:val="1"/>
                <w:bCs w:val="1"/>
                <w:color w:val="auto"/>
              </w:rPr>
              <w:t>Nine Months Ended September 30, 2022</w:t>
            </w: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ind w:left="160"/>
              <w:spacing w:after="0"/>
              <w:rPr>
                <w:sz w:val="20"/>
                <w:szCs w:val="20"/>
                <w:color w:val="auto"/>
              </w:rPr>
            </w:pPr>
            <w:r>
              <w:rPr>
                <w:rFonts w:ascii="Arial" w:cs="Arial" w:eastAsia="Arial" w:hAnsi="Arial"/>
                <w:sz w:val="11"/>
                <w:szCs w:val="11"/>
                <w:b w:val="1"/>
                <w:bCs w:val="1"/>
                <w:color w:val="auto"/>
              </w:rPr>
              <w:t>Six Months Ended June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2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Adjustments</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As Restated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1"/>
                <w:szCs w:val="11"/>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1"/>
                <w:szCs w:val="11"/>
                <w:b w:val="1"/>
                <w:bCs w:val="1"/>
                <w:color w:val="auto"/>
              </w:rPr>
              <w:t>Adjustments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1"/>
                <w:szCs w:val="11"/>
                <w:b w:val="1"/>
                <w:bCs w:val="1"/>
                <w:color w:val="auto"/>
              </w:rPr>
              <w:t>As Restated</w:t>
            </w:r>
          </w:p>
        </w:tc>
        <w:tc>
          <w:tcPr>
            <w:tcW w:w="120" w:type="dxa"/>
            <w:vAlign w:val="bottom"/>
          </w:tcPr>
          <w:p>
            <w:pPr>
              <w:spacing w:after="0"/>
              <w:rPr>
                <w:sz w:val="14"/>
                <w:szCs w:val="14"/>
                <w:color w:val="auto"/>
              </w:rPr>
            </w:pPr>
          </w:p>
        </w:tc>
      </w:tr>
      <w:tr>
        <w:trPr>
          <w:trHeight w:val="170"/>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3,419</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(50,477)</w:t>
            </w:r>
          </w:p>
        </w:tc>
        <w:tc>
          <w:tcPr>
            <w:tcW w:w="800" w:type="dxa"/>
            <w:vAlign w:val="bottom"/>
            <w:gridSpan w:val="2"/>
            <w:shd w:val="clear" w:color="auto" w:fill="CCEEFF"/>
          </w:tcPr>
          <w:p>
            <w:pPr>
              <w:jc w:val="right"/>
              <w:ind w:right="563"/>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(43,788)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5,292</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(38,496)</w:t>
            </w:r>
          </w:p>
        </w:tc>
        <w:tc>
          <w:tcPr>
            <w:tcW w:w="120" w:type="dxa"/>
            <w:vAlign w:val="bottom"/>
          </w:tcPr>
          <w:p>
            <w:pPr>
              <w:spacing w:after="0"/>
              <w:rPr>
                <w:sz w:val="14"/>
                <w:szCs w:val="14"/>
                <w:color w:val="auto"/>
              </w:rPr>
            </w:pPr>
          </w:p>
        </w:tc>
      </w:tr>
      <w:tr>
        <w:trPr>
          <w:trHeight w:val="164"/>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comprehensive income</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6,293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color w:val="auto"/>
              </w:rPr>
              <w:t>6,293</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1"/>
                <w:szCs w:val="11"/>
                <w:color w:val="auto"/>
              </w:rPr>
              <w:t>3,649</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3,649</w:t>
            </w:r>
          </w:p>
        </w:tc>
        <w:tc>
          <w:tcPr>
            <w:tcW w:w="120" w:type="dxa"/>
            <w:vAlign w:val="bottom"/>
          </w:tcPr>
          <w:p>
            <w:pPr>
              <w:spacing w:after="0"/>
              <w:rPr>
                <w:sz w:val="14"/>
                <w:szCs w:val="14"/>
                <w:color w:val="auto"/>
              </w:rPr>
            </w:pPr>
          </w:p>
        </w:tc>
      </w:tr>
      <w:tr>
        <w:trPr>
          <w:trHeight w:val="191"/>
        </w:trPr>
        <w:tc>
          <w:tcPr>
            <w:tcW w:w="2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loss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3,419</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(44,184)</w:t>
            </w:r>
          </w:p>
        </w:tc>
        <w:tc>
          <w:tcPr>
            <w:tcW w:w="800" w:type="dxa"/>
            <w:vAlign w:val="bottom"/>
            <w:gridSpan w:val="2"/>
            <w:shd w:val="clear" w:color="auto" w:fill="CCEEFF"/>
          </w:tcPr>
          <w:p>
            <w:pPr>
              <w:jc w:val="right"/>
              <w:ind w:right="563"/>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(40,139)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5,292</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(34,847)</w:t>
            </w:r>
          </w:p>
        </w:tc>
        <w:tc>
          <w:tcPr>
            <w:tcW w:w="120" w:type="dxa"/>
            <w:vAlign w:val="bottom"/>
          </w:tcPr>
          <w:p>
            <w:pPr>
              <w:spacing w:after="0"/>
              <w:rPr>
                <w:sz w:val="16"/>
                <w:szCs w:val="16"/>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0" w:lineRule="exact"/>
        <w:rPr>
          <w:sz w:val="20"/>
          <w:szCs w:val="20"/>
          <w:color w:val="auto"/>
        </w:rPr>
      </w:pPr>
    </w:p>
    <w:p>
      <w:pPr>
        <w:ind w:right="400" w:firstLine="395"/>
        <w:spacing w:after="0" w:line="270" w:lineRule="auto"/>
        <w:rPr>
          <w:sz w:val="20"/>
          <w:szCs w:val="20"/>
          <w:color w:val="auto"/>
        </w:rPr>
      </w:pPr>
      <w:r>
        <w:rPr>
          <w:rFonts w:ascii="Arial" w:cs="Arial" w:eastAsia="Arial" w:hAnsi="Arial"/>
          <w:sz w:val="16"/>
          <w:szCs w:val="16"/>
          <w:color w:val="auto"/>
        </w:rPr>
        <w:t>The table below sets forth the unaudited condensed consolidated statements of stockholders’ equity, including balances as reported, adjustments and balances as restated amounts (in thousands):</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860"/>
        <w:spacing w:after="0" w:line="362" w:lineRule="auto"/>
        <w:rPr>
          <w:sz w:val="20"/>
          <w:szCs w:val="20"/>
          <w:color w:val="auto"/>
        </w:rPr>
      </w:pPr>
      <w:r>
        <w:rPr>
          <w:rFonts w:ascii="Arial" w:cs="Arial" w:eastAsia="Arial" w:hAnsi="Arial"/>
          <w:sz w:val="11"/>
          <w:szCs w:val="11"/>
          <w:b w:val="1"/>
          <w:bCs w:val="1"/>
          <w:color w:val="auto"/>
        </w:rPr>
        <w:t xml:space="preserve">Balance at March 31, 2022 as reported </w:t>
      </w:r>
      <w:r>
        <w:rPr>
          <w:rFonts w:ascii="Arial" w:cs="Arial" w:eastAsia="Arial" w:hAnsi="Arial"/>
          <w:sz w:val="11"/>
          <w:szCs w:val="11"/>
          <w:color w:val="auto"/>
        </w:rPr>
        <w:t>Cumulative adjustments to net loss</w:t>
      </w:r>
    </w:p>
    <w:p>
      <w:pPr>
        <w:ind w:left="20"/>
        <w:spacing w:after="0"/>
        <w:rPr>
          <w:sz w:val="20"/>
          <w:szCs w:val="20"/>
          <w:color w:val="auto"/>
        </w:rPr>
      </w:pPr>
      <w:r>
        <w:rPr>
          <w:rFonts w:ascii="Arial" w:cs="Arial" w:eastAsia="Arial" w:hAnsi="Arial"/>
          <w:sz w:val="11"/>
          <w:szCs w:val="11"/>
          <w:b w:val="1"/>
          <w:bCs w:val="1"/>
          <w:color w:val="auto"/>
        </w:rPr>
        <w:t>Balance at March 31, 2022 as restated</w:t>
      </w:r>
    </w:p>
    <w:p>
      <w:pPr>
        <w:spacing w:after="0" w:line="295" w:lineRule="exact"/>
        <w:rPr>
          <w:sz w:val="20"/>
          <w:szCs w:val="20"/>
          <w:color w:val="auto"/>
        </w:rPr>
      </w:pPr>
    </w:p>
    <w:p>
      <w:pPr>
        <w:ind w:left="20" w:right="920"/>
        <w:spacing w:after="0" w:line="362" w:lineRule="auto"/>
        <w:rPr>
          <w:sz w:val="20"/>
          <w:szCs w:val="20"/>
          <w:color w:val="auto"/>
        </w:rPr>
      </w:pPr>
      <w:r>
        <w:rPr>
          <w:rFonts w:ascii="Arial" w:cs="Arial" w:eastAsia="Arial" w:hAnsi="Arial"/>
          <w:sz w:val="11"/>
          <w:szCs w:val="11"/>
          <w:b w:val="1"/>
          <w:bCs w:val="1"/>
          <w:color w:val="auto"/>
        </w:rPr>
        <w:t xml:space="preserve">Balance at June 30, 2022 as reported </w:t>
      </w:r>
      <w:r>
        <w:rPr>
          <w:rFonts w:ascii="Arial" w:cs="Arial" w:eastAsia="Arial" w:hAnsi="Arial"/>
          <w:sz w:val="11"/>
          <w:szCs w:val="11"/>
          <w:color w:val="auto"/>
        </w:rPr>
        <w:t>Cumulative adjustments to net loss</w:t>
      </w:r>
    </w:p>
    <w:p>
      <w:pPr>
        <w:ind w:left="20"/>
        <w:spacing w:after="0"/>
        <w:rPr>
          <w:sz w:val="20"/>
          <w:szCs w:val="20"/>
          <w:color w:val="auto"/>
        </w:rPr>
      </w:pPr>
      <w:r>
        <w:rPr>
          <w:rFonts w:ascii="Arial" w:cs="Arial" w:eastAsia="Arial" w:hAnsi="Arial"/>
          <w:sz w:val="11"/>
          <w:szCs w:val="11"/>
          <w:b w:val="1"/>
          <w:bCs w:val="1"/>
          <w:color w:val="auto"/>
        </w:rPr>
        <w:t>Balance at June 30, 2022 as restated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30"/>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1"/>
                <w:szCs w:val="11"/>
                <w:color w:val="auto"/>
              </w:rPr>
            </w:pPr>
          </w:p>
        </w:tc>
        <w:tc>
          <w:tcPr>
            <w:tcW w:w="1040" w:type="dxa"/>
            <w:vAlign w:val="bottom"/>
          </w:tcPr>
          <w:p>
            <w:pPr>
              <w:jc w:val="center"/>
              <w:ind w:right="83"/>
              <w:spacing w:after="0"/>
              <w:rPr>
                <w:sz w:val="20"/>
                <w:szCs w:val="20"/>
                <w:color w:val="auto"/>
              </w:rPr>
            </w:pPr>
            <w:r>
              <w:rPr>
                <w:rFonts w:ascii="Arial" w:cs="Arial" w:eastAsia="Arial" w:hAnsi="Arial"/>
                <w:sz w:val="11"/>
                <w:szCs w:val="11"/>
                <w:b w:val="1"/>
                <w:bCs w:val="1"/>
                <w:color w:val="auto"/>
                <w:w w:val="98"/>
              </w:rPr>
              <w:t>Total</w:t>
            </w:r>
          </w:p>
        </w:tc>
      </w:tr>
      <w:tr>
        <w:trPr>
          <w:trHeight w:val="132"/>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11"/>
                <w:szCs w:val="11"/>
                <w:color w:val="auto"/>
              </w:rPr>
            </w:pPr>
          </w:p>
        </w:tc>
        <w:tc>
          <w:tcPr>
            <w:tcW w:w="1040" w:type="dxa"/>
            <w:vAlign w:val="bottom"/>
          </w:tcPr>
          <w:p>
            <w:pPr>
              <w:jc w:val="center"/>
              <w:ind w:right="103"/>
              <w:spacing w:after="0"/>
              <w:rPr>
                <w:sz w:val="20"/>
                <w:szCs w:val="20"/>
                <w:color w:val="auto"/>
              </w:rPr>
            </w:pPr>
            <w:r>
              <w:rPr>
                <w:rFonts w:ascii="Arial" w:cs="Arial" w:eastAsia="Arial" w:hAnsi="Arial"/>
                <w:sz w:val="11"/>
                <w:szCs w:val="11"/>
                <w:b w:val="1"/>
                <w:bCs w:val="1"/>
                <w:color w:val="auto"/>
              </w:rPr>
              <w:t>Stockholders’</w:t>
            </w:r>
          </w:p>
        </w:tc>
      </w:tr>
      <w:tr>
        <w:trPr>
          <w:trHeight w:val="174"/>
        </w:trPr>
        <w:tc>
          <w:tcPr>
            <w:tcW w:w="12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 income</w:t>
            </w:r>
          </w:p>
        </w:tc>
        <w:tc>
          <w:tcPr>
            <w:tcW w:w="140" w:type="dxa"/>
            <w:vAlign w:val="bottom"/>
          </w:tcPr>
          <w:p>
            <w:pPr>
              <w:spacing w:after="0"/>
              <w:rPr>
                <w:sz w:val="15"/>
                <w:szCs w:val="15"/>
                <w:color w:val="auto"/>
              </w:rPr>
            </w:pPr>
          </w:p>
        </w:tc>
        <w:tc>
          <w:tcPr>
            <w:tcW w:w="1040" w:type="dxa"/>
            <w:vAlign w:val="bottom"/>
          </w:tcPr>
          <w:p>
            <w:pPr>
              <w:jc w:val="center"/>
              <w:ind w:right="83"/>
              <w:spacing w:after="0"/>
              <w:rPr>
                <w:sz w:val="20"/>
                <w:szCs w:val="20"/>
                <w:color w:val="auto"/>
              </w:rPr>
            </w:pPr>
            <w:r>
              <w:rPr>
                <w:rFonts w:ascii="Arial" w:cs="Arial" w:eastAsia="Arial" w:hAnsi="Arial"/>
                <w:sz w:val="11"/>
                <w:szCs w:val="11"/>
                <w:b w:val="1"/>
                <w:bCs w:val="1"/>
                <w:color w:val="auto"/>
              </w:rPr>
              <w:t>Equity</w:t>
            </w:r>
          </w:p>
        </w:tc>
      </w:tr>
      <w:tr>
        <w:trPr>
          <w:trHeight w:val="153"/>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198,599</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723"/>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969,731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(779,723)</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(355)</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189,851</w:t>
            </w:r>
          </w:p>
        </w:tc>
      </w:tr>
      <w:tr>
        <w:trPr>
          <w:trHeight w:val="181"/>
        </w:trPr>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4,856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4,856</w:t>
            </w:r>
          </w:p>
        </w:tc>
      </w:tr>
      <w:tr>
        <w:trPr>
          <w:trHeight w:val="164"/>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198,599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969,731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(774,867)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194,707</w:t>
            </w:r>
          </w:p>
        </w:tc>
      </w:tr>
      <w:tr>
        <w:trPr>
          <w:trHeight w:val="26"/>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71"/>
        </w:trPr>
        <w:tc>
          <w:tcPr>
            <w:tcW w:w="1140" w:type="dxa"/>
            <w:vAlign w:val="bottom"/>
          </w:tcPr>
          <w:p>
            <w:pPr>
              <w:jc w:val="right"/>
              <w:spacing w:after="0"/>
              <w:rPr>
                <w:sz w:val="20"/>
                <w:szCs w:val="20"/>
                <w:color w:val="auto"/>
              </w:rPr>
            </w:pPr>
            <w:r>
              <w:rPr>
                <w:rFonts w:ascii="Arial" w:cs="Arial" w:eastAsia="Arial" w:hAnsi="Arial"/>
                <w:sz w:val="11"/>
                <w:szCs w:val="11"/>
                <w:color w:val="auto"/>
              </w:rPr>
              <w:t>196,079</w:t>
            </w:r>
          </w:p>
        </w:tc>
        <w:tc>
          <w:tcPr>
            <w:tcW w:w="100" w:type="dxa"/>
            <w:vAlign w:val="bottom"/>
          </w:tcPr>
          <w:p>
            <w:pPr>
              <w:spacing w:after="0"/>
              <w:rPr>
                <w:sz w:val="24"/>
                <w:szCs w:val="24"/>
                <w:color w:val="auto"/>
              </w:rPr>
            </w:pP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ind w:right="3"/>
              <w:spacing w:after="0"/>
              <w:rPr>
                <w:sz w:val="20"/>
                <w:szCs w:val="20"/>
                <w:color w:val="auto"/>
              </w:rPr>
            </w:pPr>
            <w:r>
              <w:rPr>
                <w:rFonts w:ascii="Arial" w:cs="Arial" w:eastAsia="Arial" w:hAnsi="Arial"/>
                <w:sz w:val="11"/>
                <w:szCs w:val="11"/>
                <w:color w:val="auto"/>
              </w:rPr>
              <w:t>196</w:t>
            </w:r>
          </w:p>
        </w:tc>
        <w:tc>
          <w:tcPr>
            <w:tcW w:w="100" w:type="dxa"/>
            <w:vAlign w:val="bottom"/>
          </w:tcPr>
          <w:p>
            <w:pPr>
              <w:spacing w:after="0"/>
              <w:rPr>
                <w:sz w:val="24"/>
                <w:szCs w:val="24"/>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994,558</w:t>
            </w:r>
          </w:p>
        </w:tc>
        <w:tc>
          <w:tcPr>
            <w:tcW w:w="100" w:type="dxa"/>
            <w:vAlign w:val="bottom"/>
          </w:tcPr>
          <w:p>
            <w:pPr>
              <w:spacing w:after="0"/>
              <w:rPr>
                <w:sz w:val="24"/>
                <w:szCs w:val="2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(830,952)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1,854</w:t>
            </w:r>
          </w:p>
        </w:tc>
        <w:tc>
          <w:tcPr>
            <w:tcW w:w="100" w:type="dxa"/>
            <w:vAlign w:val="bottom"/>
          </w:tcPr>
          <w:p>
            <w:pPr>
              <w:spacing w:after="0"/>
              <w:rPr>
                <w:sz w:val="24"/>
                <w:szCs w:val="2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165,656</w:t>
            </w:r>
          </w:p>
        </w:tc>
      </w:tr>
      <w:tr>
        <w:trPr>
          <w:trHeight w:val="181"/>
        </w:trPr>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5,292</w:t>
            </w:r>
          </w:p>
        </w:tc>
      </w:tr>
      <w:tr>
        <w:trPr>
          <w:trHeight w:val="164"/>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196,079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994,558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(825,660)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170,948</w:t>
            </w:r>
          </w:p>
        </w:tc>
      </w:tr>
      <w:tr>
        <w:trPr>
          <w:trHeight w:val="26"/>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-885190</wp:posOffset>
            </wp:positionV>
            <wp:extent cx="7052310" cy="1168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52310" cy="11684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-659765</wp:posOffset>
            </wp:positionV>
            <wp:extent cx="7052310" cy="133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52310" cy="13398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-367030</wp:posOffset>
            </wp:positionV>
            <wp:extent cx="7052310" cy="1085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52310" cy="10858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-149860</wp:posOffset>
            </wp:positionV>
            <wp:extent cx="7052310" cy="133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52310" cy="133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580"/>
          </w:cols>
          <w:pgMar w:left="320" w:top="1022" w:right="3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w:t>
            </w:r>
          </w:p>
        </w:tc>
        <w:tc>
          <w:tcPr>
            <w:tcW w:w="2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2022 as reported</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193,848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1,015,068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(865,933)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153,826</w:t>
            </w:r>
          </w:p>
        </w:tc>
      </w:tr>
      <w:tr>
        <w:trPr>
          <w:trHeight w:val="164"/>
        </w:trPr>
        <w:tc>
          <w:tcPr>
            <w:tcW w:w="3660" w:type="dxa"/>
            <w:vAlign w:val="bottom"/>
            <w:gridSpan w:val="2"/>
          </w:tcPr>
          <w:p>
            <w:pPr>
              <w:ind w:left="20"/>
              <w:spacing w:after="0"/>
              <w:rPr>
                <w:sz w:val="20"/>
                <w:szCs w:val="20"/>
                <w:color w:val="auto"/>
              </w:rPr>
            </w:pPr>
            <w:r>
              <w:rPr>
                <w:rFonts w:ascii="Arial" w:cs="Arial" w:eastAsia="Arial" w:hAnsi="Arial"/>
                <w:sz w:val="11"/>
                <w:szCs w:val="11"/>
                <w:color w:val="auto"/>
              </w:rPr>
              <w:t>Cumulative adjustments to net loss</w:t>
            </w: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3,419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3,419</w:t>
            </w:r>
          </w:p>
        </w:tc>
      </w:tr>
      <w:tr>
        <w:trPr>
          <w:trHeight w:val="171"/>
        </w:trPr>
        <w:tc>
          <w:tcPr>
            <w:tcW w:w="142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w:t>
            </w:r>
          </w:p>
        </w:tc>
        <w:tc>
          <w:tcPr>
            <w:tcW w:w="2240" w:type="dxa"/>
            <w:vAlign w:val="bottom"/>
          </w:tcPr>
          <w:p>
            <w:pPr>
              <w:ind w:left="20"/>
              <w:spacing w:after="0"/>
              <w:rPr>
                <w:sz w:val="20"/>
                <w:szCs w:val="20"/>
                <w:color w:val="auto"/>
              </w:rPr>
            </w:pPr>
            <w:r>
              <w:rPr>
                <w:rFonts w:ascii="Arial" w:cs="Arial" w:eastAsia="Arial" w:hAnsi="Arial"/>
                <w:sz w:val="11"/>
                <w:szCs w:val="11"/>
                <w:b w:val="1"/>
                <w:bCs w:val="1"/>
                <w:color w:val="auto"/>
              </w:rPr>
              <w:t>2022 as restated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193,848</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1,015,068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(862,514)</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4,498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157,245</w:t>
            </w:r>
          </w:p>
        </w:tc>
      </w:tr>
      <w:tr>
        <w:trPr>
          <w:trHeight w:val="20"/>
        </w:trPr>
        <w:tc>
          <w:tcPr>
            <w:tcW w:w="1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both"/>
        <w:ind w:right="140" w:firstLine="395"/>
        <w:spacing w:after="0" w:line="270" w:lineRule="auto"/>
        <w:rPr>
          <w:sz w:val="20"/>
          <w:szCs w:val="20"/>
          <w:color w:val="auto"/>
        </w:rPr>
      </w:pPr>
      <w:r>
        <w:rPr>
          <w:rFonts w:ascii="Arial" w:cs="Arial" w:eastAsia="Arial" w:hAnsi="Arial"/>
          <w:sz w:val="16"/>
          <w:szCs w:val="16"/>
          <w:color w:val="auto"/>
        </w:rPr>
        <w:t>The table below sets forth the unaudited condensed consolidated statements of cash flows, including balances as reported, adjustments and balances as restated amounts (in thousands):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51"/>
        </w:trPr>
        <w:tc>
          <w:tcPr>
            <w:tcW w:w="2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1"/>
                <w:szCs w:val="11"/>
                <w:b w:val="1"/>
                <w:bCs w:val="1"/>
                <w:color w:val="auto"/>
                <w:w w:val="95"/>
              </w:rPr>
              <w:t>Nine Months Ended September 30, 2022</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1"/>
                <w:szCs w:val="11"/>
                <w:b w:val="1"/>
                <w:bCs w:val="1"/>
                <w:color w:val="auto"/>
                <w:w w:val="95"/>
              </w:rPr>
              <w:t>Six Months Ended June 30, 2022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7"/>
          </w:tcPr>
          <w:p>
            <w:pPr>
              <w:jc w:val="center"/>
              <w:ind w:right="43"/>
              <w:spacing w:after="0"/>
              <w:rPr>
                <w:sz w:val="20"/>
                <w:szCs w:val="20"/>
                <w:color w:val="auto"/>
              </w:rPr>
            </w:pPr>
            <w:r>
              <w:rPr>
                <w:rFonts w:ascii="Arial" w:cs="Arial" w:eastAsia="Arial" w:hAnsi="Arial"/>
                <w:sz w:val="11"/>
                <w:szCs w:val="11"/>
                <w:b w:val="1"/>
                <w:bCs w:val="1"/>
                <w:color w:val="auto"/>
                <w:w w:val="95"/>
              </w:rPr>
              <w:t>Three Months Ended March 31, 2022</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Reported</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Adjustments</w:t>
            </w: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Restated</w:t>
            </w: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Reported</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Adjustments</w:t>
            </w: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Restated</w:t>
            </w: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As Reported</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Adjustments</w:t>
            </w:r>
          </w:p>
        </w:tc>
        <w:tc>
          <w:tcPr>
            <w:tcW w:w="140" w:type="dxa"/>
            <w:vAlign w:val="bottom"/>
          </w:tcPr>
          <w:p>
            <w:pPr>
              <w:spacing w:after="0"/>
              <w:rPr>
                <w:sz w:val="13"/>
                <w:szCs w:val="13"/>
                <w:color w:val="auto"/>
              </w:rPr>
            </w:pPr>
          </w:p>
        </w:tc>
        <w:tc>
          <w:tcPr>
            <w:tcW w:w="80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As Restated</w:t>
            </w:r>
          </w:p>
        </w:tc>
        <w:tc>
          <w:tcPr>
            <w:tcW w:w="0" w:type="dxa"/>
            <w:vAlign w:val="bottom"/>
          </w:tcPr>
          <w:p>
            <w:pPr>
              <w:spacing w:after="0"/>
              <w:rPr>
                <w:sz w:val="1"/>
                <w:szCs w:val="1"/>
                <w:color w:val="auto"/>
              </w:rPr>
            </w:pPr>
          </w:p>
        </w:tc>
      </w:tr>
      <w:tr>
        <w:trPr>
          <w:trHeight w:val="350"/>
        </w:trPr>
        <w:tc>
          <w:tcPr>
            <w:tcW w:w="2060" w:type="dxa"/>
            <w:vAlign w:val="bottom"/>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(25,753)</w:t>
            </w:r>
          </w:p>
        </w:tc>
        <w:tc>
          <w:tcPr>
            <w:tcW w:w="0" w:type="dxa"/>
            <w:vAlign w:val="bottom"/>
          </w:tcPr>
          <w:p>
            <w:pPr>
              <w:spacing w:after="0"/>
              <w:rPr>
                <w:sz w:val="1"/>
                <w:szCs w:val="1"/>
                <w:color w:val="auto"/>
              </w:rPr>
            </w:pPr>
          </w:p>
        </w:tc>
      </w:tr>
      <w:tr>
        <w:trPr>
          <w:trHeight w:val="124"/>
        </w:trPr>
        <w:tc>
          <w:tcPr>
            <w:tcW w:w="2060" w:type="dxa"/>
            <w:vAlign w:val="bottom"/>
          </w:tcPr>
          <w:p>
            <w:pPr>
              <w:ind w:left="20"/>
              <w:spacing w:after="0" w:line="124" w:lineRule="exact"/>
              <w:rPr>
                <w:sz w:val="20"/>
                <w:szCs w:val="20"/>
                <w:color w:val="auto"/>
              </w:rPr>
            </w:pPr>
            <w:r>
              <w:rPr>
                <w:rFonts w:ascii="Arial" w:cs="Arial" w:eastAsia="Arial" w:hAnsi="Arial"/>
                <w:sz w:val="11"/>
                <w:szCs w:val="11"/>
                <w:color w:val="auto"/>
              </w:rPr>
              <w:t>Adjustments to reconcile net loss to net</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60" w:type="dxa"/>
            <w:vAlign w:val="bottom"/>
          </w:tcPr>
          <w:p>
            <w:pPr>
              <w:ind w:left="180"/>
              <w:spacing w:after="0" w:line="113" w:lineRule="exact"/>
              <w:rPr>
                <w:sz w:val="20"/>
                <w:szCs w:val="20"/>
                <w:color w:val="auto"/>
              </w:rPr>
            </w:pPr>
            <w:r>
              <w:rPr>
                <w:rFonts w:ascii="Arial" w:cs="Arial" w:eastAsia="Arial" w:hAnsi="Arial"/>
                <w:sz w:val="11"/>
                <w:szCs w:val="11"/>
                <w:color w:val="auto"/>
              </w:rPr>
              <w:t>cash provided by</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180"/>
              <w:spacing w:after="0"/>
              <w:rPr>
                <w:sz w:val="20"/>
                <w:szCs w:val="20"/>
                <w:color w:val="auto"/>
              </w:rPr>
            </w:pPr>
            <w:r>
              <w:rPr>
                <w:rFonts w:ascii="Arial" w:cs="Arial" w:eastAsia="Arial" w:hAnsi="Arial"/>
                <w:sz w:val="11"/>
                <w:szCs w:val="11"/>
                <w:color w:val="auto"/>
              </w:rPr>
              <w:t>operating activities: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16,187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10,933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5,394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5,394</w:t>
            </w:r>
          </w:p>
        </w:tc>
        <w:tc>
          <w:tcPr>
            <w:tcW w:w="0" w:type="dxa"/>
            <w:vAlign w:val="bottom"/>
          </w:tcPr>
          <w:p>
            <w:pPr>
              <w:spacing w:after="0"/>
              <w:rPr>
                <w:sz w:val="1"/>
                <w:szCs w:val="1"/>
                <w:color w:val="auto"/>
              </w:rPr>
            </w:pPr>
          </w:p>
        </w:tc>
      </w:tr>
      <w:tr>
        <w:trPr>
          <w:trHeight w:val="124"/>
        </w:trPr>
        <w:tc>
          <w:tcPr>
            <w:tcW w:w="2060" w:type="dxa"/>
            <w:vAlign w:val="bottom"/>
          </w:tcPr>
          <w:p>
            <w:pPr>
              <w:ind w:left="340"/>
              <w:spacing w:after="0" w:line="124" w:lineRule="exact"/>
              <w:rPr>
                <w:sz w:val="20"/>
                <w:szCs w:val="20"/>
                <w:color w:val="auto"/>
              </w:rPr>
            </w:pPr>
            <w:r>
              <w:rPr>
                <w:rFonts w:ascii="Arial" w:cs="Arial" w:eastAsia="Arial" w:hAnsi="Arial"/>
                <w:sz w:val="11"/>
                <w:szCs w:val="11"/>
                <w:color w:val="auto"/>
              </w:rPr>
              <w:t>Amortization of right-of-use</w:t>
            </w:r>
          </w:p>
        </w:tc>
        <w:tc>
          <w:tcPr>
            <w:tcW w:w="120" w:type="dxa"/>
            <w:vAlign w:val="bottom"/>
          </w:tcPr>
          <w:p>
            <w:pPr>
              <w:spacing w:after="0"/>
              <w:rPr>
                <w:sz w:val="10"/>
                <w:szCs w:val="10"/>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1"/>
                <w:szCs w:val="11"/>
                <w:color w:val="auto"/>
              </w:rPr>
              <w:t>1,290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1,290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1"/>
                <w:szCs w:val="11"/>
                <w:color w:val="auto"/>
              </w:rPr>
              <w:t>852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852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378</w:t>
            </w:r>
          </w:p>
        </w:tc>
        <w:tc>
          <w:tcPr>
            <w:tcW w:w="0" w:type="dxa"/>
            <w:vAlign w:val="bottom"/>
          </w:tcPr>
          <w:p>
            <w:pPr>
              <w:spacing w:after="0"/>
              <w:rPr>
                <w:sz w:val="1"/>
                <w:szCs w:val="1"/>
                <w:color w:val="auto"/>
              </w:rPr>
            </w:pPr>
          </w:p>
        </w:tc>
      </w:tr>
      <w:tr>
        <w:trPr>
          <w:trHeight w:val="151"/>
        </w:trPr>
        <w:tc>
          <w:tcPr>
            <w:tcW w:w="2060" w:type="dxa"/>
            <w:vAlign w:val="bottom"/>
          </w:tcPr>
          <w:p>
            <w:pPr>
              <w:ind w:left="340"/>
              <w:spacing w:after="0"/>
              <w:rPr>
                <w:sz w:val="20"/>
                <w:szCs w:val="20"/>
                <w:color w:val="auto"/>
              </w:rPr>
            </w:pPr>
            <w:r>
              <w:rPr>
                <w:rFonts w:ascii="Arial" w:cs="Arial" w:eastAsia="Arial" w:hAnsi="Arial"/>
                <w:sz w:val="11"/>
                <w:szCs w:val="11"/>
                <w:color w:val="auto"/>
              </w:rPr>
              <w:t>assets</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CEEFF"/>
          </w:tcPr>
          <w:p>
            <w:pPr>
              <w:ind w:left="340"/>
              <w:spacing w:after="0" w:line="126" w:lineRule="exact"/>
              <w:rPr>
                <w:sz w:val="20"/>
                <w:szCs w:val="20"/>
                <w:color w:val="auto"/>
              </w:rPr>
            </w:pPr>
            <w:r>
              <w:rPr>
                <w:rFonts w:ascii="Arial" w:cs="Arial" w:eastAsia="Arial" w:hAnsi="Arial"/>
                <w:sz w:val="11"/>
                <w:szCs w:val="11"/>
                <w:color w:val="auto"/>
              </w:rPr>
              <w:t>Amortization of debt issuance</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170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112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costs</w:t>
            </w: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60" w:type="dxa"/>
            <w:vAlign w:val="bottom"/>
          </w:tcPr>
          <w:p>
            <w:pPr>
              <w:ind w:left="340"/>
              <w:spacing w:after="0" w:line="124" w:lineRule="exact"/>
              <w:rPr>
                <w:sz w:val="20"/>
                <w:szCs w:val="20"/>
                <w:color w:val="auto"/>
              </w:rPr>
            </w:pPr>
            <w:r>
              <w:rPr>
                <w:rFonts w:ascii="Arial" w:cs="Arial" w:eastAsia="Arial" w:hAnsi="Arial"/>
                <w:sz w:val="11"/>
                <w:szCs w:val="11"/>
                <w:color w:val="auto"/>
              </w:rPr>
              <w:t>Impairment of other equity</w:t>
            </w:r>
          </w:p>
        </w:tc>
        <w:tc>
          <w:tcPr>
            <w:tcW w:w="120" w:type="dxa"/>
            <w:vAlign w:val="bottom"/>
          </w:tcPr>
          <w:p>
            <w:pPr>
              <w:spacing w:after="0"/>
              <w:rPr>
                <w:sz w:val="10"/>
                <w:szCs w:val="10"/>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51"/>
        </w:trPr>
        <w:tc>
          <w:tcPr>
            <w:tcW w:w="2060" w:type="dxa"/>
            <w:vAlign w:val="bottom"/>
          </w:tcPr>
          <w:p>
            <w:pPr>
              <w:ind w:left="340"/>
              <w:spacing w:after="0"/>
              <w:rPr>
                <w:sz w:val="20"/>
                <w:szCs w:val="20"/>
                <w:color w:val="auto"/>
              </w:rPr>
            </w:pPr>
            <w:r>
              <w:rPr>
                <w:rFonts w:ascii="Arial" w:cs="Arial" w:eastAsia="Arial" w:hAnsi="Arial"/>
                <w:sz w:val="11"/>
                <w:szCs w:val="11"/>
                <w:color w:val="auto"/>
              </w:rPr>
              <w:t>securities</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Impairment of long-lived assets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2060" w:type="dxa"/>
            <w:vAlign w:val="bottom"/>
          </w:tcPr>
          <w:p>
            <w:pPr>
              <w:ind w:left="34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64,490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64,490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44,712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44,712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21,865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21,865</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Deferred income taxes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w:t>
            </w:r>
          </w:p>
        </w:tc>
        <w:tc>
          <w:tcPr>
            <w:tcW w:w="0" w:type="dxa"/>
            <w:vAlign w:val="bottom"/>
          </w:tcPr>
          <w:p>
            <w:pPr>
              <w:spacing w:after="0"/>
              <w:rPr>
                <w:sz w:val="1"/>
                <w:szCs w:val="1"/>
                <w:color w:val="auto"/>
              </w:rPr>
            </w:pPr>
          </w:p>
        </w:tc>
      </w:tr>
      <w:tr>
        <w:trPr>
          <w:trHeight w:val="124"/>
        </w:trPr>
        <w:tc>
          <w:tcPr>
            <w:tcW w:w="2060" w:type="dxa"/>
            <w:vAlign w:val="bottom"/>
          </w:tcPr>
          <w:p>
            <w:pPr>
              <w:ind w:left="340"/>
              <w:spacing w:after="0" w:line="124" w:lineRule="exact"/>
              <w:rPr>
                <w:sz w:val="20"/>
                <w:szCs w:val="20"/>
                <w:color w:val="auto"/>
              </w:rPr>
            </w:pPr>
            <w:r>
              <w:rPr>
                <w:rFonts w:ascii="Arial" w:cs="Arial" w:eastAsia="Arial" w:hAnsi="Arial"/>
                <w:sz w:val="11"/>
                <w:szCs w:val="11"/>
                <w:color w:val="auto"/>
              </w:rPr>
              <w:t>Change in fair value of contingent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060" w:type="dxa"/>
            <w:vAlign w:val="bottom"/>
          </w:tcPr>
          <w:p>
            <w:pPr>
              <w:ind w:left="340"/>
              <w:spacing w:after="0"/>
              <w:rPr>
                <w:sz w:val="20"/>
                <w:szCs w:val="20"/>
                <w:color w:val="auto"/>
              </w:rPr>
            </w:pPr>
            <w:r>
              <w:rPr>
                <w:rFonts w:ascii="Arial" w:cs="Arial" w:eastAsia="Arial" w:hAnsi="Arial"/>
                <w:sz w:val="11"/>
                <w:szCs w:val="11"/>
                <w:color w:val="auto"/>
              </w:rPr>
              <w:t>consideration</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Unrealized foreign exchange loss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5,958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1,379</w:t>
            </w:r>
          </w:p>
        </w:tc>
        <w:tc>
          <w:tcPr>
            <w:tcW w:w="0" w:type="dxa"/>
            <w:vAlign w:val="bottom"/>
          </w:tcPr>
          <w:p>
            <w:pPr>
              <w:spacing w:after="0"/>
              <w:rPr>
                <w:sz w:val="1"/>
                <w:szCs w:val="1"/>
                <w:color w:val="auto"/>
              </w:rPr>
            </w:pPr>
          </w:p>
        </w:tc>
      </w:tr>
      <w:tr>
        <w:trPr>
          <w:trHeight w:val="154"/>
        </w:trPr>
        <w:tc>
          <w:tcPr>
            <w:tcW w:w="2060" w:type="dxa"/>
            <w:vAlign w:val="bottom"/>
          </w:tcPr>
          <w:p>
            <w:pPr>
              <w:ind w:left="340"/>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2060" w:type="dxa"/>
            <w:vAlign w:val="bottom"/>
          </w:tcPr>
          <w:p>
            <w:pPr>
              <w:ind w:left="340"/>
              <w:spacing w:after="0"/>
              <w:rPr>
                <w:sz w:val="20"/>
                <w:szCs w:val="20"/>
                <w:color w:val="auto"/>
              </w:rPr>
            </w:pPr>
            <w:r>
              <w:rPr>
                <w:rFonts w:ascii="Arial" w:cs="Arial" w:eastAsia="Arial" w:hAnsi="Arial"/>
                <w:sz w:val="11"/>
                <w:szCs w:val="11"/>
                <w:color w:val="auto"/>
              </w:rPr>
              <w:t>Changes in operating assets and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35495" cy="2508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5495" cy="250825"/>
                    </a:xfrm>
                    <a:prstGeom prst="rect">
                      <a:avLst/>
                    </a:prstGeom>
                    <a:noFill/>
                  </pic:spPr>
                </pic:pic>
              </a:graphicData>
            </a:graphic>
          </wp:anchor>
        </w:drawing>
      </w:r>
    </w:p>
    <w:p>
      <w:pPr>
        <w:ind w:left="500"/>
        <w:spacing w:after="0" w:line="199" w:lineRule="auto"/>
        <w:rPr>
          <w:sz w:val="20"/>
          <w:szCs w:val="20"/>
          <w:color w:val="auto"/>
        </w:rPr>
      </w:pPr>
      <w:r>
        <w:rPr>
          <w:rFonts w:ascii="Arial" w:cs="Arial" w:eastAsia="Arial" w:hAnsi="Arial"/>
          <w:sz w:val="11"/>
          <w:szCs w:val="11"/>
          <w:color w:val="auto"/>
        </w:rPr>
        <w:t>liabilities, net of effects of</w:t>
      </w:r>
    </w:p>
    <w:p>
      <w:pPr>
        <w:ind w:left="500"/>
        <w:spacing w:after="0"/>
        <w:rPr>
          <w:sz w:val="20"/>
          <w:szCs w:val="20"/>
          <w:color w:val="auto"/>
        </w:rPr>
      </w:pPr>
      <w:r>
        <w:rPr>
          <w:rFonts w:ascii="Arial" w:cs="Arial" w:eastAsia="Arial" w:hAnsi="Arial"/>
          <w:sz w:val="11"/>
          <w:szCs w:val="11"/>
          <w:color w:val="auto"/>
        </w:rPr>
        <w:t>business combination:</w:t>
      </w:r>
    </w:p>
    <w:p>
      <w:pPr>
        <w:sectPr>
          <w:pgSz w:w="11900" w:h="16838" w:orient="portrait"/>
          <w:cols w:equalWidth="0" w:num="1">
            <w:col w:w="11240"/>
          </w:cols>
          <w:pgMar w:left="320" w:top="1061" w:right="339" w:bottom="1440" w:gutter="0" w:footer="0" w:header="0"/>
        </w:sectPr>
      </w:pPr>
    </w:p>
    <w:p>
      <w:pPr>
        <w:spacing w:after="0" w:line="35" w:lineRule="exact"/>
        <w:rPr>
          <w:sz w:val="20"/>
          <w:szCs w:val="20"/>
          <w:color w:val="auto"/>
        </w:rPr>
      </w:pPr>
    </w:p>
    <w:p>
      <w:pPr>
        <w:ind w:left="740"/>
        <w:spacing w:after="0"/>
        <w:rPr>
          <w:sz w:val="20"/>
          <w:szCs w:val="20"/>
          <w:color w:val="auto"/>
        </w:rPr>
      </w:pPr>
      <w:r>
        <w:rPr>
          <w:rFonts w:ascii="Arial" w:cs="Arial" w:eastAsia="Arial" w:hAnsi="Arial"/>
          <w:sz w:val="11"/>
          <w:szCs w:val="11"/>
          <w:color w:val="auto"/>
        </w:rPr>
        <w:t>Accounts receivable</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1"/>
          <w:szCs w:val="11"/>
          <w:color w:val="auto"/>
        </w:rPr>
        <w:t>Prepaid expenses and</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1"/>
          <w:szCs w:val="11"/>
          <w:color w:val="auto"/>
        </w:rPr>
        <w:t>other current assets</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Other assets</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1"/>
          <w:szCs w:val="11"/>
          <w:color w:val="auto"/>
        </w:rPr>
        <w:t>Accounts payable</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1"/>
          <w:szCs w:val="11"/>
          <w:color w:val="auto"/>
        </w:rPr>
        <w:t>Accrued expenses and</w:t>
      </w:r>
    </w:p>
    <w:p>
      <w:pPr>
        <w:spacing w:after="0" w:line="2" w:lineRule="exact"/>
        <w:rPr>
          <w:sz w:val="20"/>
          <w:szCs w:val="20"/>
          <w:color w:val="auto"/>
        </w:rPr>
      </w:pPr>
    </w:p>
    <w:p>
      <w:pPr>
        <w:ind w:left="740" w:right="140"/>
        <w:spacing w:after="0" w:line="302" w:lineRule="auto"/>
        <w:rPr>
          <w:sz w:val="20"/>
          <w:szCs w:val="20"/>
          <w:color w:val="auto"/>
        </w:rPr>
      </w:pPr>
      <w:r>
        <w:rPr>
          <w:rFonts w:ascii="Arial" w:cs="Arial" w:eastAsia="Arial" w:hAnsi="Arial"/>
          <w:sz w:val="11"/>
          <w:szCs w:val="11"/>
          <w:color w:val="auto"/>
        </w:rPr>
        <w:t>other liabilities Operating lease liabilities</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Income tax payable</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Deferred revenue</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Net cash provided</w:t>
      </w:r>
    </w:p>
    <w:p>
      <w:pPr>
        <w:ind w:left="1080"/>
        <w:spacing w:after="0" w:line="203" w:lineRule="auto"/>
        <w:rPr>
          <w:sz w:val="20"/>
          <w:szCs w:val="20"/>
          <w:color w:val="auto"/>
        </w:rPr>
      </w:pPr>
      <w:r>
        <w:rPr>
          <w:rFonts w:ascii="Arial" w:cs="Arial" w:eastAsia="Arial" w:hAnsi="Arial"/>
          <w:sz w:val="11"/>
          <w:szCs w:val="11"/>
          <w:color w:val="auto"/>
        </w:rPr>
        <w:t>by operating</w:t>
      </w:r>
    </w:p>
    <w:p>
      <w:pPr>
        <w:ind w:left="1080"/>
        <w:spacing w:after="0"/>
        <w:rPr>
          <w:sz w:val="20"/>
          <w:szCs w:val="20"/>
          <w:color w:val="auto"/>
        </w:rPr>
      </w:pPr>
      <w:r>
        <w:rPr>
          <w:rFonts w:ascii="Arial" w:cs="Arial" w:eastAsia="Arial" w:hAnsi="Arial"/>
          <w:sz w:val="11"/>
          <w:szCs w:val="11"/>
          <w:color w:val="auto"/>
        </w:rPr>
        <w:t>activities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flows from investing activities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Acquisition, net of cash acquired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Proceeds from acquisition working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capital adjustment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Purchase of property and equipment</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Net cash used in</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investing activities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flows from financing activities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Repayment of capital lease obligations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1"/>
          <w:szCs w:val="11"/>
          <w:color w:val="auto"/>
        </w:rPr>
        <w:t>Payment of contingent consideration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Repurchase of common stock</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1"/>
          <w:szCs w:val="11"/>
          <w:color w:val="auto"/>
        </w:rPr>
        <w:t>Shares surrendered for settlement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minimum statutory tax withholding</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Proceeds from issuance of stock under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employee stock plans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Net cash (used in)</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financing activities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Effect of exchange rate changes 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cash and cash equivalents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(decrease) increase in cash and</w:t>
      </w:r>
    </w:p>
    <w:p>
      <w:pPr>
        <w:spacing w:after="0" w:line="2" w:lineRule="exact"/>
        <w:rPr>
          <w:sz w:val="20"/>
          <w:szCs w:val="20"/>
          <w:color w:val="auto"/>
        </w:rPr>
      </w:pPr>
    </w:p>
    <w:p>
      <w:pPr>
        <w:ind w:left="180" w:right="360"/>
        <w:spacing w:after="0" w:line="231" w:lineRule="auto"/>
        <w:rPr>
          <w:sz w:val="20"/>
          <w:szCs w:val="20"/>
          <w:color w:val="auto"/>
        </w:rPr>
      </w:pPr>
      <w:r>
        <w:rPr>
          <w:rFonts w:ascii="Arial" w:cs="Arial" w:eastAsia="Arial" w:hAnsi="Arial"/>
          <w:sz w:val="11"/>
          <w:szCs w:val="11"/>
          <w:color w:val="auto"/>
        </w:rPr>
        <w:t>cash equivalents, and restricted cash equivalents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and cash equivalents, and</w:t>
      </w:r>
    </w:p>
    <w:p>
      <w:pPr>
        <w:ind w:left="180"/>
        <w:spacing w:after="0" w:line="203" w:lineRule="auto"/>
        <w:rPr>
          <w:sz w:val="20"/>
          <w:szCs w:val="20"/>
          <w:color w:val="auto"/>
        </w:rPr>
      </w:pPr>
      <w:r>
        <w:rPr>
          <w:rFonts w:ascii="Arial" w:cs="Arial" w:eastAsia="Arial" w:hAnsi="Arial"/>
          <w:sz w:val="11"/>
          <w:szCs w:val="11"/>
          <w:color w:val="auto"/>
        </w:rPr>
        <w:t>restricted cash equivalents, at</w:t>
      </w:r>
    </w:p>
    <w:p>
      <w:pPr>
        <w:ind w:left="180"/>
        <w:spacing w:after="0"/>
        <w:rPr>
          <w:sz w:val="20"/>
          <w:szCs w:val="20"/>
          <w:color w:val="auto"/>
        </w:rPr>
      </w:pPr>
      <w:r>
        <w:rPr>
          <w:rFonts w:ascii="Arial" w:cs="Arial" w:eastAsia="Arial" w:hAnsi="Arial"/>
          <w:sz w:val="11"/>
          <w:szCs w:val="11"/>
          <w:color w:val="auto"/>
        </w:rPr>
        <w:t>beginning of the period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and cash equivalents at end of</w:t>
      </w:r>
    </w:p>
    <w:p>
      <w:pPr>
        <w:ind w:left="180"/>
        <w:spacing w:after="0"/>
        <w:tabs>
          <w:tab w:leader="none" w:pos="2060" w:val="left"/>
        </w:tabs>
        <w:rPr>
          <w:sz w:val="20"/>
          <w:szCs w:val="20"/>
          <w:color w:val="auto"/>
        </w:rPr>
      </w:pPr>
      <w:r>
        <w:rPr>
          <w:rFonts w:ascii="Arial" w:cs="Arial" w:eastAsia="Arial" w:hAnsi="Arial"/>
          <w:sz w:val="11"/>
          <w:szCs w:val="11"/>
          <w:b w:val="1"/>
          <w:bCs w:val="1"/>
          <w:color w:val="auto"/>
        </w:rPr>
        <w:t>the period</w:t>
      </w:r>
      <w:r>
        <w:rPr>
          <w:sz w:val="20"/>
          <w:szCs w:val="20"/>
          <w:color w:val="auto"/>
        </w:rPr>
        <w:tab/>
      </w:r>
      <w:r>
        <w:rPr>
          <w:rFonts w:ascii="Arial" w:cs="Arial" w:eastAsia="Arial" w:hAnsi="Arial"/>
          <w:sz w:val="16"/>
          <w:szCs w:val="16"/>
          <w:color w:val="auto"/>
          <w:vertAlign w:val="superscript"/>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(2,902)</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(2,357)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(2,357)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(2,755)</w:t>
            </w:r>
          </w:p>
        </w:tc>
      </w:tr>
      <w:tr>
        <w:trPr>
          <w:trHeight w:val="276"/>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(560)</w:t>
            </w:r>
          </w:p>
        </w:tc>
        <w:tc>
          <w:tcPr>
            <w:tcW w:w="380" w:type="dxa"/>
            <w:vAlign w:val="bottom"/>
          </w:tcPr>
          <w:p>
            <w:pPr>
              <w:spacing w:after="0"/>
              <w:rPr>
                <w:sz w:val="24"/>
                <w:szCs w:val="24"/>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(6,706)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(6,464)</w:t>
            </w:r>
          </w:p>
        </w:tc>
      </w:tr>
      <w:tr>
        <w:trPr>
          <w:trHeight w:val="171"/>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(864)</w:t>
            </w:r>
          </w:p>
        </w:tc>
        <w:tc>
          <w:tcPr>
            <w:tcW w:w="38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(811)</w:t>
            </w:r>
          </w:p>
        </w:tc>
      </w:tr>
      <w:tr>
        <w:trPr>
          <w:trHeight w:val="171"/>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(6,417)</w:t>
            </w: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(13,553)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(13,553)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276"/>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7,606</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7,585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8,156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6,921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5,675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5,772</w:t>
            </w:r>
          </w:p>
        </w:tc>
      </w:tr>
      <w:tr>
        <w:trPr>
          <w:trHeight w:val="171"/>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(1,599)</w:t>
            </w: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(770)</w:t>
            </w:r>
          </w:p>
        </w:tc>
      </w:tr>
      <w:tr>
        <w:trPr>
          <w:trHeight w:val="171"/>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22</w:t>
            </w: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7</w:t>
            </w:r>
          </w:p>
        </w:tc>
      </w:tr>
      <w:tr>
        <w:trPr>
          <w:trHeight w:val="181"/>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22,108</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(738)</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21,370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16,700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16,700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17,185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16,472</w:t>
            </w:r>
          </w:p>
        </w:tc>
      </w:tr>
      <w:tr>
        <w:trPr>
          <w:trHeight w:val="365"/>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52,015</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52,015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24,757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24,757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13,737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13,737</w:t>
            </w:r>
          </w:p>
        </w:tc>
      </w:tr>
      <w:tr>
        <w:trPr>
          <w:trHeight w:val="342"/>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(2,532)</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276"/>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307</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304</w:t>
            </w:r>
          </w:p>
        </w:tc>
      </w:tr>
      <w:tr>
        <w:trPr>
          <w:trHeight w:val="181"/>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(16,441)</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(16,441)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(10,379)</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(10,379)</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(4,911)</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(4,911)</w:t>
            </w:r>
          </w:p>
        </w:tc>
      </w:tr>
      <w:tr>
        <w:trPr>
          <w:trHeight w:val="247"/>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(18,666)</w:t>
            </w:r>
          </w:p>
        </w:tc>
        <w:tc>
          <w:tcPr>
            <w:tcW w:w="38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(10,072)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(10,072)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(4,607)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(4,607)</w:t>
            </w:r>
          </w:p>
        </w:tc>
      </w:tr>
      <w:tr>
        <w:trPr>
          <w:trHeight w:val="342"/>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71"/>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(600)</w:t>
            </w: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1"/>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(61,736)</w:t>
            </w: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(61,736)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(39,155)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(39,155)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(1,094)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(1,094)</w:t>
            </w:r>
          </w:p>
        </w:tc>
      </w:tr>
      <w:tr>
        <w:trPr>
          <w:trHeight w:val="276"/>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(41)</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286"/>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1,682</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1,682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1,487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1,487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237</w:t>
            </w:r>
          </w:p>
        </w:tc>
      </w:tr>
      <w:tr>
        <w:trPr>
          <w:trHeight w:val="247"/>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(60,695)</w:t>
            </w:r>
          </w:p>
        </w:tc>
        <w:tc>
          <w:tcPr>
            <w:tcW w:w="38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(60,695)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(38,298)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(872)</w:t>
            </w:r>
          </w:p>
        </w:tc>
      </w:tr>
      <w:tr>
        <w:trPr>
          <w:trHeight w:val="276"/>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(139)</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395"/>
        </w:trPr>
        <w:tc>
          <w:tcPr>
            <w:tcW w:w="560" w:type="dxa"/>
            <w:vAlign w:val="bottom"/>
          </w:tcPr>
          <w:p>
            <w:pPr>
              <w:jc w:val="right"/>
              <w:ind w:right="63"/>
              <w:spacing w:after="0"/>
              <w:rPr>
                <w:sz w:val="20"/>
                <w:szCs w:val="20"/>
                <w:color w:val="auto"/>
              </w:rPr>
            </w:pPr>
            <w:r>
              <w:rPr>
                <w:rFonts w:ascii="Arial" w:cs="Arial" w:eastAsia="Arial" w:hAnsi="Arial"/>
                <w:sz w:val="11"/>
                <w:szCs w:val="11"/>
                <w:color w:val="auto"/>
              </w:rPr>
              <w:t>(27,485)</w:t>
            </w: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(27,485)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(23,760)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(23,760)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8,207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8,207</w:t>
            </w:r>
          </w:p>
        </w:tc>
      </w:tr>
      <w:tr>
        <w:trPr>
          <w:trHeight w:val="405"/>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239,297</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239,297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239,297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239,297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239,297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239,297</w:t>
            </w:r>
          </w:p>
        </w:tc>
      </w:tr>
      <w:tr>
        <w:trPr>
          <w:trHeight w:val="230"/>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211,812</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940" w:type="dxa"/>
            <w:vAlign w:val="bottom"/>
            <w:gridSpan w:val="3"/>
          </w:tcPr>
          <w:p>
            <w:pPr>
              <w:ind w:left="400"/>
              <w:spacing w:after="0"/>
              <w:rPr>
                <w:sz w:val="20"/>
                <w:szCs w:val="20"/>
                <w:color w:val="auto"/>
              </w:rPr>
            </w:pPr>
            <w:r>
              <w:rPr>
                <w:rFonts w:ascii="Arial" w:cs="Arial" w:eastAsia="Arial" w:hAnsi="Arial"/>
                <w:sz w:val="11"/>
                <w:szCs w:val="11"/>
                <w:color w:val="auto"/>
              </w:rPr>
              <w:t>—   $</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211,812</w:t>
            </w:r>
          </w:p>
        </w:tc>
        <w:tc>
          <w:tcPr>
            <w:tcW w:w="100" w:type="dxa"/>
            <w:vAlign w:val="bottom"/>
          </w:tcPr>
          <w:p>
            <w:pPr>
              <w:spacing w:after="0"/>
              <w:rPr>
                <w:sz w:val="20"/>
                <w:szCs w:val="20"/>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215,537</w:t>
            </w:r>
          </w:p>
        </w:tc>
        <w:tc>
          <w:tcPr>
            <w:tcW w:w="100" w:type="dxa"/>
            <w:vAlign w:val="bottom"/>
          </w:tcPr>
          <w:p>
            <w:pPr>
              <w:spacing w:after="0"/>
              <w:rPr>
                <w:sz w:val="20"/>
                <w:szCs w:val="20"/>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980" w:type="dxa"/>
            <w:vAlign w:val="bottom"/>
            <w:gridSpan w:val="3"/>
          </w:tcPr>
          <w:p>
            <w:pPr>
              <w:ind w:left="460"/>
              <w:spacing w:after="0"/>
              <w:rPr>
                <w:sz w:val="20"/>
                <w:szCs w:val="20"/>
                <w:color w:val="auto"/>
              </w:rPr>
            </w:pPr>
            <w:r>
              <w:rPr>
                <w:rFonts w:ascii="Arial" w:cs="Arial" w:eastAsia="Arial" w:hAnsi="Arial"/>
                <w:sz w:val="11"/>
                <w:szCs w:val="11"/>
                <w:color w:val="auto"/>
              </w:rPr>
              <w:t>—   $</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215,537</w:t>
            </w:r>
          </w:p>
        </w:tc>
        <w:tc>
          <w:tcPr>
            <w:tcW w:w="80" w:type="dxa"/>
            <w:vAlign w:val="bottom"/>
          </w:tcPr>
          <w:p>
            <w:pPr>
              <w:spacing w:after="0"/>
              <w:rPr>
                <w:sz w:val="20"/>
                <w:szCs w:val="20"/>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247,504</w:t>
            </w:r>
          </w:p>
        </w:tc>
        <w:tc>
          <w:tcPr>
            <w:tcW w:w="80" w:type="dxa"/>
            <w:vAlign w:val="bottom"/>
          </w:tcPr>
          <w:p>
            <w:pPr>
              <w:spacing w:after="0"/>
              <w:rPr>
                <w:sz w:val="20"/>
                <w:szCs w:val="20"/>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940" w:type="dxa"/>
            <w:vAlign w:val="bottom"/>
            <w:gridSpan w:val="3"/>
          </w:tcPr>
          <w:p>
            <w:pPr>
              <w:ind w:left="400"/>
              <w:spacing w:after="0"/>
              <w:rPr>
                <w:sz w:val="20"/>
                <w:szCs w:val="20"/>
                <w:color w:val="auto"/>
              </w:rPr>
            </w:pPr>
            <w:r>
              <w:rPr>
                <w:rFonts w:ascii="Arial" w:cs="Arial" w:eastAsia="Arial" w:hAnsi="Arial"/>
                <w:sz w:val="11"/>
                <w:szCs w:val="11"/>
                <w:color w:val="auto"/>
              </w:rPr>
              <w:t>—   $</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247,504</w:t>
            </w:r>
          </w:p>
        </w:tc>
      </w:tr>
      <w:tr>
        <w:trPr>
          <w:trHeight w:val="26"/>
        </w:trPr>
        <w:tc>
          <w:tcPr>
            <w:tcW w:w="5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-3650615</wp:posOffset>
            </wp:positionV>
            <wp:extent cx="7135495" cy="175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5495" cy="17526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-3366770</wp:posOffset>
            </wp:positionV>
            <wp:extent cx="7135495" cy="1085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-3082925</wp:posOffset>
            </wp:positionV>
            <wp:extent cx="7135495" cy="1085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5495" cy="108585"/>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-2865120</wp:posOffset>
            </wp:positionV>
            <wp:extent cx="7135495" cy="286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5495" cy="286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380"/>
            <w:col w:w="8720"/>
          </w:cols>
          <w:pgMar w:left="320" w:top="10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type w:val="continuous"/>
        </w:sectPr>
      </w:pPr>
    </w:p>
    <w:bookmarkStart w:id="104" w:name="page105"/>
    <w:bookmarkEnd w:id="104"/>
    <w:p>
      <w:pPr>
        <w:ind w:right="3800"/>
        <w:spacing w:after="0" w:line="410" w:lineRule="auto"/>
        <w:rPr>
          <w:sz w:val="20"/>
          <w:szCs w:val="20"/>
          <w:color w:val="auto"/>
        </w:rPr>
      </w:pPr>
      <w:r>
        <w:rPr>
          <w:rFonts w:ascii="Arial" w:cs="Arial" w:eastAsia="Arial" w:hAnsi="Arial"/>
          <w:sz w:val="16"/>
          <w:szCs w:val="16"/>
          <w:b w:val="1"/>
          <w:bCs w:val="1"/>
          <w:color w:val="auto"/>
        </w:rPr>
        <w:t xml:space="preserve">Item 9. Changes in and Disagreements With Accountants on Accounting and Financial Disclosures </w:t>
      </w:r>
      <w:r>
        <w:rPr>
          <w:rFonts w:ascii="Arial" w:cs="Arial" w:eastAsia="Arial" w:hAnsi="Arial"/>
          <w:sz w:val="16"/>
          <w:szCs w:val="16"/>
          <w:color w:val="auto"/>
        </w:rPr>
        <w:t>None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1" w:lineRule="exact"/>
        <w:rPr>
          <w:sz w:val="20"/>
          <w:szCs w:val="20"/>
          <w:color w:val="auto"/>
        </w:rPr>
      </w:pPr>
    </w:p>
    <w:p>
      <w:pPr>
        <w:ind w:firstLine="395"/>
        <w:spacing w:after="0" w:line="270"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December 31, 2022, our disclosure controls and procedures were not effective at the reasonable assurance level. Notwithstanding such material weaknesses in internal control over financial reporting, our principal executive officer and principal financial officer have concluded that our consolidated financial statements included in this Annual Report on Form 10-K present fairly, in all material respects, our financial position, results of operations and cash flows at and for the periods presented in conformity with generally accepted accounting principles in the United States, or GAAP.</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21" w:lineRule="exact"/>
        <w:rPr>
          <w:sz w:val="20"/>
          <w:szCs w:val="20"/>
          <w:color w:val="auto"/>
        </w:rPr>
      </w:pPr>
    </w:p>
    <w:p>
      <w:pPr>
        <w:jc w:val="both"/>
        <w:ind w:right="40" w:firstLine="395"/>
        <w:spacing w:after="0" w:line="25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internal control over financial reporting is designed to provide reasonable assurance regarding the reliability of financial reporting and the preparation of consolidated financial statements for external purposes in accordance with GAAP.</w:t>
      </w:r>
    </w:p>
    <w:p>
      <w:pPr>
        <w:spacing w:after="0" w:line="137" w:lineRule="exact"/>
        <w:rPr>
          <w:sz w:val="20"/>
          <w:szCs w:val="20"/>
          <w:color w:val="auto"/>
        </w:rPr>
      </w:pPr>
    </w:p>
    <w:p>
      <w:pPr>
        <w:ind w:right="120" w:firstLine="395"/>
        <w:spacing w:after="0" w:line="276"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conducted an evaluation of the effectiveness of our internal control over financial reporting as of December 31, 2022 based on the framework in “Internal Control – Integrated Framework” (2013) issued by the Committee of Sponsoring Organizations of the Treadway Commission (COSO). Based on this evaluation, our management concluded that our internal control over financial reporting was not effective as of December 31, 2022 due to the material weaknesses described below.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As of December 31, 2022, we identified the following material weaknesses:</w:t>
      </w:r>
    </w:p>
    <w:p>
      <w:pPr>
        <w:spacing w:after="0" w:line="60" w:lineRule="exact"/>
        <w:rPr>
          <w:sz w:val="20"/>
          <w:szCs w:val="20"/>
          <w:color w:val="auto"/>
        </w:rPr>
      </w:pPr>
    </w:p>
    <w:p>
      <w:pPr>
        <w:ind w:left="720" w:right="620" w:hanging="311"/>
        <w:spacing w:after="0" w:line="304" w:lineRule="auto"/>
        <w:tabs>
          <w:tab w:leader="none" w:pos="709"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49" w:lineRule="exact"/>
        <w:rPr>
          <w:rFonts w:ascii="Arial" w:cs="Arial" w:eastAsia="Arial" w:hAnsi="Arial"/>
          <w:sz w:val="15"/>
          <w:szCs w:val="15"/>
          <w:color w:val="auto"/>
        </w:rPr>
      </w:pPr>
    </w:p>
    <w:p>
      <w:pPr>
        <w:ind w:left="720" w:right="300" w:hanging="311"/>
        <w:spacing w:after="0" w:line="270" w:lineRule="auto"/>
        <w:tabs>
          <w:tab w:leader="none" w:pos="7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72" w:lineRule="exact"/>
        <w:rPr>
          <w:rFonts w:ascii="Arial" w:cs="Arial" w:eastAsia="Arial" w:hAnsi="Arial"/>
          <w:sz w:val="16"/>
          <w:szCs w:val="16"/>
          <w:color w:val="auto"/>
        </w:rPr>
      </w:pPr>
    </w:p>
    <w:p>
      <w:pPr>
        <w:ind w:left="720" w:right="320" w:hanging="311"/>
        <w:spacing w:after="0" w:line="270" w:lineRule="auto"/>
        <w:tabs>
          <w:tab w:leader="none" w:pos="7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the income tax provision and certain account analyses and account reconciliations.</w:t>
      </w:r>
    </w:p>
    <w:p>
      <w:pPr>
        <w:spacing w:after="0" w:line="60" w:lineRule="exact"/>
        <w:rPr>
          <w:sz w:val="20"/>
          <w:szCs w:val="20"/>
          <w:color w:val="auto"/>
        </w:rPr>
      </w:pPr>
    </w:p>
    <w:p>
      <w:pPr>
        <w:ind w:right="180" w:firstLine="395"/>
        <w:spacing w:after="0" w:line="253" w:lineRule="auto"/>
        <w:rPr>
          <w:sz w:val="20"/>
          <w:szCs w:val="20"/>
          <w:color w:val="auto"/>
        </w:rPr>
      </w:pPr>
      <w:r>
        <w:rPr>
          <w:rFonts w:ascii="Arial" w:cs="Arial" w:eastAsia="Arial" w:hAnsi="Arial"/>
          <w:sz w:val="16"/>
          <w:szCs w:val="16"/>
          <w:color w:val="auto"/>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and transactions and certain account reconciliations and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77" w:lineRule="exact"/>
        <w:rPr>
          <w:sz w:val="20"/>
          <w:szCs w:val="20"/>
          <w:color w:val="auto"/>
        </w:rPr>
      </w:pPr>
    </w:p>
    <w:p>
      <w:pPr>
        <w:ind w:right="700" w:firstLine="395"/>
        <w:spacing w:after="0" w:line="270" w:lineRule="auto"/>
        <w:rPr>
          <w:sz w:val="20"/>
          <w:szCs w:val="20"/>
          <w:color w:val="auto"/>
        </w:rPr>
      </w:pPr>
      <w:r>
        <w:rPr>
          <w:rFonts w:ascii="Arial" w:cs="Arial" w:eastAsia="Arial" w:hAnsi="Arial"/>
          <w:sz w:val="16"/>
          <w:szCs w:val="16"/>
          <w:color w:val="auto"/>
        </w:rPr>
        <w:t>The effectiveness of our internal control over financial reporting as of December 31, 2022 has been audited by PricewaterhouseCoopers, LLP, an independent registered public accounting firm, as stated in their report, which is included in Part II, Item 8 of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108"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Management is committed to taking the necessary steps to remediate the above identified material weaknesses. We are implementing a plan to remediate the material weaknesses as follows:</w:t>
      </w:r>
    </w:p>
    <w:p>
      <w:pPr>
        <w:spacing w:after="0" w:line="47" w:lineRule="exact"/>
        <w:rPr>
          <w:sz w:val="20"/>
          <w:szCs w:val="20"/>
          <w:color w:val="auto"/>
        </w:rPr>
      </w:pPr>
    </w:p>
    <w:p>
      <w:pPr>
        <w:ind w:left="720" w:right="240" w:hanging="311"/>
        <w:spacing w:after="0" w:line="270" w:lineRule="auto"/>
        <w:tabs>
          <w:tab w:leader="none" w:pos="7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hired and are planning to continue to hire additional experienced accounting, financial reporting and internal control personnel and refined our key control roles and responsibilities;</w:t>
      </w:r>
    </w:p>
    <w:p>
      <w:pPr>
        <w:spacing w:after="0" w:line="72" w:lineRule="exact"/>
        <w:rPr>
          <w:rFonts w:ascii="Arial" w:cs="Arial" w:eastAsia="Arial" w:hAnsi="Arial"/>
          <w:sz w:val="16"/>
          <w:szCs w:val="16"/>
          <w:color w:val="auto"/>
        </w:rPr>
      </w:pPr>
    </w:p>
    <w:p>
      <w:pPr>
        <w:ind w:left="720" w:hanging="311"/>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provided and are planning to provide additional internal control training programs to all accounting personnel;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05" w:name="page106"/>
    <w:bookmarkEnd w:id="105"/>
    <w:p>
      <w:pPr>
        <w:jc w:val="both"/>
        <w:ind w:left="720" w:right="100" w:hanging="311"/>
        <w:spacing w:after="0" w:line="263" w:lineRule="auto"/>
        <w:tabs>
          <w:tab w:leader="none" w:pos="7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continue to design and implement controls to address the identification, accounting for, and review of non-routine, unusual or complex and initial applications of complex accounting standards, including the continued engagement of external consultants to provide support and to assist us in our evaluation of such transactions; and</w:t>
      </w:r>
    </w:p>
    <w:p>
      <w:pPr>
        <w:spacing w:after="0" w:line="66" w:lineRule="exact"/>
        <w:rPr>
          <w:rFonts w:ascii="Arial" w:cs="Arial" w:eastAsia="Arial" w:hAnsi="Arial"/>
          <w:sz w:val="16"/>
          <w:szCs w:val="16"/>
          <w:color w:val="auto"/>
        </w:rPr>
      </w:pPr>
    </w:p>
    <w:p>
      <w:pPr>
        <w:ind w:left="720" w:right="260" w:hanging="311"/>
        <w:spacing w:after="0" w:line="263" w:lineRule="auto"/>
        <w:tabs>
          <w:tab w:leader="none" w:pos="7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continue to design and implement the relevant controls to enable effective and timely review of the income tax provision and certain account analyses and account reconciliations, including the identification of relevant supporting documentation, assessment of the reliability of reports and spreadsheets used, and retention of sufficient detailed evidence of review procedures performed.</w:t>
      </w:r>
    </w:p>
    <w:p>
      <w:pPr>
        <w:spacing w:after="0" w:line="66" w:lineRule="exact"/>
        <w:rPr>
          <w:sz w:val="20"/>
          <w:szCs w:val="20"/>
          <w:color w:val="auto"/>
        </w:rPr>
      </w:pPr>
    </w:p>
    <w:p>
      <w:pPr>
        <w:ind w:right="20" w:firstLine="395"/>
        <w:spacing w:after="0" w:line="251" w:lineRule="auto"/>
        <w:rPr>
          <w:sz w:val="20"/>
          <w:szCs w:val="20"/>
          <w:color w:val="auto"/>
        </w:rPr>
      </w:pPr>
      <w:r>
        <w:rPr>
          <w:rFonts w:ascii="Arial" w:cs="Arial" w:eastAsia="Arial" w:hAnsi="Arial"/>
          <w:sz w:val="16"/>
          <w:szCs w:val="16"/>
          <w:color w:val="auto"/>
        </w:rPr>
        <w:t>We have made progress to remediate the material weaknesses and we believe our remediation plan to be sufficient to remediate the identified material weaknesses. However, the implementation of these remediation measures requires validation and testing of the design and operating effectiveness of internal control over a sustained period of financial reporting prior to reaching a determination that the material weaknesses have been remediated. As we continue to validate and test our internal control over financial reporting, we may determine that additional measures or modifications to the remediation plan are necessary or appropriate. If the steps we take do not remediate the material weaknesses in a timely manner, there could continue to be a reasonable possibility that these control deficiencies or others could result in a material misstatement of account balances or disclosures that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21" w:lineRule="exact"/>
        <w:rPr>
          <w:sz w:val="20"/>
          <w:szCs w:val="20"/>
          <w:color w:val="auto"/>
        </w:rPr>
      </w:pPr>
    </w:p>
    <w:p>
      <w:pPr>
        <w:ind w:right="60" w:firstLine="395"/>
        <w:spacing w:after="0" w:line="270" w:lineRule="auto"/>
        <w:rPr>
          <w:sz w:val="20"/>
          <w:szCs w:val="20"/>
          <w:color w:val="auto"/>
        </w:rPr>
      </w:pPr>
      <w:r>
        <w:rPr>
          <w:rFonts w:ascii="Arial" w:cs="Arial" w:eastAsia="Arial" w:hAnsi="Arial"/>
          <w:sz w:val="16"/>
          <w:szCs w:val="16"/>
          <w:color w:val="auto"/>
        </w:rPr>
        <w:t>There were no changes in our internal control over financial reporting during the three months ended December 31, 2022 that have materially affected, or are reasonably likely to materially affect, our internal control over financial reporting.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08" w:lineRule="exact"/>
        <w:rPr>
          <w:sz w:val="20"/>
          <w:szCs w:val="20"/>
          <w:color w:val="auto"/>
        </w:rPr>
      </w:pPr>
    </w:p>
    <w:p>
      <w:pPr>
        <w:ind w:firstLine="395"/>
        <w:spacing w:after="0" w:line="255" w:lineRule="auto"/>
        <w:rPr>
          <w:sz w:val="20"/>
          <w:szCs w:val="20"/>
          <w:color w:val="auto"/>
        </w:rPr>
      </w:pPr>
      <w:r>
        <w:rPr>
          <w:rFonts w:ascii="Arial" w:cs="Arial" w:eastAsia="Arial" w:hAnsi="Arial"/>
          <w:sz w:val="16"/>
          <w:szCs w:val="16"/>
          <w:color w:val="auto"/>
        </w:rPr>
        <w:t>In designing and evaluating our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9" w:lineRule="exact"/>
        <w:rPr>
          <w:sz w:val="20"/>
          <w:szCs w:val="20"/>
          <w:color w:val="auto"/>
        </w:rPr>
      </w:pPr>
    </w:p>
    <w:p>
      <w:pPr>
        <w:ind w:right="5280"/>
        <w:spacing w:after="0" w:line="427" w:lineRule="auto"/>
        <w:rPr>
          <w:sz w:val="20"/>
          <w:szCs w:val="20"/>
          <w:color w:val="auto"/>
        </w:rPr>
      </w:pPr>
      <w:r>
        <w:rPr>
          <w:rFonts w:ascii="Arial" w:cs="Arial" w:eastAsia="Arial" w:hAnsi="Arial"/>
          <w:sz w:val="16"/>
          <w:szCs w:val="16"/>
          <w:b w:val="1"/>
          <w:bCs w:val="1"/>
          <w:color w:val="auto"/>
        </w:rPr>
        <w:t xml:space="preserve">Item 9C. Disclosure Regarding Foreign Jurisdictions That Prevent Inspections </w:t>
      </w:r>
      <w:r>
        <w:rPr>
          <w:rFonts w:ascii="Arial" w:cs="Arial" w:eastAsia="Arial" w:hAnsi="Arial"/>
          <w:sz w:val="16"/>
          <w:szCs w:val="16"/>
          <w:color w:val="auto"/>
        </w:rPr>
        <w:t>Not applicable</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21"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We maintain a Code of Business Conduct and Ethics that applies to all employees, including all officers, and members of our board of directors. Our Code of Business Conduct and Ethics incorporates guidelines designed to deter wrongdoing and to promote honest and ethical conduct and compliance with applicable laws and regulations. Our Code of Business Conduct and Ethics is published on our Investor Relations website at https://investors.legalzoom.com. To the extent required by rules adopted by the SEC and The Nasdaq Stock Market LLC, we intend to promptly disclose amendments to our Code of Business Conduct and Ethics, or waivers of such provisions granted to executive officers and directors, on this website.</w:t>
      </w:r>
    </w:p>
    <w:p>
      <w:pPr>
        <w:spacing w:after="0" w:line="87" w:lineRule="exact"/>
        <w:rPr>
          <w:sz w:val="20"/>
          <w:szCs w:val="20"/>
          <w:color w:val="auto"/>
        </w:rPr>
      </w:pPr>
    </w:p>
    <w:p>
      <w:pPr>
        <w:ind w:firstLine="395"/>
        <w:spacing w:after="0" w:line="270" w:lineRule="auto"/>
        <w:rPr>
          <w:sz w:val="20"/>
          <w:szCs w:val="20"/>
          <w:color w:val="auto"/>
        </w:rPr>
      </w:pPr>
      <w:r>
        <w:rPr>
          <w:rFonts w:ascii="Arial" w:cs="Arial" w:eastAsia="Arial" w:hAnsi="Arial"/>
          <w:sz w:val="16"/>
          <w:szCs w:val="16"/>
          <w:color w:val="auto"/>
        </w:rPr>
        <w:t>All other information required by this Item 10 is incorporated herein by reference from the information contained in our Proxy Statement for our 2023 Annual Meeting of Stockholders, which will be filed with the SEC no later than 120 days after the end of our fiscal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08" w:lineRule="exact"/>
        <w:rPr>
          <w:sz w:val="20"/>
          <w:szCs w:val="20"/>
          <w:color w:val="auto"/>
        </w:rPr>
      </w:pPr>
    </w:p>
    <w:p>
      <w:pPr>
        <w:ind w:right="320" w:firstLine="395"/>
        <w:spacing w:after="0" w:line="270" w:lineRule="auto"/>
        <w:rPr>
          <w:sz w:val="20"/>
          <w:szCs w:val="20"/>
          <w:color w:val="auto"/>
        </w:rPr>
      </w:pPr>
      <w:r>
        <w:rPr>
          <w:rFonts w:ascii="Arial" w:cs="Arial" w:eastAsia="Arial" w:hAnsi="Arial"/>
          <w:sz w:val="16"/>
          <w:szCs w:val="16"/>
          <w:color w:val="auto"/>
        </w:rPr>
        <w:t>The information required by this Item 11 is incorporated herein by reference from the information contained in our Proxy Statement for our 2023 Annual Meeting of Stockholders, which will be filed with the SEC no later than 120 days after the end of our fiscal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300" w:firstLine="395"/>
        <w:spacing w:after="0" w:line="270" w:lineRule="auto"/>
        <w:rPr>
          <w:sz w:val="20"/>
          <w:szCs w:val="20"/>
          <w:color w:val="auto"/>
        </w:rPr>
      </w:pPr>
      <w:r>
        <w:rPr>
          <w:rFonts w:ascii="Arial" w:cs="Arial" w:eastAsia="Arial" w:hAnsi="Arial"/>
          <w:sz w:val="16"/>
          <w:szCs w:val="16"/>
          <w:color w:val="auto"/>
        </w:rPr>
        <w:t>The information required by this Item 12 is incorporated herein by reference from the information contained in our Proxy Statement for our 2023 Annual Meeting of Stockholders, which will be filed with the SEC no later than 120 days after the end of our fiscal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08" w:lineRule="exact"/>
        <w:rPr>
          <w:sz w:val="20"/>
          <w:szCs w:val="20"/>
          <w:color w:val="auto"/>
        </w:rPr>
      </w:pPr>
    </w:p>
    <w:p>
      <w:pPr>
        <w:ind w:right="300" w:firstLine="395"/>
        <w:spacing w:after="0" w:line="287" w:lineRule="auto"/>
        <w:rPr>
          <w:sz w:val="20"/>
          <w:szCs w:val="20"/>
          <w:color w:val="auto"/>
        </w:rPr>
      </w:pPr>
      <w:r>
        <w:rPr>
          <w:rFonts w:ascii="Arial" w:cs="Arial" w:eastAsia="Arial" w:hAnsi="Arial"/>
          <w:sz w:val="16"/>
          <w:szCs w:val="16"/>
          <w:color w:val="auto"/>
        </w:rPr>
        <w:t>The information required by this Item 13 is incorporated herein by reference from the information contained in our Proxy Statement for our 2023 Annual Meeting of Stockholders, which will be filed with the SEC no later than 120 days after the end of our fiscal year ended December 31, 2022.</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08" w:lineRule="exact"/>
        <w:rPr>
          <w:sz w:val="20"/>
          <w:szCs w:val="20"/>
          <w:color w:val="auto"/>
        </w:rPr>
      </w:pPr>
    </w:p>
    <w:p>
      <w:pPr>
        <w:ind w:right="300" w:firstLine="395"/>
        <w:spacing w:after="0" w:line="287" w:lineRule="auto"/>
        <w:rPr>
          <w:sz w:val="20"/>
          <w:szCs w:val="20"/>
          <w:color w:val="auto"/>
        </w:rPr>
      </w:pPr>
      <w:r>
        <w:rPr>
          <w:rFonts w:ascii="Arial" w:cs="Arial" w:eastAsia="Arial" w:hAnsi="Arial"/>
          <w:sz w:val="16"/>
          <w:szCs w:val="16"/>
          <w:color w:val="auto"/>
        </w:rPr>
        <w:t>The information required by this Item 14 is incorporated herein by reference from the information contained in our Proxy Statement for our 2023 Annual Meeting of Stockholders, which will be filed with the SEC no later than 120 days after the end of our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Part IV</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Statements Schedules</w:t>
      </w:r>
    </w:p>
    <w:p>
      <w:pPr>
        <w:spacing w:after="0" w:line="121" w:lineRule="exact"/>
        <w:rPr>
          <w:sz w:val="20"/>
          <w:szCs w:val="20"/>
          <w:color w:val="auto"/>
        </w:rPr>
      </w:pPr>
    </w:p>
    <w:p>
      <w:pPr>
        <w:ind w:left="240" w:hanging="235"/>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documents are filed as a part of this Annual Report on Form 10-K:</w:t>
      </w:r>
    </w:p>
    <w:p>
      <w:pPr>
        <w:spacing w:after="0" w:line="105" w:lineRule="exact"/>
        <w:rPr>
          <w:rFonts w:ascii="Arial" w:cs="Arial" w:eastAsia="Arial" w:hAnsi="Arial"/>
          <w:sz w:val="16"/>
          <w:szCs w:val="16"/>
          <w:color w:val="auto"/>
        </w:rPr>
      </w:pPr>
    </w:p>
    <w:p>
      <w:pPr>
        <w:ind w:left="560" w:hanging="239"/>
        <w:spacing w:after="0"/>
        <w:tabs>
          <w:tab w:leader="none" w:pos="5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Financial Statements Index</w:t>
      </w:r>
    </w:p>
    <w:p>
      <w:pPr>
        <w:spacing w:after="0" w:line="11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See Index to Financial Statements at Item 8 herein.</w:t>
      </w:r>
    </w:p>
    <w:p>
      <w:pPr>
        <w:spacing w:after="0" w:line="105" w:lineRule="exact"/>
        <w:rPr>
          <w:rFonts w:ascii="Arial" w:cs="Arial" w:eastAsia="Arial" w:hAnsi="Arial"/>
          <w:sz w:val="16"/>
          <w:szCs w:val="16"/>
          <w:color w:val="auto"/>
        </w:rPr>
      </w:pPr>
    </w:p>
    <w:p>
      <w:pPr>
        <w:ind w:left="560" w:hanging="239"/>
        <w:spacing w:after="0"/>
        <w:tabs>
          <w:tab w:leader="none" w:pos="5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05" w:lineRule="exact"/>
        <w:rPr>
          <w:rFonts w:ascii="Arial" w:cs="Arial" w:eastAsia="Arial" w:hAnsi="Arial"/>
          <w:sz w:val="16"/>
          <w:szCs w:val="16"/>
          <w:color w:val="auto"/>
        </w:rPr>
      </w:pPr>
    </w:p>
    <w:p>
      <w:pPr>
        <w:ind w:left="560" w:right="720"/>
        <w:spacing w:after="0" w:line="287" w:lineRule="auto"/>
        <w:rPr>
          <w:rFonts w:ascii="Arial" w:cs="Arial" w:eastAsia="Arial" w:hAnsi="Arial"/>
          <w:sz w:val="16"/>
          <w:szCs w:val="16"/>
          <w:color w:val="auto"/>
        </w:rPr>
      </w:pPr>
      <w:r>
        <w:rPr>
          <w:rFonts w:ascii="Arial" w:cs="Arial" w:eastAsia="Arial" w:hAnsi="Arial"/>
          <w:sz w:val="16"/>
          <w:szCs w:val="16"/>
          <w:color w:val="auto"/>
        </w:rPr>
        <w:t>All financial statement schedules have been omitted because the information required to be set forth therein is not applicable or is shown in the consolidated financial statements or notes thereto.</w:t>
      </w:r>
    </w:p>
    <w:p>
      <w:pPr>
        <w:spacing w:after="0" w:line="46" w:lineRule="exact"/>
        <w:rPr>
          <w:rFonts w:ascii="Arial" w:cs="Arial" w:eastAsia="Arial" w:hAnsi="Arial"/>
          <w:sz w:val="16"/>
          <w:szCs w:val="16"/>
          <w:color w:val="auto"/>
        </w:rPr>
      </w:pPr>
    </w:p>
    <w:p>
      <w:pPr>
        <w:ind w:left="560" w:hanging="239"/>
        <w:spacing w:after="0"/>
        <w:tabs>
          <w:tab w:leader="none" w:pos="5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Index to Exhibits</w:t>
      </w:r>
    </w:p>
    <w:p>
      <w:pPr>
        <w:spacing w:after="0" w:line="11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See the exhibits listed below under Part (b).</w:t>
      </w:r>
    </w:p>
    <w:p>
      <w:pPr>
        <w:spacing w:after="0" w:line="105" w:lineRule="exact"/>
        <w:rPr>
          <w:rFonts w:ascii="Arial" w:cs="Arial" w:eastAsia="Arial" w:hAnsi="Arial"/>
          <w:sz w:val="16"/>
          <w:szCs w:val="16"/>
          <w:color w:val="auto"/>
        </w:rPr>
      </w:pPr>
    </w:p>
    <w:p>
      <w:pPr>
        <w:ind w:left="240" w:hanging="235"/>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Exhibits</w:t>
      </w:r>
    </w:p>
    <w:p>
      <w:pPr>
        <w:spacing w:after="0" w:line="105"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The exhibits listed below are furnished or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60" w:type="dxa"/>
            <w:vAlign w:val="bottom"/>
            <w:gridSpan w:val="26"/>
          </w:tcPr>
          <w:p>
            <w:pPr>
              <w:ind w:left="1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gridSpan w:val="3"/>
          </w:tcPr>
          <w:p>
            <w:pPr>
              <w:jc w:val="right"/>
              <w:ind w:right="300"/>
              <w:spacing w:after="0" w:line="165"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38"/>
          </w:tcPr>
          <w:p>
            <w:pPr>
              <w:spacing w:after="0" w:line="165" w:lineRule="exact"/>
              <w:rPr>
                <w:rFonts w:ascii="Arial" w:cs="Arial" w:eastAsia="Arial" w:hAnsi="Arial"/>
                <w:sz w:val="16"/>
                <w:szCs w:val="16"/>
                <w:color w:val="auto"/>
              </w:rPr>
            </w:pPr>
            <w:hyperlink r:id="rId143">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 Company’s Current</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40" w:type="dxa"/>
            <w:vAlign w:val="bottom"/>
            <w:gridSpan w:val="14"/>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 xml:space="preserve">Report on Form 8-K filed </w:t>
              </w:r>
              <w:r>
                <w:rPr>
                  <w:rFonts w:ascii="Arial" w:cs="Arial" w:eastAsia="Arial" w:hAnsi="Arial"/>
                  <w:sz w:val="16"/>
                  <w:szCs w:val="16"/>
                  <w:color w:val="0000FF"/>
                  <w:highlight w:val="white"/>
                </w:rPr>
                <w:t>with the SEC on July 2, 2021)</w:t>
              </w:r>
              <w:r>
                <w:rPr>
                  <w:rFonts w:ascii="Arial" w:cs="Arial" w:eastAsia="Arial" w:hAnsi="Arial"/>
                  <w:sz w:val="16"/>
                  <w:szCs w:val="16"/>
                  <w:color w:val="000000"/>
                  <w:highlight w:val="white"/>
                </w:rPr>
                <w:t>.</w:t>
              </w:r>
            </w:hyperlink>
          </w:p>
        </w:tc>
        <w:tc>
          <w:tcPr>
            <w:tcW w:w="16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rPr>
            </w:pPr>
            <w:hyperlink r:id="rId144">
              <w:r>
                <w:rPr>
                  <w:rFonts w:ascii="Arial" w:cs="Arial" w:eastAsia="Arial" w:hAnsi="Arial"/>
                  <w:sz w:val="16"/>
                  <w:szCs w:val="16"/>
                  <w:color w:val="auto"/>
                </w:rPr>
                <w:t xml:space="preserve">Amended and Restated Bylaws of LegalZoom.com, Inc. </w:t>
              </w:r>
              <w:r>
                <w:rPr>
                  <w:rFonts w:ascii="Arial" w:cs="Arial" w:eastAsia="Arial" w:hAnsi="Arial"/>
                  <w:sz w:val="16"/>
                  <w:szCs w:val="16"/>
                  <w:color w:val="0000FF"/>
                </w:rPr>
                <w:t>(incorporated by reference to Exhibit 3.4 to Amendment No. 1 to the Company’s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80" w:type="dxa"/>
            <w:vAlign w:val="bottom"/>
            <w:gridSpan w:val="24"/>
          </w:tcPr>
          <w:p>
            <w:pPr>
              <w:spacing w:after="0" w:line="152" w:lineRule="exact"/>
              <w:rPr>
                <w:rFonts w:ascii="Arial" w:cs="Arial" w:eastAsia="Arial" w:hAnsi="Arial"/>
                <w:sz w:val="16"/>
                <w:szCs w:val="16"/>
                <w:color w:val="0000FF"/>
              </w:rPr>
            </w:pPr>
            <w:hyperlink r:id="rId144">
              <w:r>
                <w:rPr>
                  <w:rFonts w:ascii="Arial" w:cs="Arial" w:eastAsia="Arial" w:hAnsi="Arial"/>
                  <w:sz w:val="16"/>
                  <w:szCs w:val="16"/>
                  <w:color w:val="0000FF"/>
                </w:rPr>
                <w:t>Registration Statement on Form S-1 filed with the SEC on June 21, 2021)</w:t>
              </w:r>
              <w:r>
                <w:rPr>
                  <w:rFonts w:ascii="Arial" w:cs="Arial" w:eastAsia="Arial" w:hAnsi="Arial"/>
                  <w:sz w:val="16"/>
                  <w:szCs w:val="16"/>
                  <w:color w:val="000000"/>
                </w:rPr>
                <w:t>.</w:t>
              </w:r>
            </w:hyperlink>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rPr>
            </w:pPr>
            <w:hyperlink r:id="rId145">
              <w:r>
                <w:rPr>
                  <w:rFonts w:ascii="Arial" w:cs="Arial" w:eastAsia="Arial" w:hAnsi="Arial"/>
                  <w:sz w:val="16"/>
                  <w:szCs w:val="16"/>
                  <w:color w:val="auto"/>
                </w:rPr>
                <w:t xml:space="preserve">Form of LegalZoom.com, Inc.’s Common Stock Certificate </w:t>
              </w:r>
              <w:r>
                <w:rPr>
                  <w:rFonts w:ascii="Arial" w:cs="Arial" w:eastAsia="Arial" w:hAnsi="Arial"/>
                  <w:sz w:val="16"/>
                  <w:szCs w:val="16"/>
                  <w:color w:val="0000FF"/>
                </w:rPr>
                <w:t>(incorporated by reference to Exhibit 4.1 of Amendment No. 1 to the Company’s</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60" w:type="dxa"/>
            <w:vAlign w:val="bottom"/>
            <w:gridSpan w:val="10"/>
          </w:tcPr>
          <w:p>
            <w:pPr>
              <w:spacing w:after="0" w:line="152" w:lineRule="exact"/>
              <w:rPr>
                <w:rFonts w:ascii="Arial" w:cs="Arial" w:eastAsia="Arial" w:hAnsi="Arial"/>
                <w:sz w:val="16"/>
                <w:szCs w:val="16"/>
                <w:color w:val="0000FF"/>
                <w:w w:val="98"/>
              </w:rPr>
            </w:pPr>
            <w:hyperlink r:id="rId145">
              <w:r>
                <w:rPr>
                  <w:rFonts w:ascii="Arial" w:cs="Arial" w:eastAsia="Arial" w:hAnsi="Arial"/>
                  <w:sz w:val="16"/>
                  <w:szCs w:val="16"/>
                  <w:color w:val="0000FF"/>
                  <w:w w:val="98"/>
                </w:rPr>
                <w:t>Registration Statement on Form S-1 filed with the SEC on</w:t>
              </w:r>
            </w:hyperlink>
          </w:p>
        </w:tc>
        <w:tc>
          <w:tcPr>
            <w:tcW w:w="558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45">
              <w:r>
                <w:rPr>
                  <w:rFonts w:ascii="Arial" w:cs="Arial" w:eastAsia="Arial" w:hAnsi="Arial"/>
                  <w:sz w:val="16"/>
                  <w:szCs w:val="16"/>
                  <w:color w:val="0000FF"/>
                </w:rPr>
                <w:t>June 21, 2021)</w:t>
              </w:r>
              <w:r>
                <w:rPr>
                  <w:rFonts w:ascii="Arial" w:cs="Arial" w:eastAsia="Arial" w:hAnsi="Arial"/>
                  <w:sz w:val="16"/>
                  <w:szCs w:val="16"/>
                  <w:color w:val="000000"/>
                </w:rPr>
                <w:t>.</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sz w:val="20"/>
                <w:szCs w:val="20"/>
                <w:color w:val="auto"/>
              </w:rPr>
            </w:pPr>
            <w:r>
              <w:rPr>
                <w:rFonts w:ascii="Arial" w:cs="Arial" w:eastAsia="Arial" w:hAnsi="Arial"/>
                <w:sz w:val="16"/>
                <w:szCs w:val="16"/>
                <w:color w:val="auto"/>
                <w:w w:val="99"/>
              </w:rPr>
              <w:t>Fourth Amended and Restated Investors’ Rights Agreement, by and among LegalZoom.com, Inc. and certain of its stockholders, dated June 18,</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0" w:type="dxa"/>
            <w:vAlign w:val="bottom"/>
            <w:gridSpan w:val="38"/>
          </w:tcPr>
          <w:p>
            <w:pPr>
              <w:spacing w:after="0" w:line="170" w:lineRule="exact"/>
              <w:rPr>
                <w:rFonts w:ascii="Arial" w:cs="Arial" w:eastAsia="Arial" w:hAnsi="Arial"/>
                <w:sz w:val="16"/>
                <w:szCs w:val="16"/>
                <w:color w:val="auto"/>
                <w:w w:val="99"/>
              </w:rPr>
            </w:pPr>
            <w:hyperlink r:id="rId146">
              <w:r>
                <w:rPr>
                  <w:rFonts w:ascii="Arial" w:cs="Arial" w:eastAsia="Arial" w:hAnsi="Arial"/>
                  <w:sz w:val="16"/>
                  <w:szCs w:val="16"/>
                  <w:color w:val="auto"/>
                  <w:w w:val="99"/>
                </w:rPr>
                <w:t xml:space="preserve">2021 </w:t>
              </w:r>
              <w:r>
                <w:rPr>
                  <w:rFonts w:ascii="Arial" w:cs="Arial" w:eastAsia="Arial" w:hAnsi="Arial"/>
                  <w:sz w:val="16"/>
                  <w:szCs w:val="16"/>
                  <w:color w:val="0000FF"/>
                  <w:w w:val="99"/>
                </w:rPr>
                <w:t>(incorporated by reference to Exhibit 4.2 of Amendment No. 1 to the Company’s Registration Statement on Form S-1 filed with the SEC on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0" w:type="dxa"/>
            <w:vAlign w:val="bottom"/>
            <w:gridSpan w:val="38"/>
          </w:tcPr>
          <w:p>
            <w:pPr>
              <w:spacing w:after="0" w:line="165" w:lineRule="exact"/>
              <w:rPr>
                <w:rFonts w:ascii="Arial" w:cs="Arial" w:eastAsia="Arial" w:hAnsi="Arial"/>
                <w:sz w:val="16"/>
                <w:szCs w:val="16"/>
                <w:color w:val="0000FF"/>
              </w:rPr>
            </w:pPr>
            <w:hyperlink r:id="rId146">
              <w:r>
                <w:rPr>
                  <w:rFonts w:ascii="Arial" w:cs="Arial" w:eastAsia="Arial" w:hAnsi="Arial"/>
                  <w:sz w:val="16"/>
                  <w:szCs w:val="16"/>
                  <w:color w:val="0000FF"/>
                </w:rPr>
                <w:t>June 21,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6"/>
                <w:szCs w:val="16"/>
                <w:color w:val="0000FF"/>
                <w:w w:val="98"/>
              </w:rPr>
              <w:t>4.</w:t>
            </w:r>
            <w:r>
              <w:rPr>
                <w:rFonts w:ascii="Arial" w:cs="Arial" w:eastAsia="Arial" w:hAnsi="Arial"/>
                <w:sz w:val="16"/>
                <w:szCs w:val="16"/>
                <w:u w:val="single" w:color="auto"/>
                <w:color w:val="0000FF"/>
                <w:w w:val="98"/>
              </w:rPr>
              <w:t>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0" w:type="dxa"/>
            <w:vAlign w:val="bottom"/>
            <w:gridSpan w:val="38"/>
          </w:tcPr>
          <w:p>
            <w:pPr>
              <w:spacing w:after="0"/>
              <w:rPr>
                <w:sz w:val="20"/>
                <w:szCs w:val="20"/>
                <w:color w:val="auto"/>
              </w:rPr>
            </w:pPr>
            <w:r>
              <w:rPr>
                <w:rFonts w:ascii="Arial" w:cs="Arial" w:eastAsia="Arial" w:hAnsi="Arial"/>
                <w:sz w:val="16"/>
                <w:szCs w:val="16"/>
                <w:color w:val="0000FF"/>
              </w:rPr>
              <w:t>Description of our Common Stock</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0" w:type="dxa"/>
            <w:vAlign w:val="bottom"/>
            <w:gridSpan w:val="38"/>
          </w:tcPr>
          <w:p>
            <w:pPr>
              <w:spacing w:after="0"/>
              <w:rPr>
                <w:rFonts w:ascii="Arial" w:cs="Arial" w:eastAsia="Arial" w:hAnsi="Arial"/>
                <w:sz w:val="16"/>
                <w:szCs w:val="16"/>
                <w:color w:val="auto"/>
                <w:w w:val="98"/>
              </w:rPr>
            </w:pPr>
            <w:hyperlink r:id="rId147">
              <w:r>
                <w:rPr>
                  <w:rFonts w:ascii="Arial" w:cs="Arial" w:eastAsia="Arial" w:hAnsi="Arial"/>
                  <w:sz w:val="16"/>
                  <w:szCs w:val="16"/>
                  <w:color w:val="auto"/>
                  <w:w w:val="98"/>
                </w:rPr>
                <w:t xml:space="preserve">2016 Stock Incentive Plan and forms of award agreements </w:t>
              </w:r>
              <w:r>
                <w:rPr>
                  <w:rFonts w:ascii="Arial" w:cs="Arial" w:eastAsia="Arial" w:hAnsi="Arial"/>
                  <w:sz w:val="16"/>
                  <w:szCs w:val="16"/>
                  <w:color w:val="0000FF"/>
                  <w:w w:val="98"/>
                </w:rPr>
                <w:t>(incorporated by reference to Exhibit 10.1 of the Company’s Registration Statement on</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100" w:type="dxa"/>
            <w:vAlign w:val="bottom"/>
            <w:gridSpan w:val="11"/>
          </w:tcPr>
          <w:p>
            <w:pPr>
              <w:spacing w:after="0" w:line="152" w:lineRule="exact"/>
              <w:rPr>
                <w:rFonts w:ascii="Arial" w:cs="Arial" w:eastAsia="Arial" w:hAnsi="Arial"/>
                <w:sz w:val="16"/>
                <w:szCs w:val="16"/>
                <w:color w:val="0000FF"/>
              </w:rPr>
            </w:pPr>
            <w:hyperlink r:id="rId147">
              <w:r>
                <w:rPr>
                  <w:rFonts w:ascii="Arial" w:cs="Arial" w:eastAsia="Arial" w:hAnsi="Arial"/>
                  <w:sz w:val="16"/>
                  <w:szCs w:val="16"/>
                  <w:color w:val="0000FF"/>
                </w:rPr>
                <w:t>Form S-1 filed with the SEC on June 4, 2021)</w:t>
              </w:r>
              <w:r>
                <w:rPr>
                  <w:rFonts w:ascii="Arial" w:cs="Arial" w:eastAsia="Arial" w:hAnsi="Arial"/>
                  <w:sz w:val="16"/>
                  <w:szCs w:val="16"/>
                  <w:color w:val="000000"/>
                </w:rPr>
                <w:t>.</w:t>
              </w:r>
            </w:hyperlink>
          </w:p>
        </w:tc>
        <w:tc>
          <w:tcPr>
            <w:tcW w:w="4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gridSpan w:val="2"/>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rPr>
            </w:pPr>
            <w:hyperlink r:id="rId148">
              <w:r>
                <w:rPr>
                  <w:rFonts w:ascii="Arial" w:cs="Arial" w:eastAsia="Arial" w:hAnsi="Arial"/>
                  <w:sz w:val="16"/>
                  <w:szCs w:val="16"/>
                  <w:color w:val="auto"/>
                </w:rPr>
                <w:t xml:space="preserve">2021 Equity Incentive Plan and forms of award agreements </w:t>
              </w:r>
              <w:r>
                <w:rPr>
                  <w:rFonts w:ascii="Arial" w:cs="Arial" w:eastAsia="Arial" w:hAnsi="Arial"/>
                  <w:sz w:val="16"/>
                  <w:szCs w:val="16"/>
                  <w:color w:val="0000FF"/>
                </w:rPr>
                <w:t>(incorporated by reference to Exhibit 10.2 of Amendment No. 1 to the Company’s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0" w:type="dxa"/>
            <w:vAlign w:val="bottom"/>
            <w:gridSpan w:val="28"/>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Registration Statement on Form S-1 filed with the SEC on June 21, 2021)</w:t>
              </w:r>
              <w:r>
                <w:rPr>
                  <w:rFonts w:ascii="Arial" w:cs="Arial" w:eastAsia="Arial" w:hAnsi="Arial"/>
                  <w:sz w:val="16"/>
                  <w:szCs w:val="16"/>
                  <w:color w:val="000000"/>
                </w:rPr>
                <w:t>.</w:t>
              </w:r>
            </w:hyperlink>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w w:val="98"/>
              </w:rPr>
            </w:pPr>
            <w:hyperlink r:id="rId149">
              <w:r>
                <w:rPr>
                  <w:rFonts w:ascii="Arial" w:cs="Arial" w:eastAsia="Arial" w:hAnsi="Arial"/>
                  <w:sz w:val="16"/>
                  <w:szCs w:val="16"/>
                  <w:color w:val="auto"/>
                  <w:w w:val="98"/>
                </w:rPr>
                <w:t xml:space="preserve">2021 Employee Stock Purchase Plan </w:t>
              </w:r>
              <w:r>
                <w:rPr>
                  <w:rFonts w:ascii="Arial" w:cs="Arial" w:eastAsia="Arial" w:hAnsi="Arial"/>
                  <w:sz w:val="16"/>
                  <w:szCs w:val="16"/>
                  <w:color w:val="0000FF"/>
                  <w:w w:val="98"/>
                </w:rPr>
                <w:t>(incorporated by reference to Exhibit 10.3 of Amendment No. 1 to the Company’s Registration Statement on</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gridSpan w:val="5"/>
          </w:tcPr>
          <w:p>
            <w:pPr>
              <w:spacing w:after="0" w:line="152" w:lineRule="exact"/>
              <w:rPr>
                <w:rFonts w:ascii="Arial" w:cs="Arial" w:eastAsia="Arial" w:hAnsi="Arial"/>
                <w:sz w:val="16"/>
                <w:szCs w:val="16"/>
                <w:color w:val="0000FF"/>
                <w:w w:val="99"/>
              </w:rPr>
            </w:pPr>
            <w:hyperlink r:id="rId149">
              <w:r>
                <w:rPr>
                  <w:rFonts w:ascii="Arial" w:cs="Arial" w:eastAsia="Arial" w:hAnsi="Arial"/>
                  <w:sz w:val="16"/>
                  <w:szCs w:val="16"/>
                  <w:color w:val="0000FF"/>
                  <w:w w:val="99"/>
                </w:rPr>
                <w:t>Form S-1 filed with the SEC on June</w:t>
              </w:r>
            </w:hyperlink>
          </w:p>
        </w:tc>
        <w:tc>
          <w:tcPr>
            <w:tcW w:w="4260" w:type="dxa"/>
            <w:vAlign w:val="bottom"/>
            <w:tcBorders>
              <w:top w:val="single" w:sz="8" w:color="0000FF"/>
            </w:tcBorders>
            <w:gridSpan w:val="10"/>
          </w:tcPr>
          <w:p>
            <w:pPr>
              <w:jc w:val="right"/>
              <w:ind w:right="3600"/>
              <w:spacing w:after="0" w:line="152" w:lineRule="exact"/>
              <w:rPr>
                <w:rFonts w:ascii="Arial" w:cs="Arial" w:eastAsia="Arial" w:hAnsi="Arial"/>
                <w:sz w:val="16"/>
                <w:szCs w:val="16"/>
                <w:color w:val="0000FF"/>
                <w:w w:val="88"/>
              </w:rPr>
            </w:pPr>
            <w:hyperlink r:id="rId149">
              <w:r>
                <w:rPr>
                  <w:rFonts w:ascii="Arial" w:cs="Arial" w:eastAsia="Arial" w:hAnsi="Arial"/>
                  <w:sz w:val="16"/>
                  <w:szCs w:val="16"/>
                  <w:color w:val="0000FF"/>
                  <w:w w:val="88"/>
                </w:rPr>
                <w:t>21, 2021)</w:t>
              </w:r>
              <w:r>
                <w:rPr>
                  <w:rFonts w:ascii="Arial" w:cs="Arial" w:eastAsia="Arial" w:hAnsi="Arial"/>
                  <w:sz w:val="16"/>
                  <w:szCs w:val="16"/>
                  <w:color w:val="000000"/>
                  <w:w w:val="88"/>
                </w:rPr>
                <w:t>.</w:t>
              </w:r>
            </w:hyperlink>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gridSpan w:val="3"/>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rPr>
            </w:pPr>
            <w:hyperlink r:id="rId150">
              <w:r>
                <w:rPr>
                  <w:rFonts w:ascii="Arial" w:cs="Arial" w:eastAsia="Arial" w:hAnsi="Arial"/>
                  <w:sz w:val="16"/>
                  <w:szCs w:val="16"/>
                  <w:color w:val="auto"/>
                </w:rPr>
                <w:t xml:space="preserve">Form of Indemnification Agreement, by and between LegalZoom.com, Inc. and each of its directors and executive officers </w:t>
              </w:r>
              <w:r>
                <w:rPr>
                  <w:rFonts w:ascii="Arial" w:cs="Arial" w:eastAsia="Arial" w:hAnsi="Arial"/>
                  <w:sz w:val="16"/>
                  <w:szCs w:val="16"/>
                  <w:color w:val="0000FF"/>
                </w:rPr>
                <w:t>(incorporated by</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80" w:type="dxa"/>
            <w:vAlign w:val="bottom"/>
            <w:gridSpan w:val="20"/>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reference to Exhibit 10.4 of the Company’s Registration Statement on Form S-1 filed with the SEC on June 4, 2021)</w:t>
              </w:r>
              <w:r>
                <w:rPr>
                  <w:rFonts w:ascii="Arial" w:cs="Arial" w:eastAsia="Arial" w:hAnsi="Arial"/>
                  <w:sz w:val="16"/>
                  <w:szCs w:val="16"/>
                  <w:color w:val="000000"/>
                </w:rPr>
                <w:t>.</w:t>
              </w:r>
            </w:hyperlink>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80" w:type="dxa"/>
            <w:vAlign w:val="bottom"/>
            <w:gridSpan w:val="1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w w:val="98"/>
              </w:rPr>
            </w:pPr>
            <w:hyperlink r:id="rId151">
              <w:r>
                <w:rPr>
                  <w:rFonts w:ascii="Arial" w:cs="Arial" w:eastAsia="Arial" w:hAnsi="Arial"/>
                  <w:sz w:val="16"/>
                  <w:szCs w:val="16"/>
                  <w:color w:val="auto"/>
                  <w:w w:val="98"/>
                </w:rPr>
                <w:t xml:space="preserve">Amended and Restated Employment Agreement, by and between LegalZoom.com, Inc. and Dan Wernikoff, dated June 16, 2021 </w:t>
              </w:r>
              <w:r>
                <w:rPr>
                  <w:rFonts w:ascii="Arial" w:cs="Arial" w:eastAsia="Arial" w:hAnsi="Arial"/>
                  <w:sz w:val="16"/>
                  <w:szCs w:val="16"/>
                  <w:color w:val="0000FF"/>
                  <w:w w:val="98"/>
                </w:rPr>
                <w:t>(incorporated by</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0" w:type="dxa"/>
            <w:vAlign w:val="bottom"/>
            <w:gridSpan w:val="21"/>
          </w:tcPr>
          <w:p>
            <w:pPr>
              <w:spacing w:after="0" w:line="152" w:lineRule="exact"/>
              <w:rPr>
                <w:rFonts w:ascii="Arial" w:cs="Arial" w:eastAsia="Arial" w:hAnsi="Arial"/>
                <w:sz w:val="16"/>
                <w:szCs w:val="16"/>
                <w:color w:val="0000FF"/>
                <w:w w:val="99"/>
              </w:rPr>
            </w:pPr>
            <w:hyperlink r:id="rId151">
              <w:r>
                <w:rPr>
                  <w:rFonts w:ascii="Arial" w:cs="Arial" w:eastAsia="Arial" w:hAnsi="Arial"/>
                  <w:sz w:val="16"/>
                  <w:szCs w:val="16"/>
                  <w:color w:val="0000FF"/>
                  <w:w w:val="99"/>
                </w:rPr>
                <w:t>reference to Exhibit 10.5 of Amendment No. 1 to the Company’s Registration Statement on Form S-1 filed with the SEC on June</w:t>
              </w:r>
            </w:hyperlink>
          </w:p>
        </w:tc>
        <w:tc>
          <w:tcPr>
            <w:tcW w:w="820" w:type="dxa"/>
            <w:vAlign w:val="bottom"/>
            <w:tcBorders>
              <w:top w:val="single" w:sz="8" w:color="0000FF"/>
            </w:tcBorders>
            <w:gridSpan w:val="8"/>
          </w:tcPr>
          <w:p>
            <w:pPr>
              <w:jc w:val="right"/>
              <w:ind w:right="160"/>
              <w:spacing w:after="0" w:line="152" w:lineRule="exact"/>
              <w:rPr>
                <w:rFonts w:ascii="Arial" w:cs="Arial" w:eastAsia="Arial" w:hAnsi="Arial"/>
                <w:sz w:val="16"/>
                <w:szCs w:val="16"/>
                <w:color w:val="0000FF"/>
                <w:w w:val="88"/>
              </w:rPr>
            </w:pPr>
            <w:hyperlink r:id="rId151">
              <w:r>
                <w:rPr>
                  <w:rFonts w:ascii="Arial" w:cs="Arial" w:eastAsia="Arial" w:hAnsi="Arial"/>
                  <w:sz w:val="16"/>
                  <w:szCs w:val="16"/>
                  <w:color w:val="0000FF"/>
                  <w:w w:val="88"/>
                </w:rPr>
                <w:t>21, 2021)</w:t>
              </w:r>
              <w:r>
                <w:rPr>
                  <w:rFonts w:ascii="Arial" w:cs="Arial" w:eastAsia="Arial" w:hAnsi="Arial"/>
                  <w:sz w:val="16"/>
                  <w:szCs w:val="16"/>
                  <w:color w:val="000000"/>
                  <w:w w:val="88"/>
                </w:rPr>
                <w:t>.</w:t>
              </w:r>
            </w:hyperlink>
          </w:p>
        </w:tc>
        <w:tc>
          <w:tcPr>
            <w:tcW w:w="10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80" w:type="dxa"/>
            <w:vAlign w:val="bottom"/>
            <w:gridSpan w:val="1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rPr>
            </w:pPr>
            <w:hyperlink r:id="rId152">
              <w:r>
                <w:rPr>
                  <w:rFonts w:ascii="Arial" w:cs="Arial" w:eastAsia="Arial" w:hAnsi="Arial"/>
                  <w:sz w:val="16"/>
                  <w:szCs w:val="16"/>
                  <w:color w:val="auto"/>
                </w:rPr>
                <w:t xml:space="preserve">Amendment to Employment Agreement, by and between LegalZoom Inc. and Dan Wernikoff dated April 21, 2022 </w:t>
              </w:r>
              <w:r>
                <w:rPr>
                  <w:rFonts w:ascii="Arial" w:cs="Arial" w:eastAsia="Arial" w:hAnsi="Arial"/>
                  <w:sz w:val="16"/>
                  <w:szCs w:val="16"/>
                  <w:color w:val="0000FF"/>
                </w:rPr>
                <w:t>(incorporated by reference to</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900" w:type="dxa"/>
            <w:vAlign w:val="bottom"/>
            <w:gridSpan w:val="17"/>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Exhibit 10.3 to the Company’s Quarterly Report on Form 10-Q filed with the SEC on May 16, 2022)</w:t>
              </w:r>
              <w:r>
                <w:rPr>
                  <w:rFonts w:ascii="Arial" w:cs="Arial" w:eastAsia="Arial" w:hAnsi="Arial"/>
                  <w:sz w:val="16"/>
                  <w:szCs w:val="16"/>
                  <w:color w:val="000000"/>
                </w:rPr>
                <w:t>.</w:t>
              </w:r>
            </w:hyperlink>
          </w:p>
        </w:tc>
        <w:tc>
          <w:tcPr>
            <w:tcW w:w="48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0000FF"/>
            </w:tcBorders>
            <w:gridSpan w:val="3"/>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gridSpan w:val="5"/>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80" w:type="dxa"/>
            <w:vAlign w:val="bottom"/>
            <w:gridSpan w:val="1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rFonts w:ascii="Arial" w:cs="Arial" w:eastAsia="Arial" w:hAnsi="Arial"/>
                <w:sz w:val="16"/>
                <w:szCs w:val="16"/>
                <w:color w:val="auto"/>
                <w:w w:val="99"/>
              </w:rPr>
            </w:pPr>
            <w:hyperlink r:id="rId153">
              <w:r>
                <w:rPr>
                  <w:rFonts w:ascii="Arial" w:cs="Arial" w:eastAsia="Arial" w:hAnsi="Arial"/>
                  <w:sz w:val="16"/>
                  <w:szCs w:val="16"/>
                  <w:color w:val="auto"/>
                  <w:w w:val="99"/>
                </w:rPr>
                <w:t xml:space="preserve">Amended and Restated Employment Agreement, by and between LegalZoom.com, Inc. and Noel B. Watson, dated June 16, 2021 </w:t>
              </w:r>
              <w:r>
                <w:rPr>
                  <w:rFonts w:ascii="Arial" w:cs="Arial" w:eastAsia="Arial" w:hAnsi="Arial"/>
                  <w:sz w:val="16"/>
                  <w:szCs w:val="16"/>
                  <w:color w:val="0000FF"/>
                  <w:w w:val="99"/>
                </w:rPr>
                <w:t>(incorporated</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80" w:type="dxa"/>
            <w:vAlign w:val="bottom"/>
            <w:gridSpan w:val="22"/>
          </w:tcPr>
          <w:p>
            <w:pPr>
              <w:spacing w:after="0" w:line="152" w:lineRule="exact"/>
              <w:rPr>
                <w:rFonts w:ascii="Arial" w:cs="Arial" w:eastAsia="Arial" w:hAnsi="Arial"/>
                <w:sz w:val="16"/>
                <w:szCs w:val="16"/>
                <w:color w:val="0000FF"/>
                <w:w w:val="97"/>
              </w:rPr>
            </w:pPr>
            <w:hyperlink r:id="rId153">
              <w:r>
                <w:rPr>
                  <w:rFonts w:ascii="Arial" w:cs="Arial" w:eastAsia="Arial" w:hAnsi="Arial"/>
                  <w:sz w:val="16"/>
                  <w:szCs w:val="16"/>
                  <w:color w:val="0000FF"/>
                  <w:w w:val="97"/>
                </w:rPr>
                <w:t>by reference to Exhibit 10.7 of Amendment No. 1 to the Company’s Registration Statement on Form S-1 filed with the SEC on June</w:t>
              </w:r>
            </w:hyperlink>
          </w:p>
        </w:tc>
        <w:tc>
          <w:tcPr>
            <w:tcW w:w="940" w:type="dxa"/>
            <w:vAlign w:val="bottom"/>
            <w:tcBorders>
              <w:top w:val="single" w:sz="8" w:color="0000FF"/>
            </w:tcBorders>
            <w:gridSpan w:val="11"/>
          </w:tcPr>
          <w:p>
            <w:pPr>
              <w:jc w:val="right"/>
              <w:ind w:right="160"/>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21, 2021)</w:t>
              </w:r>
              <w:r>
                <w:rPr>
                  <w:rFonts w:ascii="Arial" w:cs="Arial" w:eastAsia="Arial" w:hAnsi="Arial"/>
                  <w:sz w:val="16"/>
                  <w:szCs w:val="16"/>
                  <w:color w:val="000000"/>
                </w:rPr>
                <w:t>.</w:t>
              </w:r>
            </w:hyperlink>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20" w:type="dxa"/>
            <w:vAlign w:val="bottom"/>
            <w:tcBorders>
              <w:top w:val="single" w:sz="8" w:color="0000FF"/>
            </w:tcBorders>
            <w:gridSpan w:val="29"/>
          </w:tcPr>
          <w:p>
            <w:pPr>
              <w:spacing w:after="0"/>
              <w:rPr>
                <w:rFonts w:ascii="Arial" w:cs="Arial" w:eastAsia="Arial" w:hAnsi="Arial"/>
                <w:sz w:val="16"/>
                <w:szCs w:val="16"/>
                <w:color w:val="auto"/>
              </w:rPr>
            </w:pPr>
            <w:hyperlink r:id="rId154">
              <w:r>
                <w:rPr>
                  <w:rFonts w:ascii="Arial" w:cs="Arial" w:eastAsia="Arial" w:hAnsi="Arial"/>
                  <w:sz w:val="16"/>
                  <w:szCs w:val="16"/>
                  <w:color w:val="auto"/>
                </w:rPr>
                <w:t xml:space="preserve">Amendment to Employment Agreement, by and between LegalZoom.com, Inc. and Noel Watson dated March 12, 2022 </w:t>
              </w:r>
              <w:r>
                <w:rPr>
                  <w:rFonts w:ascii="Arial" w:cs="Arial" w:eastAsia="Arial" w:hAnsi="Arial"/>
                  <w:sz w:val="16"/>
                  <w:szCs w:val="16"/>
                  <w:color w:val="0000FF"/>
                </w:rPr>
                <w:t>(incorporated by</w:t>
              </w:r>
            </w:hyperlink>
          </w:p>
        </w:tc>
        <w:tc>
          <w:tcPr>
            <w:tcW w:w="3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80" w:type="dxa"/>
            <w:vAlign w:val="bottom"/>
            <w:gridSpan w:val="19"/>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reference to Exhibit 10.9 to the Company’s Annual Report on Form 10-K filed with the SEC on March 24, 2022)</w:t>
              </w:r>
              <w:r>
                <w:rPr>
                  <w:rFonts w:ascii="Arial" w:cs="Arial" w:eastAsia="Arial" w:hAnsi="Arial"/>
                  <w:sz w:val="16"/>
                  <w:szCs w:val="16"/>
                  <w:color w:val="000000"/>
                </w:rPr>
                <w:t>.</w:t>
              </w:r>
            </w:hyperlink>
          </w:p>
        </w:tc>
        <w:tc>
          <w:tcPr>
            <w:tcW w:w="760" w:type="dxa"/>
            <w:vAlign w:val="bottom"/>
            <w:tcBorders>
              <w:top w:val="single" w:sz="8" w:color="0000FF"/>
            </w:tcBorders>
            <w:gridSpan w:val="4"/>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0" w:type="dxa"/>
            <w:vAlign w:val="bottom"/>
            <w:gridSpan w:val="10"/>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120" w:type="dxa"/>
            <w:vAlign w:val="bottom"/>
            <w:gridSpan w:val="1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8"/>
              </w:rPr>
              <w:t>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0" w:type="dxa"/>
            <w:vAlign w:val="bottom"/>
            <w:gridSpan w:val="38"/>
          </w:tcPr>
          <w:p>
            <w:pPr>
              <w:spacing w:after="0"/>
              <w:rPr>
                <w:sz w:val="20"/>
                <w:szCs w:val="20"/>
                <w:color w:val="auto"/>
              </w:rPr>
            </w:pPr>
            <w:r>
              <w:rPr>
                <w:rFonts w:ascii="Arial" w:cs="Arial" w:eastAsia="Arial" w:hAnsi="Arial"/>
                <w:sz w:val="16"/>
                <w:szCs w:val="16"/>
                <w:color w:val="auto"/>
              </w:rPr>
              <w:t>Amended and Restated Employment Agreement, by and between LegalZoom.com, Inc. and Shrisha Radhakrishna, dated June 16, 2021</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0" w:type="dxa"/>
            <w:vAlign w:val="bottom"/>
            <w:gridSpan w:val="38"/>
          </w:tcPr>
          <w:p>
            <w:pPr>
              <w:spacing w:after="0" w:line="170" w:lineRule="exact"/>
              <w:rPr>
                <w:rFonts w:ascii="Arial" w:cs="Arial" w:eastAsia="Arial" w:hAnsi="Arial"/>
                <w:sz w:val="16"/>
                <w:szCs w:val="16"/>
                <w:color w:val="auto"/>
                <w:w w:val="99"/>
              </w:rPr>
            </w:pPr>
            <w:hyperlink r:id="rId155">
              <w:r>
                <w:rPr>
                  <w:rFonts w:ascii="Arial" w:cs="Arial" w:eastAsia="Arial" w:hAnsi="Arial"/>
                  <w:sz w:val="16"/>
                  <w:szCs w:val="16"/>
                  <w:color w:val="auto"/>
                  <w:w w:val="99"/>
                </w:rPr>
                <w:t>(</w:t>
              </w:r>
              <w:r>
                <w:rPr>
                  <w:rFonts w:ascii="Arial" w:cs="Arial" w:eastAsia="Arial" w:hAnsi="Arial"/>
                  <w:sz w:val="16"/>
                  <w:szCs w:val="16"/>
                  <w:color w:val="0000FF"/>
                  <w:w w:val="99"/>
                </w:rPr>
                <w:t>incorporated by reference to Exhibit 10.6 of Amendment No. 1 to the Company’s Registration Statement on Form S-1 filed with the SEC on June</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ind w:left="20"/>
              <w:spacing w:after="0" w:line="165" w:lineRule="exact"/>
              <w:rPr>
                <w:rFonts w:ascii="Arial" w:cs="Arial" w:eastAsia="Arial" w:hAnsi="Arial"/>
                <w:sz w:val="16"/>
                <w:szCs w:val="16"/>
                <w:color w:val="0000FF"/>
              </w:rPr>
            </w:pPr>
            <w:hyperlink r:id="rId155">
              <w:r>
                <w:rPr>
                  <w:rFonts w:ascii="Arial" w:cs="Arial" w:eastAsia="Arial" w:hAnsi="Arial"/>
                  <w:sz w:val="16"/>
                  <w:szCs w:val="16"/>
                  <w:color w:val="0000FF"/>
                </w:rPr>
                <w:t>21, 2021</w:t>
              </w:r>
              <w:r>
                <w:rPr>
                  <w:rFonts w:ascii="Arial" w:cs="Arial" w:eastAsia="Arial" w:hAnsi="Arial"/>
                  <w:sz w:val="16"/>
                  <w:szCs w:val="16"/>
                  <w:color w:val="000000"/>
                </w:rPr>
                <w:t>).</w:t>
              </w:r>
            </w:hyperlink>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00" w:type="dxa"/>
            <w:vAlign w:val="bottom"/>
            <w:gridSpan w:val="17"/>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gridSpan w:val="3"/>
          </w:tcPr>
          <w:p>
            <w:pPr>
              <w:jc w:val="center"/>
              <w:spacing w:after="0"/>
              <w:rPr>
                <w:sz w:val="20"/>
                <w:szCs w:val="20"/>
                <w:color w:val="auto"/>
              </w:rPr>
            </w:pPr>
            <w:r>
              <w:rPr>
                <w:rFonts w:ascii="Arial" w:cs="Arial" w:eastAsia="Arial" w:hAnsi="Arial"/>
                <w:sz w:val="16"/>
                <w:szCs w:val="16"/>
                <w:color w:val="auto"/>
                <w:w w:val="97"/>
              </w:rPr>
              <w:t>10.10+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0" w:type="dxa"/>
            <w:vAlign w:val="bottom"/>
            <w:gridSpan w:val="38"/>
          </w:tcPr>
          <w:p>
            <w:pPr>
              <w:spacing w:after="0"/>
              <w:rPr>
                <w:rFonts w:ascii="Arial" w:cs="Arial" w:eastAsia="Arial" w:hAnsi="Arial"/>
                <w:sz w:val="16"/>
                <w:szCs w:val="16"/>
                <w:color w:val="auto"/>
                <w:w w:val="99"/>
              </w:rPr>
            </w:pPr>
            <w:hyperlink r:id="rId156">
              <w:r>
                <w:rPr>
                  <w:rFonts w:ascii="Arial" w:cs="Arial" w:eastAsia="Arial" w:hAnsi="Arial"/>
                  <w:sz w:val="16"/>
                  <w:szCs w:val="16"/>
                  <w:color w:val="auto"/>
                  <w:w w:val="99"/>
                </w:rPr>
                <w:t xml:space="preserve">Amendment to Employment Agreement, by and between LegalZoom.com, Inc. and Shrisha Radhakrishna, dated October 26, 2021 </w:t>
              </w:r>
              <w:r>
                <w:rPr>
                  <w:rFonts w:ascii="Arial" w:cs="Arial" w:eastAsia="Arial" w:hAnsi="Arial"/>
                  <w:sz w:val="16"/>
                  <w:szCs w:val="16"/>
                  <w:color w:val="0000FF"/>
                  <w:w w:val="99"/>
                </w:rPr>
                <w:t>(incorporated</w:t>
              </w:r>
            </w:hyperlink>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40" w:type="dxa"/>
            <w:vAlign w:val="bottom"/>
            <w:gridSpan w:val="23"/>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by reference to Exhibit 10.3 of the Company’s Quarterly Report on Form 10-Q filed with the SEC on November 10, 2021)</w:t>
              </w:r>
              <w:r>
                <w:rPr>
                  <w:rFonts w:ascii="Arial" w:cs="Arial" w:eastAsia="Arial" w:hAnsi="Arial"/>
                  <w:sz w:val="16"/>
                  <w:szCs w:val="16"/>
                  <w:color w:val="000000"/>
                </w:rPr>
                <w:t>.</w:t>
              </w:r>
            </w:hyperlink>
          </w:p>
        </w:tc>
        <w:tc>
          <w:tcPr>
            <w:tcW w:w="940" w:type="dxa"/>
            <w:vAlign w:val="bottom"/>
            <w:tcBorders>
              <w:top w:val="single" w:sz="8" w:color="0000FF"/>
            </w:tcBorders>
            <w:gridSpan w:val="11"/>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08" w:name="page109"/>
    <w:bookmarkEnd w:id="108"/>
    <w:p>
      <w:pPr>
        <w:ind w:left="1040" w:right="560" w:hanging="807"/>
        <w:spacing w:after="0" w:line="283" w:lineRule="auto"/>
        <w:tabs>
          <w:tab w:leader="none" w:pos="1020" w:val="left"/>
        </w:tabs>
        <w:rPr>
          <w:rFonts w:ascii="Arial" w:cs="Arial" w:eastAsia="Arial" w:hAnsi="Arial"/>
          <w:sz w:val="15"/>
          <w:szCs w:val="15"/>
          <w:color w:val="0000FF"/>
        </w:rPr>
      </w:pPr>
      <w:r>
        <w:rPr>
          <w:rFonts w:ascii="Arial" w:cs="Arial" w:eastAsia="Arial" w:hAnsi="Arial"/>
          <w:sz w:val="16"/>
          <w:szCs w:val="16"/>
          <w:color w:val="auto"/>
        </w:rPr>
        <w:t>10.11+</w:t>
      </w:r>
      <w:r>
        <w:rPr>
          <w:sz w:val="20"/>
          <w:szCs w:val="20"/>
          <w:color w:val="auto"/>
        </w:rPr>
        <w:tab/>
      </w:r>
      <w:r>
        <w:rPr>
          <w:rFonts w:ascii="Arial" w:cs="Arial" w:eastAsia="Arial" w:hAnsi="Arial"/>
          <w:sz w:val="15"/>
          <w:szCs w:val="15"/>
          <w:color w:val="auto"/>
        </w:rPr>
        <w:t xml:space="preserve">Second Amendment to Employment Agreement, by and between LegalZoom.com, Inc. and Shrisha Radhakrishna, dated March 11, 2022 </w:t>
      </w:r>
      <w:hyperlink r:id="rId158">
        <w:r>
          <w:rPr>
            <w:rFonts w:ascii="Arial" w:cs="Arial" w:eastAsia="Arial" w:hAnsi="Arial"/>
            <w:sz w:val="15"/>
            <w:szCs w:val="15"/>
            <w:u w:val="single" w:color="auto"/>
            <w:color w:val="0000FF"/>
          </w:rPr>
          <w:t>(incorporated by reference to Exhibit 10.10 to the Company’s Annual Report on Form 10-K filed with the SEC on March 24, 2022)</w:t>
        </w:r>
      </w:hyperlink>
      <w:r>
        <w:rPr>
          <w:rFonts w:ascii="Arial" w:cs="Arial" w:eastAsia="Arial" w:hAnsi="Arial"/>
          <w:sz w:val="15"/>
          <w:szCs w:val="15"/>
          <w:color w:val="000000"/>
        </w:rPr>
        <w:t>.</w:t>
      </w:r>
    </w:p>
    <w:p>
      <w:pPr>
        <w:spacing w:after="0" w:line="1" w:lineRule="exact"/>
        <w:rPr>
          <w:sz w:val="20"/>
          <w:szCs w:val="20"/>
          <w:color w:val="auto"/>
        </w:rPr>
      </w:pPr>
    </w:p>
    <w:p>
      <w:pPr>
        <w:ind w:left="1040" w:right="100" w:hanging="813"/>
        <w:spacing w:after="0" w:line="253"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10.12+</w:t>
      </w:r>
      <w:r>
        <w:rPr>
          <w:sz w:val="20"/>
          <w:szCs w:val="20"/>
          <w:color w:val="auto"/>
        </w:rPr>
        <w:tab/>
      </w:r>
      <w:hyperlink r:id="rId159">
        <w:r>
          <w:rPr>
            <w:rFonts w:ascii="Arial" w:cs="Arial" w:eastAsia="Arial" w:hAnsi="Arial"/>
            <w:sz w:val="16"/>
            <w:szCs w:val="16"/>
            <w:color w:val="auto"/>
          </w:rPr>
          <w:t xml:space="preserve">Employment Agreement, by and between LegalZoom.com, Inc. and Rich Preece dated June 16, 2021 </w:t>
        </w:r>
        <w:r>
          <w:rPr>
            <w:rFonts w:ascii="Arial" w:cs="Arial" w:eastAsia="Arial" w:hAnsi="Arial"/>
            <w:sz w:val="16"/>
            <w:szCs w:val="16"/>
            <w:u w:val="single" w:color="auto"/>
            <w:color w:val="0000FF"/>
          </w:rPr>
          <w:t>(incorporated by reference to Exhibit 10.2</w:t>
        </w:r>
      </w:hyperlink>
      <w:r>
        <w:rPr>
          <w:rFonts w:ascii="Arial" w:cs="Arial" w:eastAsia="Arial" w:hAnsi="Arial"/>
          <w:sz w:val="16"/>
          <w:szCs w:val="16"/>
          <w:color w:val="auto"/>
        </w:rPr>
        <w:t xml:space="preserve"> </w:t>
      </w:r>
      <w:hyperlink r:id="rId159">
        <w:r>
          <w:rPr>
            <w:rFonts w:ascii="Arial" w:cs="Arial" w:eastAsia="Arial" w:hAnsi="Arial"/>
            <w:sz w:val="16"/>
            <w:szCs w:val="16"/>
            <w:u w:val="single" w:color="auto"/>
            <w:color w:val="0000FF"/>
          </w:rPr>
          <w:t>to the Company’s Quarterly Report on Form 10-Q filed with the SEC on August 11, 2022)</w:t>
        </w:r>
        <w:r>
          <w:rPr>
            <w:rFonts w:ascii="Arial" w:cs="Arial" w:eastAsia="Arial" w:hAnsi="Arial"/>
            <w:sz w:val="16"/>
            <w:szCs w:val="16"/>
            <w:color w:val="000000"/>
          </w:rPr>
          <w:t>.</w:t>
        </w:r>
      </w:hyperlink>
    </w:p>
    <w:p>
      <w:pPr>
        <w:spacing w:after="0" w:line="20" w:lineRule="exact"/>
        <w:rPr>
          <w:sz w:val="20"/>
          <w:szCs w:val="20"/>
          <w:color w:val="auto"/>
        </w:rPr>
      </w:pPr>
    </w:p>
    <w:p>
      <w:pPr>
        <w:ind w:left="1040" w:right="560" w:hanging="813"/>
        <w:spacing w:after="0" w:line="253"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10.13+</w:t>
      </w:r>
      <w:r>
        <w:rPr>
          <w:sz w:val="20"/>
          <w:szCs w:val="20"/>
          <w:color w:val="auto"/>
        </w:rPr>
        <w:tab/>
      </w:r>
      <w:hyperlink r:id="rId160">
        <w:r>
          <w:rPr>
            <w:rFonts w:ascii="Arial" w:cs="Arial" w:eastAsia="Arial" w:hAnsi="Arial"/>
            <w:sz w:val="16"/>
            <w:szCs w:val="16"/>
            <w:color w:val="auto"/>
          </w:rPr>
          <w:t xml:space="preserve">Amendment to Employment Agreement, by and between LegalZoom.com, Inc. and Rich Preece dated October 27, 2021 </w:t>
        </w:r>
        <w:r>
          <w:rPr>
            <w:rFonts w:ascii="Arial" w:cs="Arial" w:eastAsia="Arial" w:hAnsi="Arial"/>
            <w:sz w:val="16"/>
            <w:szCs w:val="16"/>
            <w:u w:val="single" w:color="auto"/>
            <w:color w:val="0000FF"/>
          </w:rPr>
          <w:t>(incorporated by</w:t>
        </w:r>
      </w:hyperlink>
      <w:r>
        <w:rPr>
          <w:rFonts w:ascii="Arial" w:cs="Arial" w:eastAsia="Arial" w:hAnsi="Arial"/>
          <w:sz w:val="16"/>
          <w:szCs w:val="16"/>
          <w:color w:val="auto"/>
        </w:rPr>
        <w:t xml:space="preserve"> </w:t>
      </w:r>
      <w:hyperlink r:id="rId160">
        <w:r>
          <w:rPr>
            <w:rFonts w:ascii="Arial" w:cs="Arial" w:eastAsia="Arial" w:hAnsi="Arial"/>
            <w:sz w:val="16"/>
            <w:szCs w:val="16"/>
            <w:u w:val="single" w:color="auto"/>
            <w:color w:val="0000FF"/>
          </w:rPr>
          <w:t>reference to Exhibit 10.3 to the Company’s Quarterly Report on Form 10-Q filed with the SEC on August 11, 2022)</w:t>
        </w:r>
        <w:r>
          <w:rPr>
            <w:rFonts w:ascii="Arial" w:cs="Arial" w:eastAsia="Arial" w:hAnsi="Arial"/>
            <w:sz w:val="16"/>
            <w:szCs w:val="16"/>
            <w:color w:val="000000"/>
          </w:rPr>
          <w:t>.</w:t>
        </w:r>
      </w:hyperlink>
    </w:p>
    <w:p>
      <w:pPr>
        <w:spacing w:after="0" w:line="20" w:lineRule="exact"/>
        <w:rPr>
          <w:sz w:val="20"/>
          <w:szCs w:val="20"/>
          <w:color w:val="auto"/>
        </w:rPr>
      </w:pPr>
    </w:p>
    <w:p>
      <w:pPr>
        <w:ind w:left="1040" w:right="100" w:hanging="813"/>
        <w:spacing w:after="0" w:line="253"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10.14+</w:t>
      </w:r>
      <w:r>
        <w:rPr>
          <w:sz w:val="20"/>
          <w:szCs w:val="20"/>
          <w:color w:val="auto"/>
        </w:rPr>
        <w:tab/>
      </w:r>
      <w:hyperlink r:id="rId161">
        <w:r>
          <w:rPr>
            <w:rFonts w:ascii="Arial" w:cs="Arial" w:eastAsia="Arial" w:hAnsi="Arial"/>
            <w:sz w:val="16"/>
            <w:szCs w:val="16"/>
            <w:color w:val="auto"/>
          </w:rPr>
          <w:t xml:space="preserve">Second Amendment to Employment Agreement, by and between LegalZoom.com, Inc. and Rich Preece dated March 12, 2022 </w:t>
        </w:r>
        <w:r>
          <w:rPr>
            <w:rFonts w:ascii="Arial" w:cs="Arial" w:eastAsia="Arial" w:hAnsi="Arial"/>
            <w:sz w:val="16"/>
            <w:szCs w:val="16"/>
            <w:u w:val="single" w:color="auto"/>
            <w:color w:val="0000FF"/>
          </w:rPr>
          <w:t>(incorporated by</w:t>
        </w:r>
      </w:hyperlink>
      <w:r>
        <w:rPr>
          <w:rFonts w:ascii="Arial" w:cs="Arial" w:eastAsia="Arial" w:hAnsi="Arial"/>
          <w:sz w:val="16"/>
          <w:szCs w:val="16"/>
          <w:color w:val="auto"/>
        </w:rPr>
        <w:t xml:space="preserve"> </w:t>
      </w:r>
      <w:hyperlink r:id="rId161">
        <w:r>
          <w:rPr>
            <w:rFonts w:ascii="Arial" w:cs="Arial" w:eastAsia="Arial" w:hAnsi="Arial"/>
            <w:sz w:val="16"/>
            <w:szCs w:val="16"/>
            <w:u w:val="single" w:color="auto"/>
            <w:color w:val="0000FF"/>
          </w:rPr>
          <w:t>reference to Exhibit 10.4 to the Company’s Quarterly Report on Form 10-Q filed with the SEC on August 11, 2022)</w:t>
        </w:r>
        <w:r>
          <w:rPr>
            <w:rFonts w:ascii="Arial" w:cs="Arial" w:eastAsia="Arial" w:hAnsi="Arial"/>
            <w:sz w:val="16"/>
            <w:szCs w:val="16"/>
            <w:color w:val="000000"/>
          </w:rPr>
          <w:t>.</w:t>
        </w:r>
      </w:hyperlink>
    </w:p>
    <w:p>
      <w:pPr>
        <w:spacing w:after="0" w:line="20"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6"/>
          <w:szCs w:val="16"/>
          <w:u w:val="single" w:color="auto"/>
          <w:color w:val="0000FF"/>
        </w:rPr>
        <w:t>10.15</w:t>
      </w:r>
      <w:r>
        <w:rPr>
          <w:rFonts w:ascii="Arial" w:cs="Arial" w:eastAsia="Arial" w:hAnsi="Arial"/>
          <w:sz w:val="16"/>
          <w:szCs w:val="16"/>
          <w:color w:val="000000"/>
        </w:rPr>
        <w:t>*+</w:t>
      </w:r>
      <w:r>
        <w:rPr>
          <w:sz w:val="20"/>
          <w:szCs w:val="20"/>
          <w:color w:val="auto"/>
        </w:rPr>
        <w:tab/>
      </w:r>
      <w:r>
        <w:rPr>
          <w:rFonts w:ascii="Arial" w:cs="Arial" w:eastAsia="Arial" w:hAnsi="Arial"/>
          <w:sz w:val="15"/>
          <w:szCs w:val="15"/>
          <w:u w:val="single" w:color="auto"/>
          <w:color w:val="0000FF"/>
        </w:rPr>
        <w:t>Employment Agreement, by and between LegalZoom.com, Inc. and Nicole Miller dated June 16, 2021.</w:t>
      </w:r>
    </w:p>
    <w:p>
      <w:pPr>
        <w:spacing w:after="0" w:line="40" w:lineRule="exact"/>
        <w:rPr>
          <w:sz w:val="20"/>
          <w:szCs w:val="20"/>
          <w:color w:val="auto"/>
        </w:rPr>
      </w:pPr>
    </w:p>
    <w:p>
      <w:pPr>
        <w:ind w:left="1040" w:right="200" w:hanging="813"/>
        <w:spacing w:after="0" w:line="253" w:lineRule="auto"/>
        <w:tabs>
          <w:tab w:leader="none" w:pos="1020" w:val="left"/>
        </w:tabs>
        <w:rPr>
          <w:rFonts w:ascii="Arial" w:cs="Arial" w:eastAsia="Arial" w:hAnsi="Arial"/>
          <w:sz w:val="16"/>
          <w:szCs w:val="16"/>
          <w:color w:val="0000FF"/>
        </w:rPr>
      </w:pPr>
      <w:r>
        <w:rPr>
          <w:rFonts w:ascii="Arial" w:cs="Arial" w:eastAsia="Arial" w:hAnsi="Arial"/>
          <w:sz w:val="16"/>
          <w:szCs w:val="16"/>
          <w:color w:val="auto"/>
        </w:rPr>
        <w:t>10.16+</w:t>
      </w:r>
      <w:r>
        <w:rPr>
          <w:sz w:val="20"/>
          <w:szCs w:val="20"/>
          <w:color w:val="auto"/>
        </w:rPr>
        <w:tab/>
      </w:r>
      <w:hyperlink r:id="rId162">
        <w:r>
          <w:rPr>
            <w:rFonts w:ascii="Arial" w:cs="Arial" w:eastAsia="Arial" w:hAnsi="Arial"/>
            <w:sz w:val="16"/>
            <w:szCs w:val="16"/>
            <w:color w:val="auto"/>
          </w:rPr>
          <w:t xml:space="preserve">Non-Employee Director Compensation Policy </w:t>
        </w:r>
        <w:r>
          <w:rPr>
            <w:rFonts w:ascii="Arial" w:cs="Arial" w:eastAsia="Arial" w:hAnsi="Arial"/>
            <w:sz w:val="16"/>
            <w:szCs w:val="16"/>
            <w:u w:val="single" w:color="auto"/>
            <w:color w:val="0000FF"/>
          </w:rPr>
          <w:t>(incorporated by reference to Exhibit 10.1 of the Company’s Quarterly Report on Form 10-Q filed</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FF"/>
          </w:rPr>
          <w:t>with the SEC on November 10, 2022)</w:t>
        </w:r>
        <w:r>
          <w:rPr>
            <w:rFonts w:ascii="Arial" w:cs="Arial" w:eastAsia="Arial" w:hAnsi="Arial"/>
            <w:sz w:val="16"/>
            <w:szCs w:val="16"/>
            <w:color w:val="000000"/>
          </w:rPr>
          <w:t>.</w:t>
        </w:r>
      </w:hyperlink>
    </w:p>
    <w:p>
      <w:pPr>
        <w:spacing w:after="0" w:line="20" w:lineRule="exact"/>
        <w:rPr>
          <w:sz w:val="20"/>
          <w:szCs w:val="20"/>
          <w:color w:val="auto"/>
        </w:rPr>
      </w:pPr>
    </w:p>
    <w:p>
      <w:pPr>
        <w:jc w:val="right"/>
        <w:ind w:left="260" w:right="360"/>
        <w:spacing w:after="0" w:line="237" w:lineRule="auto"/>
        <w:rPr>
          <w:rFonts w:ascii="Arial" w:cs="Arial" w:eastAsia="Arial" w:hAnsi="Arial"/>
          <w:sz w:val="16"/>
          <w:szCs w:val="16"/>
          <w:color w:val="0000FF"/>
        </w:rPr>
      </w:pPr>
      <w:r>
        <w:rPr>
          <w:rFonts w:ascii="Arial" w:cs="Arial" w:eastAsia="Arial" w:hAnsi="Arial"/>
          <w:sz w:val="16"/>
          <w:szCs w:val="16"/>
          <w:color w:val="auto"/>
        </w:rPr>
        <w:t xml:space="preserve">10.17     </w:t>
      </w:r>
      <w:hyperlink r:id="rId163">
        <w:r>
          <w:rPr>
            <w:rFonts w:ascii="Arial" w:cs="Arial" w:eastAsia="Arial" w:hAnsi="Arial"/>
            <w:sz w:val="16"/>
            <w:szCs w:val="16"/>
            <w:color w:val="auto"/>
          </w:rPr>
          <w:t xml:space="preserve">Director Nomination Agreement, by and between LegalZoom.com, Inc. and certain of its stockholders dated June 18, 2021 </w:t>
        </w:r>
        <w:r>
          <w:rPr>
            <w:rFonts w:ascii="Arial" w:cs="Arial" w:eastAsia="Arial" w:hAnsi="Arial"/>
            <w:sz w:val="16"/>
            <w:szCs w:val="16"/>
            <w:u w:val="single" w:color="auto"/>
            <w:color w:val="0000FF"/>
          </w:rPr>
          <w:t>(incorporated by</w:t>
        </w:r>
      </w:hyperlink>
      <w:r>
        <w:rPr>
          <w:rFonts w:ascii="Arial" w:cs="Arial" w:eastAsia="Arial" w:hAnsi="Arial"/>
          <w:sz w:val="16"/>
          <w:szCs w:val="16"/>
          <w:color w:val="auto"/>
        </w:rPr>
        <w:t xml:space="preserve"> </w:t>
      </w:r>
      <w:hyperlink r:id="rId163">
        <w:r>
          <w:rPr>
            <w:rFonts w:ascii="Arial" w:cs="Arial" w:eastAsia="Arial" w:hAnsi="Arial"/>
            <w:sz w:val="16"/>
            <w:szCs w:val="16"/>
            <w:u w:val="single" w:color="auto"/>
            <w:color w:val="0000FF"/>
          </w:rPr>
          <w:t>reference to Exhibit 10.16 of Amendment No. 1 to the Company’s Registration Statement on Form S-1 filed with the SEC on June 21, 2021)</w:t>
        </w:r>
      </w:hyperlink>
      <w:r>
        <w:rPr>
          <w:rFonts w:ascii="Arial" w:cs="Arial" w:eastAsia="Arial" w:hAnsi="Arial"/>
          <w:sz w:val="16"/>
          <w:szCs w:val="16"/>
          <w:color w:val="000000"/>
        </w:rPr>
        <w:t>.</w:t>
      </w:r>
    </w:p>
    <w:p>
      <w:pPr>
        <w:spacing w:after="0" w:line="5" w:lineRule="exact"/>
        <w:rPr>
          <w:sz w:val="20"/>
          <w:szCs w:val="20"/>
          <w:color w:val="auto"/>
        </w:rPr>
      </w:pPr>
    </w:p>
    <w:p>
      <w:pPr>
        <w:ind w:left="1040" w:right="20" w:hanging="767"/>
        <w:spacing w:after="0" w:line="256" w:lineRule="auto"/>
        <w:tabs>
          <w:tab w:leader="none" w:pos="1020" w:val="left"/>
        </w:tabs>
        <w:rPr>
          <w:rFonts w:ascii="Arial" w:cs="Arial" w:eastAsia="Arial" w:hAnsi="Arial"/>
          <w:sz w:val="15"/>
          <w:szCs w:val="15"/>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5"/>
          <w:szCs w:val="15"/>
          <w:color w:val="auto"/>
        </w:rPr>
        <w:t xml:space="preserve">Amended and Restated Credit and Guaranty Agreement, by and between LegalZoom.com, Inc., the other parties thereto and JPMorgan Chase </w:t>
      </w:r>
      <w:hyperlink r:id="rId164">
        <w:r>
          <w:rPr>
            <w:rFonts w:ascii="Arial" w:cs="Arial" w:eastAsia="Arial" w:hAnsi="Arial"/>
            <w:sz w:val="15"/>
            <w:szCs w:val="15"/>
            <w:color w:val="auto"/>
          </w:rPr>
          <w:t xml:space="preserve">Bank N.A., as administrative agent, dated July 2, 2021 </w:t>
        </w:r>
        <w:r>
          <w:rPr>
            <w:rFonts w:ascii="Arial" w:cs="Arial" w:eastAsia="Arial" w:hAnsi="Arial"/>
            <w:sz w:val="15"/>
            <w:szCs w:val="15"/>
            <w:u w:val="single" w:color="auto"/>
            <w:color w:val="0000FF"/>
          </w:rPr>
          <w:t>(incorporated by reference to Exhibit 10.1 of the Company’s Quarterly Report on Form 10-</w:t>
        </w:r>
      </w:hyperlink>
    </w:p>
    <w:p>
      <w:pPr>
        <w:spacing w:after="0" w:line="1" w:lineRule="exact"/>
        <w:rPr>
          <w:sz w:val="20"/>
          <w:szCs w:val="20"/>
          <w:color w:val="auto"/>
        </w:rPr>
      </w:pPr>
    </w:p>
    <w:p>
      <w:pPr>
        <w:ind w:left="1040"/>
        <w:spacing w:after="0"/>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Q filed with the SEC on November 10, 2021).</w:t>
        </w:r>
      </w:hyperlink>
    </w:p>
    <w:p>
      <w:pPr>
        <w:spacing w:after="0" w:line="26"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6"/>
          <w:szCs w:val="16"/>
          <w:u w:val="single" w:color="auto"/>
          <w:color w:val="0000FF"/>
        </w:rPr>
        <w:t>21.1</w:t>
      </w:r>
      <w:r>
        <w:rPr>
          <w:rFonts w:ascii="Arial" w:cs="Arial" w:eastAsia="Arial" w:hAnsi="Arial"/>
          <w:sz w:val="16"/>
          <w:szCs w:val="16"/>
          <w:color w:val="000000"/>
        </w:rPr>
        <w:t>*</w:t>
      </w:r>
      <w:r>
        <w:rPr>
          <w:sz w:val="20"/>
          <w:szCs w:val="20"/>
          <w:color w:val="auto"/>
        </w:rPr>
        <w:tab/>
      </w:r>
      <w:r>
        <w:rPr>
          <w:rFonts w:ascii="Arial" w:cs="Arial" w:eastAsia="Arial" w:hAnsi="Arial"/>
          <w:sz w:val="15"/>
          <w:szCs w:val="15"/>
          <w:u w:val="single" w:color="auto"/>
          <w:color w:val="0000FF"/>
        </w:rPr>
        <w:t>Subsidiaries of LegalZoom.com, Inc.</w:t>
      </w:r>
    </w:p>
    <w:p>
      <w:pPr>
        <w:spacing w:after="0" w:line="27"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6"/>
          <w:szCs w:val="16"/>
          <w:u w:val="single" w:color="auto"/>
          <w:color w:val="0000FF"/>
        </w:rPr>
        <w:t>23.1</w:t>
      </w:r>
      <w:r>
        <w:rPr>
          <w:rFonts w:ascii="Arial" w:cs="Arial" w:eastAsia="Arial" w:hAnsi="Arial"/>
          <w:sz w:val="16"/>
          <w:szCs w:val="16"/>
          <w:color w:val="000000"/>
        </w:rPr>
        <w:t>*</w:t>
      </w:r>
      <w:r>
        <w:rPr>
          <w:sz w:val="20"/>
          <w:szCs w:val="20"/>
          <w:color w:val="auto"/>
        </w:rPr>
        <w:tab/>
      </w:r>
      <w:r>
        <w:rPr>
          <w:rFonts w:ascii="Arial" w:cs="Arial" w:eastAsia="Arial" w:hAnsi="Arial"/>
          <w:sz w:val="15"/>
          <w:szCs w:val="15"/>
          <w:u w:val="single" w:color="auto"/>
          <w:color w:val="0000FF"/>
        </w:rPr>
        <w:t>Consent of PricewaterhouseCoopers LLP, independent registered public accounting firm.</w:t>
      </w:r>
    </w:p>
    <w:p>
      <w:pPr>
        <w:spacing w:after="0" w:line="27"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6"/>
          <w:szCs w:val="16"/>
          <w:u w:val="single" w:color="auto"/>
          <w:color w:val="0000FF"/>
        </w:rPr>
        <w:t>31.1</w:t>
      </w:r>
      <w:r>
        <w:rPr>
          <w:rFonts w:ascii="Arial" w:cs="Arial" w:eastAsia="Arial" w:hAnsi="Arial"/>
          <w:sz w:val="16"/>
          <w:szCs w:val="16"/>
          <w:color w:val="000000"/>
        </w:rPr>
        <w:t>*</w:t>
      </w:r>
      <w:r>
        <w:rPr>
          <w:sz w:val="20"/>
          <w:szCs w:val="20"/>
          <w:color w:val="auto"/>
        </w:rPr>
        <w:tab/>
      </w:r>
      <w:r>
        <w:rPr>
          <w:rFonts w:ascii="Arial" w:cs="Arial" w:eastAsia="Arial" w:hAnsi="Arial"/>
          <w:sz w:val="15"/>
          <w:szCs w:val="15"/>
          <w:u w:val="single" w:color="auto"/>
          <w:color w:val="0000FF"/>
        </w:rPr>
        <w:t>Certification of Chief Executive Officer pursuant to Rule 13a-14(a)/15d-14(a)</w:t>
      </w:r>
      <w:r>
        <w:rPr>
          <w:rFonts w:ascii="Arial" w:cs="Arial" w:eastAsia="Arial" w:hAnsi="Arial"/>
          <w:sz w:val="15"/>
          <w:szCs w:val="15"/>
          <w:color w:val="000000"/>
        </w:rPr>
        <w:t>.</w:t>
      </w:r>
    </w:p>
    <w:p>
      <w:pPr>
        <w:spacing w:after="0" w:line="40"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6"/>
          <w:szCs w:val="16"/>
          <w:u w:val="single" w:color="auto"/>
          <w:color w:val="0000FF"/>
        </w:rPr>
        <w:t>31.2</w:t>
      </w:r>
      <w:r>
        <w:rPr>
          <w:rFonts w:ascii="Arial" w:cs="Arial" w:eastAsia="Arial" w:hAnsi="Arial"/>
          <w:sz w:val="16"/>
          <w:szCs w:val="16"/>
          <w:color w:val="000000"/>
        </w:rPr>
        <w:t>*</w:t>
      </w:r>
      <w:r>
        <w:rPr>
          <w:sz w:val="20"/>
          <w:szCs w:val="20"/>
          <w:color w:val="auto"/>
        </w:rPr>
        <w:tab/>
      </w:r>
      <w:r>
        <w:rPr>
          <w:rFonts w:ascii="Arial" w:cs="Arial" w:eastAsia="Arial" w:hAnsi="Arial"/>
          <w:sz w:val="15"/>
          <w:szCs w:val="15"/>
          <w:u w:val="single" w:color="auto"/>
          <w:color w:val="0000FF"/>
        </w:rPr>
        <w:t>Certification of Chief Financial Officer pursuant to Rule 13a-14(a)/15d-14(a)</w:t>
      </w:r>
      <w:r>
        <w:rPr>
          <w:rFonts w:ascii="Arial" w:cs="Arial" w:eastAsia="Arial" w:hAnsi="Arial"/>
          <w:sz w:val="15"/>
          <w:szCs w:val="15"/>
          <w:color w:val="000000"/>
        </w:rPr>
        <w:t>.</w:t>
      </w:r>
    </w:p>
    <w:p>
      <w:pPr>
        <w:spacing w:after="0" w:line="40"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6"/>
          <w:szCs w:val="16"/>
          <w:u w:val="single" w:color="auto"/>
          <w:color w:val="0000FF"/>
        </w:rPr>
        <w:t>32.1</w:t>
      </w:r>
      <w:r>
        <w:rPr>
          <w:rFonts w:ascii="Arial" w:cs="Arial" w:eastAsia="Arial" w:hAnsi="Arial"/>
          <w:sz w:val="16"/>
          <w:szCs w:val="16"/>
          <w:color w:val="000000"/>
        </w:rPr>
        <w:t>**</w:t>
      </w:r>
      <w:r>
        <w:rPr>
          <w:sz w:val="20"/>
          <w:szCs w:val="20"/>
          <w:color w:val="auto"/>
        </w:rPr>
        <w:tab/>
      </w:r>
      <w:r>
        <w:rPr>
          <w:rFonts w:ascii="Arial" w:cs="Arial" w:eastAsia="Arial" w:hAnsi="Arial"/>
          <w:sz w:val="15"/>
          <w:szCs w:val="15"/>
          <w:u w:val="single" w:color="auto"/>
          <w:color w:val="0000FF"/>
        </w:rPr>
        <w:t>Certification of Chief Executive Officer and Chief Financial Officer pursuant to Section 906 of the Sarbanes-Oxley Act of 2002</w:t>
      </w:r>
      <w:r>
        <w:rPr>
          <w:rFonts w:ascii="Arial" w:cs="Arial" w:eastAsia="Arial" w:hAnsi="Arial"/>
          <w:sz w:val="15"/>
          <w:szCs w:val="15"/>
          <w:color w:val="000000"/>
        </w:rPr>
        <w:t>.</w:t>
      </w:r>
    </w:p>
    <w:p>
      <w:pPr>
        <w:spacing w:after="0" w:line="40" w:lineRule="exact"/>
        <w:rPr>
          <w:sz w:val="20"/>
          <w:szCs w:val="20"/>
          <w:color w:val="auto"/>
        </w:rPr>
      </w:pPr>
    </w:p>
    <w:p>
      <w:pPr>
        <w:ind w:left="1040" w:hanging="706"/>
        <w:spacing w:after="0" w:line="239"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Annual Report on Form 10-K for the year ended December 31, 2022 were formatted in Inline XBRL: (i) Consolidated Balance Sheets, (ii) Consolidated Statements of Operations, (iii) Consolidated Statements of Comprehensive (Loss) Income, (iv) Consolidated Statement of Redeemable Convertible Preferred Stock and Stockholders’ Equity (Deficit), (v) Consolidated Statements of Cash Flows.</w:t>
      </w:r>
    </w:p>
    <w:p>
      <w:pPr>
        <w:spacing w:after="0" w:line="30"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14" w:lineRule="exact"/>
        <w:rPr>
          <w:sz w:val="20"/>
          <w:szCs w:val="20"/>
          <w:color w:val="auto"/>
        </w:rPr>
      </w:pPr>
    </w:p>
    <w:p>
      <w:pPr>
        <w:ind w:left="240" w:hanging="235"/>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rPr>
          <w:sz w:val="20"/>
          <w:szCs w:val="20"/>
          <w:color w:val="auto"/>
        </w:rPr>
      </w:pPr>
      <w:r>
        <w:rPr>
          <w:rFonts w:ascii="Arial" w:cs="Arial" w:eastAsia="Arial" w:hAnsi="Arial"/>
          <w:sz w:val="16"/>
          <w:szCs w:val="16"/>
          <w:color w:val="auto"/>
        </w:rPr>
        <w:t>** Furnished herewith.</w:t>
      </w:r>
    </w:p>
    <w:p>
      <w:pPr>
        <w:spacing w:after="0" w:line="9" w:lineRule="exact"/>
        <w:rPr>
          <w:sz w:val="20"/>
          <w:szCs w:val="20"/>
          <w:color w:val="auto"/>
        </w:rPr>
      </w:pPr>
    </w:p>
    <w:p>
      <w:pPr>
        <w:ind w:left="280" w:hanging="275"/>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9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 Financial Statement Schedules</w:t>
      </w:r>
    </w:p>
    <w:p>
      <w:pPr>
        <w:spacing w:after="0" w:line="119" w:lineRule="exact"/>
        <w:rPr>
          <w:sz w:val="20"/>
          <w:szCs w:val="20"/>
          <w:color w:val="auto"/>
        </w:rPr>
      </w:pPr>
    </w:p>
    <w:p>
      <w:pPr>
        <w:ind w:right="800" w:firstLine="395"/>
        <w:spacing w:after="0" w:line="270" w:lineRule="auto"/>
        <w:rPr>
          <w:sz w:val="20"/>
          <w:szCs w:val="20"/>
          <w:color w:val="auto"/>
        </w:rPr>
      </w:pPr>
      <w:r>
        <w:rPr>
          <w:rFonts w:ascii="Arial" w:cs="Arial" w:eastAsia="Arial" w:hAnsi="Arial"/>
          <w:sz w:val="16"/>
          <w:szCs w:val="16"/>
          <w:color w:val="auto"/>
        </w:rPr>
        <w:t>All financial statement schedules have been omitted because the information required to be set forth therein is not applicable or is shown in the consolidated financial statements or notes thereto.</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109" w:name="page110"/>
    <w:bookmarkEnd w:id="109"/>
    <w:p>
      <w:pPr>
        <w:jc w:val="center"/>
        <w:ind w:right="100"/>
        <w:spacing w:after="0"/>
        <w:rPr>
          <w:sz w:val="20"/>
          <w:szCs w:val="20"/>
          <w:color w:val="auto"/>
        </w:rPr>
      </w:pPr>
      <w:r>
        <w:rPr>
          <w:rFonts w:ascii="Arial" w:cs="Arial" w:eastAsia="Arial" w:hAnsi="Arial"/>
          <w:sz w:val="16"/>
          <w:szCs w:val="16"/>
          <w:b w:val="1"/>
          <w:bCs w:val="1"/>
          <w:color w:val="auto"/>
        </w:rPr>
        <w:t>SIGNATURES</w:t>
      </w:r>
    </w:p>
    <w:p>
      <w:pPr>
        <w:spacing w:after="0" w:line="108" w:lineRule="exact"/>
        <w:rPr>
          <w:sz w:val="20"/>
          <w:szCs w:val="20"/>
          <w:color w:val="auto"/>
        </w:rPr>
      </w:pPr>
    </w:p>
    <w:p>
      <w:pPr>
        <w:ind w:right="320" w:firstLine="395"/>
        <w:spacing w:after="0" w:line="287"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LegalZoom.Com, Inc.</w:t>
      </w:r>
    </w:p>
    <w:p>
      <w:pPr>
        <w:spacing w:after="0" w:line="186" w:lineRule="exact"/>
        <w:rPr>
          <w:sz w:val="20"/>
          <w:szCs w:val="20"/>
          <w:color w:val="auto"/>
        </w:rPr>
      </w:pPr>
    </w:p>
    <w:tbl>
      <w:tblPr>
        <w:tblLayout w:type="fixed"/>
        <w:tblInd w:w="6620" w:type="dxa"/>
        <w:tblCellMar>
          <w:top w:w="0" w:type="dxa"/>
          <w:left w:w="0" w:type="dxa"/>
          <w:bottom w:w="0" w:type="dxa"/>
          <w:right w:w="0" w:type="dxa"/>
        </w:tblCellMar>
      </w:tblPr>
      <w:tr>
        <w:trPr>
          <w:trHeight w:val="221"/>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 Wernikoff</w:t>
            </w:r>
          </w:p>
        </w:tc>
      </w:tr>
      <w:tr>
        <w:trPr>
          <w:trHeight w:val="202"/>
        </w:trPr>
        <w:tc>
          <w:tcPr>
            <w:tcW w:w="54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Dan Wernikoff</w:t>
            </w:r>
          </w:p>
        </w:tc>
      </w:tr>
      <w:tr>
        <w:trPr>
          <w:trHeight w:val="211"/>
        </w:trPr>
        <w:tc>
          <w:tcPr>
            <w:tcW w:w="5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317" w:lineRule="exact"/>
        <w:rPr>
          <w:sz w:val="20"/>
          <w:szCs w:val="20"/>
          <w:color w:val="auto"/>
        </w:rPr>
      </w:pPr>
    </w:p>
    <w:p>
      <w:pPr>
        <w:jc w:val="both"/>
        <w:ind w:right="100" w:firstLine="395"/>
        <w:spacing w:after="0" w:line="25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pacing w:after="0" w:line="97"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19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center"/>
              <w:ind w:right="1861"/>
              <w:spacing w:after="0"/>
              <w:rPr>
                <w:sz w:val="20"/>
                <w:szCs w:val="20"/>
                <w:color w:val="auto"/>
              </w:rPr>
            </w:pPr>
            <w:r>
              <w:rPr>
                <w:rFonts w:ascii="Arial" w:cs="Arial" w:eastAsia="Arial" w:hAnsi="Arial"/>
                <w:sz w:val="16"/>
                <w:szCs w:val="16"/>
                <w:b w:val="1"/>
                <w:bCs w:val="1"/>
                <w:color w:val="auto"/>
                <w:w w:val="97"/>
              </w:rPr>
              <w:t>Signature</w:t>
            </w:r>
          </w:p>
        </w:tc>
        <w:tc>
          <w:tcPr>
            <w:tcW w:w="10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b w:val="1"/>
                <w:bCs w:val="1"/>
                <w:color w:val="auto"/>
                <w:w w:val="97"/>
              </w:rPr>
              <w:t>Date</w:t>
            </w:r>
          </w:p>
        </w:tc>
      </w:tr>
      <w:tr>
        <w:trPr>
          <w:trHeight w:val="346"/>
        </w:trPr>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/s/</w:t>
            </w:r>
          </w:p>
        </w:tc>
        <w:tc>
          <w:tcPr>
            <w:tcW w:w="2780" w:type="dxa"/>
            <w:vAlign w:val="bottom"/>
            <w:tcBorders>
              <w:bottom w:val="single" w:sz="8" w:color="auto"/>
            </w:tcBorders>
          </w:tcPr>
          <w:p>
            <w:pPr>
              <w:jc w:val="center"/>
              <w:ind w:right="1561"/>
              <w:spacing w:after="0"/>
              <w:rPr>
                <w:sz w:val="20"/>
                <w:szCs w:val="20"/>
                <w:color w:val="auto"/>
              </w:rPr>
            </w:pPr>
            <w:r>
              <w:rPr>
                <w:rFonts w:ascii="Arial" w:cs="Arial" w:eastAsia="Arial" w:hAnsi="Arial"/>
                <w:sz w:val="16"/>
                <w:szCs w:val="16"/>
                <w:color w:val="auto"/>
                <w:w w:val="96"/>
              </w:rPr>
              <w:t>Dan Wernikoff</w:t>
            </w:r>
          </w:p>
        </w:tc>
        <w:tc>
          <w:tcPr>
            <w:tcW w:w="100" w:type="dxa"/>
            <w:vAlign w:val="bottom"/>
          </w:tcPr>
          <w:p>
            <w:pPr>
              <w:spacing w:after="0"/>
              <w:rPr>
                <w:sz w:val="24"/>
                <w:szCs w:val="24"/>
                <w:color w:val="auto"/>
              </w:rPr>
            </w:pPr>
          </w:p>
        </w:tc>
        <w:tc>
          <w:tcPr>
            <w:tcW w:w="44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Chief Executive Officer and 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4"/>
        </w:trPr>
        <w:tc>
          <w:tcPr>
            <w:tcW w:w="1940" w:type="dxa"/>
            <w:vAlign w:val="bottom"/>
          </w:tcPr>
          <w:p>
            <w:pPr>
              <w:spacing w:after="0"/>
              <w:rPr>
                <w:sz w:val="17"/>
                <w:szCs w:val="17"/>
                <w:color w:val="auto"/>
              </w:rPr>
            </w:pPr>
          </w:p>
        </w:tc>
        <w:tc>
          <w:tcPr>
            <w:tcW w:w="2780" w:type="dxa"/>
            <w:vAlign w:val="bottom"/>
          </w:tcPr>
          <w:p>
            <w:pPr>
              <w:jc w:val="center"/>
              <w:ind w:right="1541"/>
              <w:spacing w:after="0"/>
              <w:rPr>
                <w:sz w:val="20"/>
                <w:szCs w:val="20"/>
                <w:color w:val="auto"/>
              </w:rPr>
            </w:pPr>
            <w:r>
              <w:rPr>
                <w:rFonts w:ascii="Arial" w:cs="Arial" w:eastAsia="Arial" w:hAnsi="Arial"/>
                <w:sz w:val="16"/>
                <w:szCs w:val="16"/>
                <w:color w:val="auto"/>
                <w:w w:val="98"/>
              </w:rPr>
              <w:t>Dan Wernikoff</w:t>
            </w:r>
          </w:p>
        </w:tc>
        <w:tc>
          <w:tcPr>
            <w:tcW w:w="100" w:type="dxa"/>
            <w:vAlign w:val="bottom"/>
          </w:tcPr>
          <w:p>
            <w:pPr>
              <w:spacing w:after="0"/>
              <w:rPr>
                <w:sz w:val="17"/>
                <w:szCs w:val="17"/>
                <w:color w:val="auto"/>
              </w:rPr>
            </w:pPr>
          </w:p>
        </w:tc>
        <w:tc>
          <w:tcPr>
            <w:tcW w:w="44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98"/>
              </w:rPr>
              <w:t>(Principal Executive Officer)</w:t>
            </w:r>
          </w:p>
        </w:tc>
        <w:tc>
          <w:tcPr>
            <w:tcW w:w="1640" w:type="dxa"/>
            <w:vAlign w:val="bottom"/>
          </w:tcPr>
          <w:p>
            <w:pPr>
              <w:spacing w:after="0"/>
              <w:rPr>
                <w:sz w:val="17"/>
                <w:szCs w:val="17"/>
                <w:color w:val="auto"/>
              </w:rPr>
            </w:pPr>
          </w:p>
        </w:tc>
      </w:tr>
      <w:tr>
        <w:trPr>
          <w:trHeight w:val="355"/>
        </w:trPr>
        <w:tc>
          <w:tcPr>
            <w:tcW w:w="194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w w:val="94"/>
              </w:rPr>
              <w:t>/s/</w:t>
            </w:r>
          </w:p>
        </w:tc>
        <w:tc>
          <w:tcPr>
            <w:tcW w:w="2780" w:type="dxa"/>
            <w:vAlign w:val="bottom"/>
            <w:tcBorders>
              <w:bottom w:val="single" w:sz="8" w:color="auto"/>
            </w:tcBorders>
          </w:tcPr>
          <w:p>
            <w:pPr>
              <w:jc w:val="center"/>
              <w:ind w:right="1561"/>
              <w:spacing w:after="0"/>
              <w:rPr>
                <w:sz w:val="20"/>
                <w:szCs w:val="20"/>
                <w:color w:val="auto"/>
              </w:rPr>
            </w:pPr>
            <w:r>
              <w:rPr>
                <w:rFonts w:ascii="Arial" w:cs="Arial" w:eastAsia="Arial" w:hAnsi="Arial"/>
                <w:sz w:val="16"/>
                <w:szCs w:val="16"/>
                <w:color w:val="auto"/>
                <w:w w:val="98"/>
              </w:rPr>
              <w:t>Noel Watson</w:t>
            </w:r>
          </w:p>
        </w:tc>
        <w:tc>
          <w:tcPr>
            <w:tcW w:w="100" w:type="dxa"/>
            <w:vAlign w:val="bottom"/>
          </w:tcPr>
          <w:p>
            <w:pPr>
              <w:spacing w:after="0"/>
              <w:rPr>
                <w:sz w:val="24"/>
                <w:szCs w:val="24"/>
                <w:color w:val="auto"/>
              </w:rPr>
            </w:pPr>
          </w:p>
        </w:tc>
        <w:tc>
          <w:tcPr>
            <w:tcW w:w="44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Chief Financial Officer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4"/>
        </w:trPr>
        <w:tc>
          <w:tcPr>
            <w:tcW w:w="1940" w:type="dxa"/>
            <w:vAlign w:val="bottom"/>
          </w:tcPr>
          <w:p>
            <w:pPr>
              <w:spacing w:after="0"/>
              <w:rPr>
                <w:sz w:val="17"/>
                <w:szCs w:val="17"/>
                <w:color w:val="auto"/>
              </w:rPr>
            </w:pPr>
          </w:p>
        </w:tc>
        <w:tc>
          <w:tcPr>
            <w:tcW w:w="2780" w:type="dxa"/>
            <w:vAlign w:val="bottom"/>
          </w:tcPr>
          <w:p>
            <w:pPr>
              <w:jc w:val="center"/>
              <w:ind w:right="1561"/>
              <w:spacing w:after="0"/>
              <w:rPr>
                <w:sz w:val="20"/>
                <w:szCs w:val="20"/>
                <w:color w:val="auto"/>
              </w:rPr>
            </w:pPr>
            <w:r>
              <w:rPr>
                <w:rFonts w:ascii="Arial" w:cs="Arial" w:eastAsia="Arial" w:hAnsi="Arial"/>
                <w:sz w:val="16"/>
                <w:szCs w:val="16"/>
                <w:color w:val="auto"/>
                <w:w w:val="98"/>
              </w:rPr>
              <w:t>Noel Watson</w:t>
            </w:r>
          </w:p>
        </w:tc>
        <w:tc>
          <w:tcPr>
            <w:tcW w:w="100" w:type="dxa"/>
            <w:vAlign w:val="bottom"/>
          </w:tcPr>
          <w:p>
            <w:pPr>
              <w:spacing w:after="0"/>
              <w:rPr>
                <w:sz w:val="17"/>
                <w:szCs w:val="17"/>
                <w:color w:val="auto"/>
              </w:rPr>
            </w:pPr>
          </w:p>
        </w:tc>
        <w:tc>
          <w:tcPr>
            <w:tcW w:w="44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98"/>
              </w:rPr>
              <w:t>(Principal Financial and Accounting Officer)</w:t>
            </w:r>
          </w:p>
        </w:tc>
        <w:tc>
          <w:tcPr>
            <w:tcW w:w="1640" w:type="dxa"/>
            <w:vAlign w:val="bottom"/>
          </w:tcPr>
          <w:p>
            <w:pPr>
              <w:spacing w:after="0"/>
              <w:rPr>
                <w:sz w:val="17"/>
                <w:szCs w:val="17"/>
                <w:color w:val="auto"/>
              </w:rPr>
            </w:pPr>
          </w:p>
        </w:tc>
      </w:tr>
      <w:tr>
        <w:trPr>
          <w:trHeight w:val="357"/>
        </w:trPr>
        <w:tc>
          <w:tcPr>
            <w:tcW w:w="194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w w:val="94"/>
              </w:rPr>
              <w:t>/s/</w:t>
            </w:r>
          </w:p>
        </w:tc>
        <w:tc>
          <w:tcPr>
            <w:tcW w:w="2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Dipanjan Deb</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4720" w:type="dxa"/>
            <w:vAlign w:val="bottom"/>
            <w:gridSpan w:val="2"/>
          </w:tcPr>
          <w:p>
            <w:pPr>
              <w:jc w:val="center"/>
              <w:spacing w:after="0"/>
              <w:rPr>
                <w:sz w:val="20"/>
                <w:szCs w:val="20"/>
                <w:color w:val="auto"/>
              </w:rPr>
            </w:pPr>
            <w:r>
              <w:rPr>
                <w:rFonts w:ascii="Arial" w:cs="Arial" w:eastAsia="Arial" w:hAnsi="Arial"/>
                <w:sz w:val="16"/>
                <w:szCs w:val="16"/>
                <w:color w:val="auto"/>
                <w:w w:val="98"/>
              </w:rPr>
              <w:t>Dipanjan Deb</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/s/ Elizabeth Hamren</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4720" w:type="dxa"/>
            <w:vAlign w:val="bottom"/>
            <w:gridSpan w:val="2"/>
          </w:tcPr>
          <w:p>
            <w:pPr>
              <w:jc w:val="center"/>
              <w:spacing w:after="0"/>
              <w:rPr>
                <w:sz w:val="20"/>
                <w:szCs w:val="20"/>
                <w:color w:val="auto"/>
              </w:rPr>
            </w:pPr>
            <w:r>
              <w:rPr>
                <w:rFonts w:ascii="Arial" w:cs="Arial" w:eastAsia="Arial" w:hAnsi="Arial"/>
                <w:sz w:val="16"/>
                <w:szCs w:val="16"/>
                <w:color w:val="auto"/>
                <w:w w:val="97"/>
              </w:rPr>
              <w:t>Elizabeth Hamren</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/s/ John Murphy</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4720" w:type="dxa"/>
            <w:vAlign w:val="bottom"/>
            <w:gridSpan w:val="2"/>
          </w:tcPr>
          <w:p>
            <w:pPr>
              <w:jc w:val="center"/>
              <w:spacing w:after="0"/>
              <w:rPr>
                <w:sz w:val="20"/>
                <w:szCs w:val="20"/>
                <w:color w:val="auto"/>
              </w:rPr>
            </w:pPr>
            <w:r>
              <w:rPr>
                <w:rFonts w:ascii="Arial" w:cs="Arial" w:eastAsia="Arial" w:hAnsi="Arial"/>
                <w:sz w:val="16"/>
                <w:szCs w:val="16"/>
                <w:color w:val="auto"/>
                <w:w w:val="99"/>
              </w:rPr>
              <w:t>John Murphy</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/s/ Dipan Patel</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1940" w:type="dxa"/>
            <w:vAlign w:val="bottom"/>
          </w:tcPr>
          <w:p>
            <w:pPr>
              <w:spacing w:after="0"/>
              <w:rPr>
                <w:sz w:val="17"/>
                <w:szCs w:val="17"/>
                <w:color w:val="auto"/>
              </w:rPr>
            </w:pPr>
          </w:p>
        </w:tc>
        <w:tc>
          <w:tcPr>
            <w:tcW w:w="2780" w:type="dxa"/>
            <w:vAlign w:val="bottom"/>
          </w:tcPr>
          <w:p>
            <w:pPr>
              <w:jc w:val="center"/>
              <w:ind w:right="1841"/>
              <w:spacing w:after="0"/>
              <w:rPr>
                <w:sz w:val="20"/>
                <w:szCs w:val="20"/>
                <w:color w:val="auto"/>
              </w:rPr>
            </w:pPr>
            <w:r>
              <w:rPr>
                <w:rFonts w:ascii="Arial" w:cs="Arial" w:eastAsia="Arial" w:hAnsi="Arial"/>
                <w:sz w:val="16"/>
                <w:szCs w:val="16"/>
                <w:color w:val="auto"/>
                <w:w w:val="99"/>
              </w:rPr>
              <w:t>Dipan Patel</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/s/ Brian Ruder</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1940" w:type="dxa"/>
            <w:vAlign w:val="bottom"/>
          </w:tcPr>
          <w:p>
            <w:pPr>
              <w:spacing w:after="0"/>
              <w:rPr>
                <w:sz w:val="17"/>
                <w:szCs w:val="17"/>
                <w:color w:val="auto"/>
              </w:rPr>
            </w:pPr>
          </w:p>
        </w:tc>
        <w:tc>
          <w:tcPr>
            <w:tcW w:w="2780" w:type="dxa"/>
            <w:vAlign w:val="bottom"/>
          </w:tcPr>
          <w:p>
            <w:pPr>
              <w:jc w:val="center"/>
              <w:ind w:right="1861"/>
              <w:spacing w:after="0"/>
              <w:rPr>
                <w:sz w:val="20"/>
                <w:szCs w:val="20"/>
                <w:color w:val="auto"/>
              </w:rPr>
            </w:pPr>
            <w:r>
              <w:rPr>
                <w:rFonts w:ascii="Arial" w:cs="Arial" w:eastAsia="Arial" w:hAnsi="Arial"/>
                <w:sz w:val="16"/>
                <w:szCs w:val="16"/>
                <w:color w:val="auto"/>
                <w:w w:val="98"/>
              </w:rPr>
              <w:t>Brian Ruder</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/s/ Jeffrey Stibel</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4720" w:type="dxa"/>
            <w:vAlign w:val="bottom"/>
            <w:gridSpan w:val="2"/>
          </w:tcPr>
          <w:p>
            <w:pPr>
              <w:jc w:val="center"/>
              <w:spacing w:after="0"/>
              <w:rPr>
                <w:sz w:val="20"/>
                <w:szCs w:val="20"/>
                <w:color w:val="auto"/>
              </w:rPr>
            </w:pPr>
            <w:r>
              <w:rPr>
                <w:rFonts w:ascii="Arial" w:cs="Arial" w:eastAsia="Arial" w:hAnsi="Arial"/>
                <w:sz w:val="16"/>
                <w:szCs w:val="16"/>
                <w:color w:val="auto"/>
                <w:w w:val="99"/>
              </w:rPr>
              <w:t>Jeffrey Stibel</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/s/ Neil Tolaney</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1940" w:type="dxa"/>
            <w:vAlign w:val="bottom"/>
          </w:tcPr>
          <w:p>
            <w:pPr>
              <w:spacing w:after="0"/>
              <w:rPr>
                <w:sz w:val="17"/>
                <w:szCs w:val="17"/>
                <w:color w:val="auto"/>
              </w:rPr>
            </w:pPr>
          </w:p>
        </w:tc>
        <w:tc>
          <w:tcPr>
            <w:tcW w:w="2780" w:type="dxa"/>
            <w:vAlign w:val="bottom"/>
          </w:tcPr>
          <w:p>
            <w:pPr>
              <w:jc w:val="center"/>
              <w:ind w:right="1841"/>
              <w:spacing w:after="0"/>
              <w:rPr>
                <w:sz w:val="20"/>
                <w:szCs w:val="20"/>
                <w:color w:val="auto"/>
              </w:rPr>
            </w:pPr>
            <w:r>
              <w:rPr>
                <w:rFonts w:ascii="Arial" w:cs="Arial" w:eastAsia="Arial" w:hAnsi="Arial"/>
                <w:sz w:val="16"/>
                <w:szCs w:val="16"/>
                <w:color w:val="auto"/>
                <w:w w:val="96"/>
              </w:rPr>
              <w:t>Neil Tolaney</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/s/ Christine Wang</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4720" w:type="dxa"/>
            <w:vAlign w:val="bottom"/>
            <w:gridSpan w:val="2"/>
          </w:tcPr>
          <w:p>
            <w:pPr>
              <w:jc w:val="center"/>
              <w:spacing w:after="0"/>
              <w:rPr>
                <w:sz w:val="20"/>
                <w:szCs w:val="20"/>
                <w:color w:val="auto"/>
              </w:rPr>
            </w:pPr>
            <w:r>
              <w:rPr>
                <w:rFonts w:ascii="Arial" w:cs="Arial" w:eastAsia="Arial" w:hAnsi="Arial"/>
                <w:sz w:val="16"/>
                <w:szCs w:val="16"/>
                <w:color w:val="auto"/>
                <w:w w:val="98"/>
              </w:rPr>
              <w:t>Christine Wang</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57"/>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/s/ Sivan Whiteley</w:t>
            </w:r>
          </w:p>
        </w:tc>
        <w:tc>
          <w:tcPr>
            <w:tcW w:w="10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9"/>
              </w:rPr>
              <w:t>March 1, 2023</w:t>
            </w:r>
          </w:p>
        </w:tc>
      </w:tr>
      <w:tr>
        <w:trPr>
          <w:trHeight w:val="202"/>
        </w:trPr>
        <w:tc>
          <w:tcPr>
            <w:tcW w:w="4720" w:type="dxa"/>
            <w:vAlign w:val="bottom"/>
            <w:gridSpan w:val="2"/>
          </w:tcPr>
          <w:p>
            <w:pPr>
              <w:jc w:val="center"/>
              <w:spacing w:after="0"/>
              <w:rPr>
                <w:sz w:val="20"/>
                <w:szCs w:val="20"/>
                <w:color w:val="auto"/>
              </w:rPr>
            </w:pPr>
            <w:r>
              <w:rPr>
                <w:rFonts w:ascii="Arial" w:cs="Arial" w:eastAsia="Arial" w:hAnsi="Arial"/>
                <w:sz w:val="16"/>
                <w:szCs w:val="16"/>
                <w:color w:val="auto"/>
                <w:w w:val="98"/>
              </w:rPr>
              <w:t>Sivan Whiteley</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320" w:top="102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4.3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THE REGISTRANT’S SECURITIES</w:t>
      </w:r>
    </w:p>
    <w:p>
      <w:pPr>
        <w:jc w:val="center"/>
        <w:spacing w:after="0" w:line="205" w:lineRule="auto"/>
        <w:rPr>
          <w:sz w:val="20"/>
          <w:szCs w:val="20"/>
          <w:color w:val="auto"/>
        </w:rPr>
      </w:pPr>
      <w:r>
        <w:rPr>
          <w:rFonts w:ascii="Arial" w:cs="Arial" w:eastAsia="Arial" w:hAnsi="Arial"/>
          <w:sz w:val="16"/>
          <w:szCs w:val="16"/>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References to the “Company,” “we,” “us,” or “our” refer to LegalZoom.com, Inc.</w:t>
      </w:r>
    </w:p>
    <w:p>
      <w:pPr>
        <w:spacing w:after="0" w:line="211"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color w:val="auto"/>
        </w:rPr>
        <w:t>The following description of our common stock, $0.001 par value per share (“Common Stock”), is a summary and does not purport to be complete. It is subject to and qualified in its entirety by reference to our Amended and Restated Certificate of Incorporation (the “Certificate of Incorporation”) and our Amended and Restated Bylaws (the “Bylaws”), each of which is included as an exhibit to the Annual Report on Form 10-K of which this exhibit is a part. We encourage you to read the Certificate of Incorporation, the Bylaws and the applicable provisions of the Delaware General Corporation Law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Capitalization</w:t>
      </w:r>
    </w:p>
    <w:p>
      <w:pPr>
        <w:spacing w:after="0" w:line="213" w:lineRule="exact"/>
        <w:rPr>
          <w:sz w:val="20"/>
          <w:szCs w:val="20"/>
          <w:color w:val="auto"/>
        </w:rPr>
      </w:pPr>
    </w:p>
    <w:p>
      <w:pPr>
        <w:ind w:right="560"/>
        <w:spacing w:after="0" w:line="237" w:lineRule="auto"/>
        <w:rPr>
          <w:sz w:val="20"/>
          <w:szCs w:val="20"/>
          <w:color w:val="auto"/>
        </w:rPr>
      </w:pPr>
      <w:r>
        <w:rPr>
          <w:rFonts w:ascii="Arial" w:cs="Arial" w:eastAsia="Arial" w:hAnsi="Arial"/>
          <w:sz w:val="16"/>
          <w:szCs w:val="16"/>
          <w:color w:val="auto"/>
        </w:rPr>
        <w:t>Our authorized capital shares consist of 1,000,000,000 shares of Common Stock, and 100,000,000 shares of preferred stock, $0.001 par value per share (“Preferred Stock”). The outstanding shares of our Common Stock are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3"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 xml:space="preserve">Each outstanding share of our Common Stock entitles the holder thereof to one vote on each matter properly submitted to our stockholders for their vote; </w:t>
      </w:r>
      <w:r>
        <w:rPr>
          <w:rFonts w:ascii="Arial" w:cs="Arial" w:eastAsia="Arial" w:hAnsi="Arial"/>
          <w:sz w:val="15"/>
          <w:szCs w:val="15"/>
          <w:i w:val="1"/>
          <w:iCs w:val="1"/>
          <w:color w:val="auto"/>
        </w:rPr>
        <w:t>provided, however</w:t>
      </w:r>
      <w:r>
        <w:rPr>
          <w:rFonts w:ascii="Arial" w:cs="Arial" w:eastAsia="Arial" w:hAnsi="Arial"/>
          <w:sz w:val="15"/>
          <w:szCs w:val="15"/>
          <w:color w:val="auto"/>
        </w:rPr>
        <w:t>, that, except as otherwise required by applicable law, holders of Common Stock are not entitled to vote on any amendment to the Certificate</w:t>
      </w:r>
      <w:r>
        <w:rPr>
          <w:rFonts w:ascii="Arial" w:cs="Arial" w:eastAsia="Arial" w:hAnsi="Arial"/>
          <w:sz w:val="15"/>
          <w:szCs w:val="15"/>
          <w:i w:val="1"/>
          <w:iCs w:val="1"/>
          <w:color w:val="auto"/>
        </w:rPr>
        <w:t xml:space="preserve"> </w:t>
      </w:r>
      <w:r>
        <w:rPr>
          <w:rFonts w:ascii="Arial" w:cs="Arial" w:eastAsia="Arial" w:hAnsi="Arial"/>
          <w:sz w:val="15"/>
          <w:szCs w:val="15"/>
          <w:color w:val="auto"/>
        </w:rPr>
        <w:t>of Incorporation that relates solely to the terms of one or more outstanding series of Preferred Stock if the holders of such affected series are entitled to vote thereon pursuant to law or the Certificate of Incorporation. There is no provision for cumulative voting for matters to be voted on by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213"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189"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In the event of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and Preferences</w:t>
      </w:r>
    </w:p>
    <w:p>
      <w:pPr>
        <w:spacing w:after="0" w:line="213" w:lineRule="exact"/>
        <w:rPr>
          <w:sz w:val="20"/>
          <w:szCs w:val="20"/>
          <w:color w:val="auto"/>
        </w:rPr>
      </w:pPr>
    </w:p>
    <w:p>
      <w:pPr>
        <w:jc w:val="both"/>
        <w:ind w:right="220"/>
        <w:spacing w:after="0" w:line="227"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ectPr>
          <w:pgSz w:w="11900" w:h="16838" w:orient="portrait"/>
          <w:cols w:equalWidth="0" w:num="1">
            <w:col w:w="11240"/>
          </w:cols>
          <w:pgMar w:left="320" w:top="137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Anti-Takeover Provisions of Delaware Law and Our Organizational Documents</w:t>
      </w:r>
    </w:p>
    <w:p>
      <w:pPr>
        <w:spacing w:after="0" w:line="213" w:lineRule="exact"/>
        <w:rPr>
          <w:sz w:val="20"/>
          <w:szCs w:val="20"/>
          <w:color w:val="auto"/>
        </w:rPr>
      </w:pPr>
    </w:p>
    <w:p>
      <w:pPr>
        <w:ind w:right="100"/>
        <w:spacing w:after="0" w:line="213" w:lineRule="auto"/>
        <w:rPr>
          <w:sz w:val="20"/>
          <w:szCs w:val="20"/>
          <w:color w:val="auto"/>
        </w:rPr>
      </w:pPr>
      <w:r>
        <w:rPr>
          <w:rFonts w:ascii="Arial" w:cs="Arial" w:eastAsia="Arial" w:hAnsi="Arial"/>
          <w:sz w:val="16"/>
          <w:szCs w:val="16"/>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These provisions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Common Stock that could result from actual or rumored takeover attempts.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 of Directors</w:t>
      </w:r>
    </w:p>
    <w:p>
      <w:pPr>
        <w:spacing w:after="0" w:line="211" w:lineRule="exact"/>
        <w:rPr>
          <w:sz w:val="20"/>
          <w:szCs w:val="20"/>
          <w:color w:val="auto"/>
        </w:rPr>
      </w:pPr>
    </w:p>
    <w:p>
      <w:pPr>
        <w:ind w:right="520"/>
        <w:spacing w:after="0" w:line="237" w:lineRule="auto"/>
        <w:rPr>
          <w:sz w:val="20"/>
          <w:szCs w:val="20"/>
          <w:color w:val="auto"/>
        </w:rPr>
      </w:pPr>
      <w:r>
        <w:rPr>
          <w:rFonts w:ascii="Arial" w:cs="Arial" w:eastAsia="Arial" w:hAnsi="Arial"/>
          <w:sz w:val="16"/>
          <w:szCs w:val="16"/>
          <w:color w:val="auto"/>
        </w:rPr>
        <w:t>Our Board of Directors is divided into three classes with staggered three-year terms. Only one class of directors will be elected at each annual meeting of stockholders, with the other classes continuing for the remainder of their respective three-year terms.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211"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Our Certificate of Incorporation provides that, except for any director elected by the holders of any series of Preferred Stock, directors can be removed only for cause and only by the affirmative vote of the holders of at least 66 2/3% of the voting power of all the then-outstanding shares of our capital stock entitled to vote generally at an election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Supermajority Vote Provisions</w:t>
      </w:r>
    </w:p>
    <w:p>
      <w:pPr>
        <w:spacing w:after="0" w:line="211" w:lineRule="exact"/>
        <w:rPr>
          <w:sz w:val="20"/>
          <w:szCs w:val="20"/>
          <w:color w:val="auto"/>
        </w:rPr>
      </w:pPr>
    </w:p>
    <w:p>
      <w:pPr>
        <w:ind w:right="340"/>
        <w:spacing w:after="0" w:line="221" w:lineRule="auto"/>
        <w:rPr>
          <w:sz w:val="20"/>
          <w:szCs w:val="20"/>
          <w:color w:val="auto"/>
        </w:rPr>
      </w:pPr>
      <w:r>
        <w:rPr>
          <w:rFonts w:ascii="Arial" w:cs="Arial" w:eastAsia="Arial" w:hAnsi="Arial"/>
          <w:sz w:val="16"/>
          <w:szCs w:val="16"/>
          <w:color w:val="auto"/>
        </w:rPr>
        <w:t>The affirmative vote of holders of at least 66 2/3% of the voting power of all of the then-outstanding shares of our capital stock, voting as a single class, is required to amend certain provisions of our Certificate of Incorporation, including provisions relating to amending our amended and restated bylaws, the classified Board of Directors, the size of our Board of Directors, removal of directors, director liability, vacancies on our Board of Directors, special meetings, stockholder notices, actions by written consent and exclusive forum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Inability of Stockholders to Act by Written Consent</w:t>
      </w:r>
    </w:p>
    <w:p>
      <w:pPr>
        <w:spacing w:after="0" w:line="21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Our Certificate of Incorporation and Bylaws require that any action to be taken by our stockholders must be effected at a duly called annual or special meeting of stockholders and not be taken by written consent or electronic transmission.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Inability of Stockholders to Call Special Meeting</w:t>
      </w:r>
    </w:p>
    <w:p>
      <w:pPr>
        <w:spacing w:after="0" w:line="211" w:lineRule="exact"/>
        <w:rPr>
          <w:sz w:val="20"/>
          <w:szCs w:val="20"/>
          <w:color w:val="auto"/>
        </w:rPr>
      </w:pPr>
    </w:p>
    <w:p>
      <w:pPr>
        <w:ind w:right="80"/>
        <w:spacing w:after="0" w:line="223" w:lineRule="auto"/>
        <w:rPr>
          <w:sz w:val="20"/>
          <w:szCs w:val="20"/>
          <w:color w:val="auto"/>
        </w:rPr>
      </w:pPr>
      <w:r>
        <w:rPr>
          <w:rFonts w:ascii="Arial" w:cs="Arial" w:eastAsia="Arial" w:hAnsi="Arial"/>
          <w:sz w:val="16"/>
          <w:szCs w:val="16"/>
          <w:color w:val="auto"/>
        </w:rPr>
        <w:t xml:space="preserve">Our Bylaws provide that a special meeting of stockholders may only be called by the chair of our Board of Directors, our Chief Executive Officer or by a majority of our Board of Directors. </w:t>
      </w:r>
      <w:r>
        <w:rPr>
          <w:rFonts w:ascii="Calibri" w:cs="Calibri" w:eastAsia="Calibri" w:hAnsi="Calibri"/>
          <w:sz w:val="17"/>
          <w:szCs w:val="17"/>
          <w:color w:val="auto"/>
        </w:rPr>
        <w:t>Stockholders are not permited to call a special meetng or require our Board of Directors to call a special meetng.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Black Check Preferred Stock</w:t>
      </w:r>
    </w:p>
    <w:p>
      <w:pPr>
        <w:spacing w:after="0" w:line="211"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Our Board of Directors may authorize the issuance of Preferred Stock with voting or conversion rights that could adversely affect the voting power or other rights of the holders of the Common Stock. The issuance of Preferred Stock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Advance Notice Procedure</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Our Bylaws provide that only those matters set forth in the notice of the special meeting may be considered or acted upon at a special meeting of stockholders.</w:t>
      </w:r>
    </w:p>
    <w:p>
      <w:pPr>
        <w:spacing w:after="0"/>
        <w:rPr>
          <w:sz w:val="20"/>
          <w:szCs w:val="20"/>
          <w:color w:val="auto"/>
        </w:rPr>
      </w:pPr>
      <w:r>
        <w:rPr>
          <w:rFonts w:ascii="Arial" w:cs="Arial" w:eastAsia="Arial" w:hAnsi="Arial"/>
          <w:sz w:val="16"/>
          <w:szCs w:val="16"/>
          <w:color w:val="auto"/>
        </w:rPr>
        <w:t>Our Bylaws also limit the business that may be conducted at an annual meeting of stockholders to those matters properly brought before the meeting.</w:t>
      </w:r>
    </w:p>
    <w:p>
      <w:pPr>
        <w:spacing w:after="0" w:line="197" w:lineRule="exact"/>
        <w:rPr>
          <w:sz w:val="20"/>
          <w:szCs w:val="20"/>
          <w:color w:val="auto"/>
        </w:rPr>
      </w:pPr>
    </w:p>
    <w:p>
      <w:pPr>
        <w:ind w:right="20"/>
        <w:spacing w:after="0" w:line="216" w:lineRule="auto"/>
        <w:rPr>
          <w:sz w:val="20"/>
          <w:szCs w:val="20"/>
          <w:color w:val="auto"/>
        </w:rPr>
      </w:pPr>
      <w:r>
        <w:rPr>
          <w:rFonts w:ascii="Arial" w:cs="Arial" w:eastAsia="Arial" w:hAnsi="Arial"/>
          <w:sz w:val="16"/>
          <w:szCs w:val="16"/>
          <w:color w:val="auto"/>
        </w:rPr>
        <w:t xml:space="preserve">Our Bylaws provide that stockholders seeking to make nominations of candidates for election as directors, or to bring other business before an annual or special meeting of the stockholders, must provide timely notice of their intent in writing. To be timely, a stockholder’s notice must be delivered to the Company no later than the close of business on the 90th day, nor earlier than the close of business on the 120th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30 days before or 30 days after such anniversary date, to be timely notice by the stockholder must be so delivered not earlier than the close of business on the 120th day prior to such annual meeting and not later than the close of business on the later of (i) the 90th day prior to such annual meeting or</w:t>
      </w:r>
    </w:p>
    <w:p>
      <w:pPr>
        <w:sectPr>
          <w:pgSz w:w="11900" w:h="16838" w:orient="portrait"/>
          <w:cols w:equalWidth="0" w:num="1">
            <w:col w:w="11200"/>
          </w:cols>
          <w:pgMar w:left="320" w:top="1375" w:right="379" w:bottom="1440" w:gutter="0" w:footer="0" w:header="0"/>
        </w:sectPr>
      </w:pPr>
    </w:p>
    <w:bookmarkStart w:id="112" w:name="page113"/>
    <w:bookmarkEnd w:id="112"/>
    <w:p>
      <w:pPr>
        <w:ind w:right="460" w:firstLine="5"/>
        <w:spacing w:after="0" w:line="227" w:lineRule="auto"/>
        <w:tabs>
          <w:tab w:leader="none" w:pos="2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10th day following the day on which public announcement of the date of the annual meeting is first made by us. Our Bylaws also specify certain requirements as to the form and content of a stockholder’s notice. These provisions may restrict the ability of our stockholders to bring business before our annual meeting of stockholders or to make nominations for directors at our annual meeting or any special meeting of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General Corporation Law Section 203</w:t>
      </w:r>
    </w:p>
    <w:p>
      <w:pPr>
        <w:spacing w:after="0" w:line="211"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We are subject to the anti-takeover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certain conditions are satisfied. Section 203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Exclusive Forum Provisions</w:t>
      </w:r>
    </w:p>
    <w:p>
      <w:pPr>
        <w:spacing w:after="0" w:line="211" w:lineRule="exact"/>
        <w:rPr>
          <w:sz w:val="20"/>
          <w:szCs w:val="20"/>
          <w:color w:val="auto"/>
        </w:rPr>
      </w:pPr>
    </w:p>
    <w:p>
      <w:pPr>
        <w:ind w:right="20"/>
        <w:spacing w:after="0" w:line="216" w:lineRule="auto"/>
        <w:rPr>
          <w:sz w:val="20"/>
          <w:szCs w:val="20"/>
          <w:color w:val="auto"/>
        </w:rPr>
      </w:pPr>
      <w:r>
        <w:rPr>
          <w:rFonts w:ascii="Arial" w:cs="Arial" w:eastAsia="Arial" w:hAnsi="Arial"/>
          <w:sz w:val="16"/>
          <w:szCs w:val="16"/>
          <w:color w:val="auto"/>
        </w:rPr>
        <w:t>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certain claims or causes of action under Delaware statutory or common law. This provision does not apply to claims or causes of action brought to enforce a duty or liability created by the Securities Act of 1933, as amended (the “Securities Act”), or the Securities Exchange Act of 1934, as amended (the “Exchange Act”), or any other claim for which the federal courts have exclusive jurisdiction.</w:t>
      </w:r>
    </w:p>
    <w:p>
      <w:pPr>
        <w:spacing w:after="0" w:line="191"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In addition,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including all causes of action asserted against any defendant named in such complaint. This provision does not apply to claims or causes of action brought to enforce a duty or liability created by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Listing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is traded on The Nasdaq Global Select Market under the trading symbol “LZ.”</w:t>
      </w:r>
    </w:p>
    <w:p>
      <w:pPr>
        <w:sectPr>
          <w:pgSz w:w="11900" w:h="16838" w:orient="portrait"/>
          <w:cols w:equalWidth="0" w:num="1">
            <w:col w:w="11240"/>
          </w:cols>
          <w:pgMar w:left="320" w:top="1377" w:right="3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Nicole Miller</w:t>
      </w:r>
    </w:p>
    <w:p>
      <w:pPr>
        <w:ind w:left="260"/>
        <w:spacing w:after="0"/>
        <w:rPr>
          <w:sz w:val="20"/>
          <w:szCs w:val="20"/>
          <w:color w:val="auto"/>
        </w:rPr>
      </w:pPr>
      <w:r>
        <w:rPr>
          <w:rFonts w:ascii="Times New Roman" w:cs="Times New Roman" w:eastAsia="Times New Roman" w:hAnsi="Times New Roman"/>
          <w:sz w:val="21"/>
          <w:szCs w:val="21"/>
          <w:i w:val="1"/>
          <w:iCs w:val="1"/>
          <w:color w:val="auto"/>
        </w:rPr>
        <w:t>delivered via email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Dear Nicole:</w:t>
      </w:r>
    </w:p>
    <w:p>
      <w:pPr>
        <w:spacing w:after="0" w:line="219" w:lineRule="exact"/>
        <w:rPr>
          <w:sz w:val="20"/>
          <w:szCs w:val="20"/>
          <w:color w:val="auto"/>
        </w:rPr>
      </w:pPr>
    </w:p>
    <w:p>
      <w:pPr>
        <w:jc w:val="both"/>
        <w:ind w:left="260" w:firstLine="631"/>
        <w:spacing w:after="0" w:line="225" w:lineRule="auto"/>
        <w:rPr>
          <w:sz w:val="20"/>
          <w:szCs w:val="20"/>
          <w:color w:val="auto"/>
        </w:rPr>
      </w:pPr>
      <w:r>
        <w:rPr>
          <w:rFonts w:ascii="Times New Roman" w:cs="Times New Roman" w:eastAsia="Times New Roman" w:hAnsi="Times New Roman"/>
          <w:sz w:val="21"/>
          <w:szCs w:val="21"/>
          <w:color w:val="auto"/>
        </w:rPr>
        <w:t>On behalf of LegalZoom.com,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 am pleased to provide you an offer of continuing employment with the Company in the position of Executive Vice-President and General Counsel pursuant to the terms and conditions set forth in this letter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All capitalized terms not otherwise defined shall have the definition and meaning provided in Section 17.</w:t>
      </w:r>
    </w:p>
    <w:p>
      <w:pPr>
        <w:spacing w:after="0" w:line="173" w:lineRule="exact"/>
        <w:rPr>
          <w:sz w:val="20"/>
          <w:szCs w:val="20"/>
          <w:color w:val="auto"/>
        </w:rPr>
      </w:pPr>
    </w:p>
    <w:p>
      <w:pPr>
        <w:jc w:val="both"/>
        <w:ind w:left="260" w:firstLine="3"/>
        <w:spacing w:after="0" w:line="214" w:lineRule="auto"/>
        <w:tabs>
          <w:tab w:leader="none" w:pos="58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Reporting</w:t>
      </w:r>
      <w:r>
        <w:rPr>
          <w:rFonts w:ascii="Times New Roman" w:cs="Times New Roman" w:eastAsia="Times New Roman" w:hAnsi="Times New Roman"/>
          <w:sz w:val="21"/>
          <w:szCs w:val="21"/>
          <w:color w:val="auto"/>
        </w:rPr>
        <w:t>. You shall report directly to the Company’s Chief Executive Officer (“</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You shall be a member of the Company’s senior management team and shall have such duties and responsibilities as shall be consistent with your position. You will also devote your full time, efforts, abilities, and energies, except for as permitted in Section 1(b) below and except for approved vacation periods and reasonable periods of illness or other incapacities permitted by the Company’s general employment policies, to promote the general welfare and interests of the Company and any related enterprises of the Company. You will loyally, conscientiously, and professionally do and perform all duties and responsibilities of your position, as well as any other duties and responsibilities as will be reasonably assigned to you by the Company and modified as the Company deems necessary and appropriate in light of the Company’s needs and interests from time to time, consistent with your position and this Agreement. You will strictly adhere to and obey all Company rules, policies, procedures, regulations and guidelines including, but not limited to, those contained in the Company’s employee handbook, as well as any others that the Company may establish. You will strictly adhere to all applicable state and/or federal laws and/or regulations relating to your employment with the Company.</w:t>
      </w:r>
    </w:p>
    <w:p>
      <w:pPr>
        <w:spacing w:after="0" w:line="179" w:lineRule="exact"/>
        <w:rPr>
          <w:rFonts w:ascii="Times New Roman" w:cs="Times New Roman" w:eastAsia="Times New Roman" w:hAnsi="Times New Roman"/>
          <w:sz w:val="21"/>
          <w:szCs w:val="21"/>
          <w:color w:val="auto"/>
        </w:rPr>
      </w:pPr>
    </w:p>
    <w:p>
      <w:pPr>
        <w:jc w:val="both"/>
        <w:ind w:left="260" w:firstLine="634"/>
        <w:spacing w:after="0" w:line="230" w:lineRule="auto"/>
        <w:tabs>
          <w:tab w:leader="none" w:pos="1216"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Conflicting Obligations</w:t>
      </w:r>
      <w:r>
        <w:rPr>
          <w:rFonts w:ascii="Times New Roman" w:cs="Times New Roman" w:eastAsia="Times New Roman" w:hAnsi="Times New Roman"/>
          <w:sz w:val="21"/>
          <w:szCs w:val="21"/>
          <w:color w:val="auto"/>
        </w:rPr>
        <w:t>. By signing this Agreement, you confirm to the Company that you have no contractual commitments or other legal obligations that would prohibit you from performing your duties for the Company or executing this Agreement.</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17" w:lineRule="auto"/>
        <w:tabs>
          <w:tab w:leader="none" w:pos="121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Outside Activities</w:t>
      </w:r>
      <w:r>
        <w:rPr>
          <w:rFonts w:ascii="Times New Roman" w:cs="Times New Roman" w:eastAsia="Times New Roman" w:hAnsi="Times New Roman"/>
          <w:sz w:val="21"/>
          <w:szCs w:val="21"/>
          <w:color w:val="auto"/>
        </w:rPr>
        <w:t>. You may (i) serve as a director or member of a committee or organization involving no actual or potential conflict of interest with the Company and its subsidiaries and affiliates; (ii) deliver lectures and fulfill speaking engagements; (iii) engage in charitable and community activities; and (iv) invest your personal assets in such form or manner that will not violate this Agreement; provided, however, that the activities described in clauses (i), (ii), (iii) and (iv) do not materially affect, interfere, or create an actual or potential conflict of interest with the performance of your duties and obligations to the Company, and further provided that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must provide its advance written consent with respect to the items referenced in clause (i) which consent the Board may provide or withhold in its discretion.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14" w:name="page115"/>
    <w:bookmarkEnd w:id="114"/>
    <w:p>
      <w:pPr>
        <w:ind w:left="900" w:hanging="637"/>
        <w:spacing w:after="0"/>
        <w:tabs>
          <w:tab w:leader="none" w:pos="9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left="260" w:firstLine="634"/>
        <w:spacing w:after="0" w:line="217" w:lineRule="auto"/>
        <w:tabs>
          <w:tab w:leader="none" w:pos="121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This Agreement and your employment under the terms hereunder shall take effect immediately prior to, and contingent upon, the effectiveness of the registration statement on Form S-1 filed with the Securities and Exchange Commission for the initial public offering of the Company’s common stock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Notwithstanding the foregoing, in the event you do not remain employed with the Company through the Effective Date or the Effective Date does not occur, this Agreement will have no effect, will not be binding on the Company (or any of its affiliates) or on you, and neither you nor the Company (or any of its affiliates) shall have rights or obligations hereunder. The period from the Effective Date until the termination of your employment under this Agreement is hereinafter referred to as “the term of this Agreement” or “the term hereof” or “the Term.”</w:t>
      </w:r>
    </w:p>
    <w:p>
      <w:pPr>
        <w:spacing w:after="0" w:line="174" w:lineRule="exact"/>
        <w:rPr>
          <w:rFonts w:ascii="Times New Roman" w:cs="Times New Roman" w:eastAsia="Times New Roman" w:hAnsi="Times New Roman"/>
          <w:sz w:val="21"/>
          <w:szCs w:val="21"/>
          <w:color w:val="auto"/>
        </w:rPr>
      </w:pPr>
    </w:p>
    <w:p>
      <w:pPr>
        <w:jc w:val="both"/>
        <w:ind w:left="260" w:right="20" w:firstLine="634"/>
        <w:spacing w:after="0" w:line="225" w:lineRule="auto"/>
        <w:tabs>
          <w:tab w:leader="none" w:pos="121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w:t>
      </w:r>
      <w:r>
        <w:rPr>
          <w:rFonts w:ascii="Times New Roman" w:cs="Times New Roman" w:eastAsia="Times New Roman" w:hAnsi="Times New Roman"/>
          <w:sz w:val="21"/>
          <w:szCs w:val="21"/>
          <w:color w:val="auto"/>
        </w:rPr>
        <w:t>. Upon termination of your employment for any reason, you shall be deemed to have immediately resigned from all positions as an employee, officer and/or director with the Company, and any of its affiliates, as of your last day of employment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This Agreement shall serve as notice of such resignations by you; provided, however, you agree to execute any documents that the Company may reasonably request evidencing such resignations.</w:t>
      </w:r>
    </w:p>
    <w:p>
      <w:pPr>
        <w:spacing w:after="0" w:line="173" w:lineRule="exact"/>
        <w:rPr>
          <w:rFonts w:ascii="Times New Roman" w:cs="Times New Roman" w:eastAsia="Times New Roman" w:hAnsi="Times New Roman"/>
          <w:sz w:val="21"/>
          <w:szCs w:val="21"/>
          <w:color w:val="auto"/>
        </w:rPr>
      </w:pPr>
    </w:p>
    <w:p>
      <w:pPr>
        <w:ind w:left="900" w:hanging="637"/>
        <w:spacing w:after="0"/>
        <w:tabs>
          <w:tab w:leader="none" w:pos="9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left="260" w:right="20" w:firstLine="634"/>
        <w:spacing w:after="0" w:line="230" w:lineRule="auto"/>
        <w:tabs>
          <w:tab w:leader="none" w:pos="121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As of the Effective Date, your base salary shall be $400,000 per year, less applicable withholdings and deductions, payable in accordance with the Company’s standard payroll procedures. The base salary as determined herein and adjusted from time to time shall constitute the “Base Salary” for purposes of this Agreement.</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18" w:lineRule="auto"/>
        <w:tabs>
          <w:tab w:leader="none" w:pos="121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Bonus</w:t>
      </w:r>
      <w:r>
        <w:rPr>
          <w:rFonts w:ascii="Times New Roman" w:cs="Times New Roman" w:eastAsia="Times New Roman" w:hAnsi="Times New Roman"/>
          <w:sz w:val="21"/>
          <w:szCs w:val="21"/>
          <w:color w:val="auto"/>
        </w:rPr>
        <w:t>. During each fiscal year of the Company during the Term, you will be eligible to earn a cash performance bonus (“</w:t>
      </w:r>
      <w:r>
        <w:rPr>
          <w:rFonts w:ascii="Times New Roman" w:cs="Times New Roman" w:eastAsia="Times New Roman" w:hAnsi="Times New Roman"/>
          <w:sz w:val="21"/>
          <w:szCs w:val="21"/>
          <w:u w:val="single" w:color="auto"/>
          <w:color w:val="auto"/>
        </w:rPr>
        <w:t>Performance Bonus</w:t>
      </w:r>
      <w:r>
        <w:rPr>
          <w:rFonts w:ascii="Times New Roman" w:cs="Times New Roman" w:eastAsia="Times New Roman" w:hAnsi="Times New Roman"/>
          <w:sz w:val="21"/>
          <w:szCs w:val="21"/>
          <w:color w:val="auto"/>
        </w:rPr>
        <w:t>”) with a target amount of 50% of your Base Salary for the applicable fiscal year of the Company. Your actual bonus for any fiscal year, if any, shall be based on the successful completion of the performance objectives that are prescribed and established by the Board (or its compensation committee), in consultation with the Company’s CEO. Except as set forth in Section 4(a), in order to earn and receive any Performance Bonus, you must remain employed by the Company through the date of each of the Performance Bonus payment(s) and the termination of your employment for any reason before such payment date means you will not receive such payment.</w:t>
      </w:r>
    </w:p>
    <w:p>
      <w:pPr>
        <w:spacing w:after="0" w:line="188" w:lineRule="exact"/>
        <w:rPr>
          <w:rFonts w:ascii="Times New Roman" w:cs="Times New Roman" w:eastAsia="Times New Roman" w:hAnsi="Times New Roman"/>
          <w:sz w:val="21"/>
          <w:szCs w:val="21"/>
          <w:color w:val="auto"/>
        </w:rPr>
      </w:pPr>
    </w:p>
    <w:p>
      <w:pPr>
        <w:jc w:val="both"/>
        <w:ind w:left="260" w:right="20" w:firstLine="634"/>
        <w:spacing w:after="0" w:line="225" w:lineRule="auto"/>
        <w:tabs>
          <w:tab w:leader="none" w:pos="121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Signing Bonus</w:t>
      </w:r>
      <w:r>
        <w:rPr>
          <w:rFonts w:ascii="Times New Roman" w:cs="Times New Roman" w:eastAsia="Times New Roman" w:hAnsi="Times New Roman"/>
          <w:sz w:val="21"/>
          <w:szCs w:val="21"/>
          <w:color w:val="auto"/>
        </w:rPr>
        <w:t>. You were previously paid a one-time signing bonus of $100,000, less all applicable deductions and withholdings. You acknowledge and agree that if your employment with the Company is terminated for Cause or you resign your employment without Good Reason, in either case on or prior to the one-year anniversary of your first day of employment with the Company, you will be responsible for repaying this amount in full.</w:t>
      </w:r>
    </w:p>
    <w:p>
      <w:pPr>
        <w:spacing w:after="0" w:line="173" w:lineRule="exact"/>
        <w:rPr>
          <w:rFonts w:ascii="Times New Roman" w:cs="Times New Roman" w:eastAsia="Times New Roman" w:hAnsi="Times New Roman"/>
          <w:sz w:val="21"/>
          <w:szCs w:val="21"/>
          <w:color w:val="auto"/>
        </w:rPr>
      </w:pPr>
    </w:p>
    <w:p>
      <w:pPr>
        <w:jc w:val="both"/>
        <w:ind w:left="260" w:right="20" w:firstLine="634"/>
        <w:spacing w:after="0" w:line="225" w:lineRule="auto"/>
        <w:tabs>
          <w:tab w:leader="none" w:pos="121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Company-Sponsored Benefits</w:t>
      </w:r>
      <w:r>
        <w:rPr>
          <w:rFonts w:ascii="Times New Roman" w:cs="Times New Roman" w:eastAsia="Times New Roman" w:hAnsi="Times New Roman"/>
          <w:sz w:val="21"/>
          <w:szCs w:val="21"/>
          <w:color w:val="auto"/>
        </w:rPr>
        <w:t>. As a member of the senior management team of the Company, you will also be eligible to receive all employee benefits pursuant to the Company’s standard benefit plans that the Company generally provides to the other members of the senior management team that may be in effect from time to time. These currently include, without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349" w:right="599" w:bottom="1440" w:gutter="0" w:footer="0" w:header="0"/>
        </w:sectPr>
      </w:pPr>
    </w:p>
    <w:bookmarkStart w:id="115" w:name="page116"/>
    <w:bookmarkEnd w:id="115"/>
    <w:p>
      <w:pPr>
        <w:spacing w:after="0" w:line="146" w:lineRule="exact"/>
        <w:rPr>
          <w:sz w:val="20"/>
          <w:szCs w:val="20"/>
          <w:color w:val="auto"/>
        </w:rPr>
      </w:pPr>
    </w:p>
    <w:p>
      <w:pPr>
        <w:ind w:left="260" w:right="60"/>
        <w:spacing w:after="0" w:line="243" w:lineRule="auto"/>
        <w:rPr>
          <w:sz w:val="20"/>
          <w:szCs w:val="20"/>
          <w:color w:val="auto"/>
        </w:rPr>
      </w:pPr>
      <w:r>
        <w:rPr>
          <w:rFonts w:ascii="Times New Roman" w:cs="Times New Roman" w:eastAsia="Times New Roman" w:hAnsi="Times New Roman"/>
          <w:sz w:val="21"/>
          <w:szCs w:val="21"/>
          <w:color w:val="auto"/>
        </w:rPr>
        <w:t>limitation, group health benefits, 401(k) retirement benefits, business expense reimbursements, PTO, sick time and Company paid holidays. The Company may, in its sole discretion and from time to time, amend or eliminate any of these benefits.</w:t>
      </w:r>
    </w:p>
    <w:p>
      <w:pPr>
        <w:spacing w:after="0" w:line="182" w:lineRule="exact"/>
        <w:rPr>
          <w:sz w:val="20"/>
          <w:szCs w:val="20"/>
          <w:color w:val="auto"/>
        </w:rPr>
      </w:pPr>
    </w:p>
    <w:p>
      <w:pPr>
        <w:jc w:val="both"/>
        <w:ind w:left="260" w:right="60" w:firstLine="634"/>
        <w:spacing w:after="0" w:line="230" w:lineRule="auto"/>
        <w:tabs>
          <w:tab w:leader="none" w:pos="121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You shall be entitled to indemnification for losses incurred in connection with your service as an officer or employee (including coverage under applicable insurance policies) on terms no less favorable than any other senior executive of the Company.</w:t>
      </w:r>
    </w:p>
    <w:p>
      <w:pPr>
        <w:spacing w:after="0" w:line="187" w:lineRule="exact"/>
        <w:rPr>
          <w:rFonts w:ascii="Times New Roman" w:cs="Times New Roman" w:eastAsia="Times New Roman" w:hAnsi="Times New Roman"/>
          <w:sz w:val="21"/>
          <w:szCs w:val="21"/>
          <w:color w:val="auto"/>
        </w:rPr>
      </w:pPr>
    </w:p>
    <w:p>
      <w:pPr>
        <w:ind w:left="1520" w:hanging="626"/>
        <w:spacing w:after="0"/>
        <w:tabs>
          <w:tab w:leader="none" w:pos="15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w:t>
      </w:r>
    </w:p>
    <w:p>
      <w:pPr>
        <w:spacing w:after="0" w:line="205" w:lineRule="exact"/>
        <w:rPr>
          <w:rFonts w:ascii="Times New Roman" w:cs="Times New Roman" w:eastAsia="Times New Roman" w:hAnsi="Times New Roman"/>
          <w:sz w:val="21"/>
          <w:szCs w:val="21"/>
          <w:color w:val="auto"/>
        </w:rPr>
      </w:pPr>
    </w:p>
    <w:p>
      <w:pPr>
        <w:jc w:val="both"/>
        <w:ind w:left="260" w:right="60" w:firstLine="1266"/>
        <w:spacing w:after="0" w:line="215" w:lineRule="auto"/>
        <w:tabs>
          <w:tab w:leader="none" w:pos="185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Time-Vested Options</w:t>
      </w:r>
      <w:r>
        <w:rPr>
          <w:rFonts w:ascii="Times New Roman" w:cs="Times New Roman" w:eastAsia="Times New Roman" w:hAnsi="Times New Roman"/>
          <w:sz w:val="21"/>
          <w:szCs w:val="21"/>
          <w:color w:val="auto"/>
        </w:rPr>
        <w:t>. You and the Company acknowledge and agree that on September 23, 2020, the Board granted you a stock option to purchase shares of the common stock of the Company (the “</w:t>
      </w:r>
      <w:r>
        <w:rPr>
          <w:rFonts w:ascii="Times New Roman" w:cs="Times New Roman" w:eastAsia="Times New Roman" w:hAnsi="Times New Roman"/>
          <w:sz w:val="21"/>
          <w:szCs w:val="21"/>
          <w:u w:val="single" w:color="auto"/>
          <w:color w:val="auto"/>
        </w:rPr>
        <w:t>Time-Vested Options</w:t>
      </w:r>
      <w:r>
        <w:rPr>
          <w:rFonts w:ascii="Times New Roman" w:cs="Times New Roman" w:eastAsia="Times New Roman" w:hAnsi="Times New Roman"/>
          <w:sz w:val="21"/>
          <w:szCs w:val="21"/>
          <w:color w:val="auto"/>
        </w:rPr>
        <w:t>”) under the Company’s 2016 Stock Incentive Plan, as amended (the “</w:t>
      </w:r>
      <w:r>
        <w:rPr>
          <w:rFonts w:ascii="Times New Roman" w:cs="Times New Roman" w:eastAsia="Times New Roman" w:hAnsi="Times New Roman"/>
          <w:sz w:val="21"/>
          <w:szCs w:val="21"/>
          <w:u w:val="single" w:color="auto"/>
          <w:color w:val="auto"/>
        </w:rPr>
        <w:t>2016 Plan</w:t>
      </w:r>
      <w:r>
        <w:rPr>
          <w:rFonts w:ascii="Times New Roman" w:cs="Times New Roman" w:eastAsia="Times New Roman" w:hAnsi="Times New Roman"/>
          <w:sz w:val="21"/>
          <w:szCs w:val="21"/>
          <w:color w:val="auto"/>
        </w:rPr>
        <w:t>”), and a stock option agreement thereunder (the “</w:t>
      </w:r>
      <w:r>
        <w:rPr>
          <w:rFonts w:ascii="Times New Roman" w:cs="Times New Roman" w:eastAsia="Times New Roman" w:hAnsi="Times New Roman"/>
          <w:sz w:val="21"/>
          <w:szCs w:val="21"/>
          <w:u w:val="single" w:color="auto"/>
          <w:color w:val="auto"/>
        </w:rPr>
        <w:t>Service-Based Option Agreement</w:t>
      </w:r>
      <w:r>
        <w:rPr>
          <w:rFonts w:ascii="Times New Roman" w:cs="Times New Roman" w:eastAsia="Times New Roman" w:hAnsi="Times New Roman"/>
          <w:sz w:val="21"/>
          <w:szCs w:val="21"/>
          <w:color w:val="auto"/>
        </w:rPr>
        <w:t>”), with a grant date value of $1,500,000 (calculated as set forth on Exhibit C). 25% of the Time-Vested Options shall vest on the first anniversary of June 15, 2020, with the remaining 75% vesting in equal quarterly installments over the three years thereafter. If during the twenty-four (24) month period following a Change in Control your employment is terminated without Cause by the Company or by you for Good Reason, then 100% of the Time-Vested Options shall be fully vested upon such termination. All vesting is subject to your continued employment with the Company through the applicable vesting date or event except as explicitly set forth herein. Except as described in this Section 3(f)(i), the Time-Vested Options reflect the Company’s standard terms and conditions for grants of equity compensation (including an exercise price at fair market value on the date of grant).</w:t>
      </w:r>
    </w:p>
    <w:p>
      <w:pPr>
        <w:spacing w:after="0" w:line="186" w:lineRule="exact"/>
        <w:rPr>
          <w:rFonts w:ascii="Times New Roman" w:cs="Times New Roman" w:eastAsia="Times New Roman" w:hAnsi="Times New Roman"/>
          <w:sz w:val="21"/>
          <w:szCs w:val="21"/>
          <w:color w:val="auto"/>
        </w:rPr>
      </w:pPr>
    </w:p>
    <w:p>
      <w:pPr>
        <w:jc w:val="both"/>
        <w:ind w:left="260" w:right="60" w:firstLine="1266"/>
        <w:spacing w:after="0" w:line="215" w:lineRule="auto"/>
        <w:tabs>
          <w:tab w:leader="none" w:pos="184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Performance-Vested Options</w:t>
      </w:r>
      <w:r>
        <w:rPr>
          <w:rFonts w:ascii="Times New Roman" w:cs="Times New Roman" w:eastAsia="Times New Roman" w:hAnsi="Times New Roman"/>
          <w:sz w:val="21"/>
          <w:szCs w:val="21"/>
          <w:color w:val="auto"/>
        </w:rPr>
        <w:t>. You and the Company acknowledge and agree that on September 23, 2020, the Board granted you a stock option to purchase shares of the common stock of the Company (the “</w:t>
      </w:r>
      <w:r>
        <w:rPr>
          <w:rFonts w:ascii="Times New Roman" w:cs="Times New Roman" w:eastAsia="Times New Roman" w:hAnsi="Times New Roman"/>
          <w:sz w:val="21"/>
          <w:szCs w:val="21"/>
          <w:u w:val="single" w:color="auto"/>
          <w:color w:val="auto"/>
        </w:rPr>
        <w:t>Performance-Vested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Options</w:t>
      </w:r>
      <w:r>
        <w:rPr>
          <w:rFonts w:ascii="Times New Roman" w:cs="Times New Roman" w:eastAsia="Times New Roman" w:hAnsi="Times New Roman"/>
          <w:sz w:val="21"/>
          <w:szCs w:val="21"/>
          <w:color w:val="auto"/>
        </w:rPr>
        <w:t>”) under the 2016 Plan and a stock option agreement thereunder (the “</w:t>
      </w:r>
      <w:r>
        <w:rPr>
          <w:rFonts w:ascii="Times New Roman" w:cs="Times New Roman" w:eastAsia="Times New Roman" w:hAnsi="Times New Roman"/>
          <w:sz w:val="21"/>
          <w:szCs w:val="21"/>
          <w:u w:val="single" w:color="auto"/>
          <w:color w:val="auto"/>
        </w:rPr>
        <w:t>Performance Option Agreement</w:t>
      </w:r>
      <w:r>
        <w:rPr>
          <w:rFonts w:ascii="Times New Roman" w:cs="Times New Roman" w:eastAsia="Times New Roman" w:hAnsi="Times New Roman"/>
          <w:sz w:val="21"/>
          <w:szCs w:val="21"/>
          <w:color w:val="auto"/>
        </w:rPr>
        <w:t>”) with a grant date value of $3,000,000 (calculated as set forth on Exhibit C). The Performance-Vested Options shall vest in accordance with the amended vesting schedule set forth in Section 3(f)(iii) below. All vesting is subject to your continued employment with the Company through the applicable vesting date or event. Except as described in this Section 3(f)(ii), the Performance-Vested Options reflect the Company’s standard terms and conditions for grants of equity compensation (including an exercise price at fair market value on the date of grant). For the avoidance of doubt, in the event of an extraordinary dividend, the Company shall make equitable adjustments to the Performance-Vested Options or provide equivalent cash payments to you (which may be subject to the same vesting schedule as applicable to the Performance-Vested Options) in lieu of adjustment.</w:t>
      </w:r>
    </w:p>
    <w:p>
      <w:pPr>
        <w:spacing w:after="0" w:line="192" w:lineRule="exact"/>
        <w:rPr>
          <w:rFonts w:ascii="Times New Roman" w:cs="Times New Roman" w:eastAsia="Times New Roman" w:hAnsi="Times New Roman"/>
          <w:sz w:val="21"/>
          <w:szCs w:val="21"/>
          <w:color w:val="auto"/>
        </w:rPr>
      </w:pPr>
    </w:p>
    <w:p>
      <w:pPr>
        <w:jc w:val="both"/>
        <w:ind w:left="260" w:right="60" w:firstLine="1266"/>
        <w:spacing w:after="0" w:line="230" w:lineRule="auto"/>
        <w:tabs>
          <w:tab w:leader="none" w:pos="185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Performance-Vested Options</w:t>
      </w:r>
      <w:r>
        <w:rPr>
          <w:rFonts w:ascii="Times New Roman" w:cs="Times New Roman" w:eastAsia="Times New Roman" w:hAnsi="Times New Roman"/>
          <w:sz w:val="21"/>
          <w:szCs w:val="21"/>
          <w:color w:val="auto"/>
        </w:rPr>
        <w:t>. By signing this Agreement, you agree that the “Vesting Schedule” section in the “Notice of Stock Option Grant” in Part I of the Performance Option Agreement is hereby amended and restated in its entirety to read as follows: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 This Option shall vest according to the following schedule: One forty-eighth (1/48th) of the</w:t>
      </w:r>
    </w:p>
    <w:p>
      <w:pPr>
        <w:spacing w:after="0" w:line="24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Shares subject to the Option shall vest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80"/>
          </w:cols>
          <w:pgMar w:left="360" w:top="1440" w:right="559" w:bottom="1440" w:gutter="0" w:footer="0" w:header="0"/>
        </w:sectPr>
      </w:pPr>
    </w:p>
    <w:bookmarkStart w:id="116" w:name="page117"/>
    <w:bookmarkEnd w:id="116"/>
    <w:p>
      <w:pPr>
        <w:spacing w:after="0" w:line="146" w:lineRule="exact"/>
        <w:rPr>
          <w:sz w:val="20"/>
          <w:szCs w:val="20"/>
          <w:color w:val="auto"/>
        </w:rPr>
      </w:pPr>
    </w:p>
    <w:p>
      <w:pPr>
        <w:jc w:val="both"/>
        <w:ind w:left="2160"/>
        <w:spacing w:after="0" w:line="230" w:lineRule="auto"/>
        <w:rPr>
          <w:sz w:val="20"/>
          <w:szCs w:val="20"/>
          <w:color w:val="auto"/>
        </w:rPr>
      </w:pPr>
      <w:r>
        <w:rPr>
          <w:rFonts w:ascii="Times New Roman" w:cs="Times New Roman" w:eastAsia="Times New Roman" w:hAnsi="Times New Roman"/>
          <w:sz w:val="21"/>
          <w:szCs w:val="21"/>
          <w:color w:val="auto"/>
        </w:rPr>
        <w:t>month following May 15, 2020 (the “</w:t>
      </w:r>
      <w:r>
        <w:rPr>
          <w:rFonts w:ascii="Times New Roman" w:cs="Times New Roman" w:eastAsia="Times New Roman" w:hAnsi="Times New Roman"/>
          <w:sz w:val="21"/>
          <w:szCs w:val="21"/>
          <w:u w:val="single" w:color="auto"/>
          <w:color w:val="auto"/>
        </w:rPr>
        <w:t>Vesting Commencement Date</w:t>
      </w:r>
      <w:r>
        <w:rPr>
          <w:rFonts w:ascii="Times New Roman" w:cs="Times New Roman" w:eastAsia="Times New Roman" w:hAnsi="Times New Roman"/>
          <w:sz w:val="21"/>
          <w:szCs w:val="21"/>
          <w:color w:val="auto"/>
        </w:rPr>
        <w:t>”) on the same day of the month as the Vesting Commencement Date (and if there is no corresponding day, on the last day of the month), subject to Optionee continuing to be a Service Provider through each such date.”</w:t>
      </w:r>
    </w:p>
    <w:p>
      <w:pPr>
        <w:spacing w:after="0" w:line="174" w:lineRule="exact"/>
        <w:rPr>
          <w:sz w:val="20"/>
          <w:szCs w:val="20"/>
          <w:color w:val="auto"/>
        </w:rPr>
      </w:pPr>
    </w:p>
    <w:p>
      <w:pPr>
        <w:jc w:val="both"/>
        <w:ind w:left="260" w:firstLine="631"/>
        <w:spacing w:after="0" w:line="225" w:lineRule="auto"/>
        <w:rPr>
          <w:sz w:val="20"/>
          <w:szCs w:val="20"/>
          <w:color w:val="auto"/>
        </w:rPr>
      </w:pPr>
      <w:r>
        <w:rPr>
          <w:rFonts w:ascii="Times New Roman" w:cs="Times New Roman" w:eastAsia="Times New Roman" w:hAnsi="Times New Roman"/>
          <w:sz w:val="21"/>
          <w:szCs w:val="21"/>
          <w:color w:val="auto"/>
        </w:rPr>
        <w:t>Except as expressly amended by this section 3(f)(iii), the Performance Option Agreement (as defined above) shall be unaffected hereby and shall remain in full force and effect. For clarity, the terms of the Time-Vested Options, including those set forth in the Service-Based Option Agreement, shall not be affected by the foregoing amendment of the Performance-Vested Options and shall remain in full force and effect.</w:t>
      </w:r>
    </w:p>
    <w:p>
      <w:pPr>
        <w:spacing w:after="0" w:line="187" w:lineRule="exact"/>
        <w:rPr>
          <w:sz w:val="20"/>
          <w:szCs w:val="20"/>
          <w:color w:val="auto"/>
        </w:rPr>
      </w:pPr>
    </w:p>
    <w:p>
      <w:pPr>
        <w:ind w:left="260" w:firstLine="1266"/>
        <w:spacing w:after="0" w:line="221" w:lineRule="auto"/>
        <w:tabs>
          <w:tab w:leader="none" w:pos="185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You and the Company acknowledge and agree that on September 23, 2020, the Board granted you restricted stock units under the 2016 Plan with a grant date value of</w:t>
      </w:r>
    </w:p>
    <w:p>
      <w:pPr>
        <w:jc w:val="both"/>
        <w:ind w:left="260"/>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$1,500,000, calculated as set forth on Exhibit C (the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The RSUs reflect the Company’s standard terms and conditions for grants of restricted stock units; provided, however, that the RSUs shall vest only upon the achievement of both a Liquidity Event (as defined below) condition and a service-based condition. The RSUs shall satisfy the service-based condition quarterly over 4 years (from May 15, 2020) with a 12-month cliff (meaning amounts that otherwise would satisfy the service-based condition during the first 12 months shall be scheduled to satisfy the service- based condition on the first anniversary of May 15, 2020), subject to your continued employment with the Company through each date on which the service-based condition is scheduled to be satisfied. In the event that your employment is terminated without Cause by the Company or by you for Good Reason outside of the Change in Control Period, then the number of RSUs that otherwise would have met the service-based condition had you remained employed by the Company through the twelve (12)- month anniversary of the date of such termination of your employment shall be deemed to immediately meet the service-based condition. The Liquidity Event condition will be deemed to have been met as of the occurrence of a Liquidity Event. For purposes of vesting of the RSUs, a “</w:t>
      </w:r>
      <w:r>
        <w:rPr>
          <w:rFonts w:ascii="Times New Roman" w:cs="Times New Roman" w:eastAsia="Times New Roman" w:hAnsi="Times New Roman"/>
          <w:sz w:val="21"/>
          <w:szCs w:val="21"/>
          <w:u w:val="single" w:color="auto"/>
          <w:color w:val="auto"/>
        </w:rPr>
        <w:t>Liquidity Event</w:t>
      </w:r>
      <w:r>
        <w:rPr>
          <w:rFonts w:ascii="Times New Roman" w:cs="Times New Roman" w:eastAsia="Times New Roman" w:hAnsi="Times New Roman"/>
          <w:sz w:val="21"/>
          <w:szCs w:val="21"/>
          <w:color w:val="auto"/>
        </w:rPr>
        <w:t>” shall be deemed to occur on the first to occur of (i) a Change in Control, or (ii) a Public Trading Date (as defined in the 2016 Plan). For the avoidance of doubt, if the Liquidity Event condition is satisfied before the completion of the service-based condition, the RSUs shall continue to vest in accordance with the original service- based vesting schedule (and shall be settled immediately upon each such service-based vesting date). For the further avoidance of doubt, if your employment terminates for any reason other than for Cause, you shall retain any service-vested RSUs until the expiration of the term of the RSUs (which, to comply with Section 409A, shall be 6.5 years from the date of grant) or the earlier settlement of the service-vested RSUs upon satisfaction of the Liquidity Event condition.</w:t>
      </w:r>
    </w:p>
    <w:p>
      <w:pPr>
        <w:spacing w:after="0" w:line="181" w:lineRule="exact"/>
        <w:rPr>
          <w:rFonts w:ascii="Times New Roman" w:cs="Times New Roman" w:eastAsia="Times New Roman" w:hAnsi="Times New Roman"/>
          <w:sz w:val="21"/>
          <w:szCs w:val="21"/>
          <w:color w:val="auto"/>
        </w:rPr>
      </w:pPr>
    </w:p>
    <w:p>
      <w:pPr>
        <w:ind w:left="260" w:firstLine="1266"/>
        <w:spacing w:after="0" w:line="221" w:lineRule="auto"/>
        <w:tabs>
          <w:tab w:leader="none" w:pos="184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IPO RSUs</w:t>
      </w:r>
      <w:r>
        <w:rPr>
          <w:rFonts w:ascii="Times New Roman" w:cs="Times New Roman" w:eastAsia="Times New Roman" w:hAnsi="Times New Roman"/>
          <w:sz w:val="21"/>
          <w:szCs w:val="21"/>
          <w:color w:val="auto"/>
        </w:rPr>
        <w:t>. At the Effective Date, you will be granted restricted stock units (each, an “</w:t>
      </w:r>
      <w:r>
        <w:rPr>
          <w:rFonts w:ascii="Times New Roman" w:cs="Times New Roman" w:eastAsia="Times New Roman" w:hAnsi="Times New Roman"/>
          <w:sz w:val="21"/>
          <w:szCs w:val="21"/>
          <w:u w:val="single" w:color="auto"/>
          <w:color w:val="auto"/>
        </w:rPr>
        <w:t>IPO RSU</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IPO RSUs</w:t>
      </w:r>
      <w:r>
        <w:rPr>
          <w:rFonts w:ascii="Times New Roman" w:cs="Times New Roman" w:eastAsia="Times New Roman" w:hAnsi="Times New Roman"/>
          <w:sz w:val="21"/>
          <w:szCs w:val="21"/>
          <w:color w:val="auto"/>
        </w:rPr>
        <w:t>”) with an approximate grant date value of</w:t>
      </w:r>
    </w:p>
    <w:p>
      <w:pPr>
        <w:jc w:val="both"/>
        <w:ind w:left="260"/>
        <w:spacing w:after="0" w:line="2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$1,500,000 (the “</w:t>
      </w:r>
      <w:r>
        <w:rPr>
          <w:rFonts w:ascii="Times New Roman" w:cs="Times New Roman" w:eastAsia="Times New Roman" w:hAnsi="Times New Roman"/>
          <w:sz w:val="21"/>
          <w:szCs w:val="21"/>
          <w:u w:val="single" w:color="auto"/>
          <w:color w:val="auto"/>
        </w:rPr>
        <w:t>IPO RSUs Grant Date Value</w:t>
      </w:r>
      <w:r>
        <w:rPr>
          <w:rFonts w:ascii="Times New Roman" w:cs="Times New Roman" w:eastAsia="Times New Roman" w:hAnsi="Times New Roman"/>
          <w:sz w:val="21"/>
          <w:szCs w:val="21"/>
          <w:color w:val="auto"/>
        </w:rPr>
        <w:t>”), subject to both (A) approval by the Board or the Compensation Committee of the Board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and (B) you remaining employed through the grant date of the IPO RSUs. Each IPO RSU will cover one share of the Company’s common stock, and the aggregate number of IPO RSUs will be calculated by dividing the IPO RSUs Grant Date Value by the initial per share price to the public as set forth in the final prospectus included within the registration statement on Form S-1 filed with the Securities and Exchange Commission for the initial public offering of the Company’s common stock, provided that any fractional restricted stock unit resulting from such division will be rounded down to the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440" w:right="619" w:bottom="1440" w:gutter="0" w:footer="0" w:header="0"/>
        </w:sectPr>
      </w:pPr>
    </w:p>
    <w:bookmarkStart w:id="117" w:name="page118"/>
    <w:bookmarkEnd w:id="117"/>
    <w:p>
      <w:pPr>
        <w:jc w:val="both"/>
        <w:ind w:right="100"/>
        <w:spacing w:after="0" w:line="209" w:lineRule="auto"/>
        <w:rPr>
          <w:sz w:val="20"/>
          <w:szCs w:val="20"/>
          <w:color w:val="auto"/>
        </w:rPr>
      </w:pPr>
      <w:r>
        <w:rPr>
          <w:rFonts w:ascii="Times New Roman" w:cs="Times New Roman" w:eastAsia="Times New Roman" w:hAnsi="Times New Roman"/>
          <w:sz w:val="21"/>
          <w:szCs w:val="21"/>
          <w:color w:val="auto"/>
        </w:rPr>
        <w:t>nearest whole unit. The IPO RSUs shall be granted under the 2016 Plan and the Company’s standard form of restricted stock unit agreement approved by the Board for use thereunder. Subject to Section 4(a) below and the terms of the 2016 Plan, twenty-five percent (25%) of the IPO RSUs shall vest on the one-year anniversary of the Vesting Commencement Date (as defined below), and one-twelfth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of the remaining IPO RSUs shall vest on each of the next twelve (12) Quarterly Vesting Dates thereafter, subject to your continuous status as a Service Provider (as defined in the 2016 Plan) on each vesting date. The “</w:t>
      </w:r>
      <w:r>
        <w:rPr>
          <w:rFonts w:ascii="Times New Roman" w:cs="Times New Roman" w:eastAsia="Times New Roman" w:hAnsi="Times New Roman"/>
          <w:sz w:val="21"/>
          <w:szCs w:val="21"/>
          <w:u w:val="single" w:color="auto"/>
          <w:color w:val="auto"/>
        </w:rPr>
        <w:t>Vesting Commencement Date</w:t>
      </w:r>
      <w:r>
        <w:rPr>
          <w:rFonts w:ascii="Times New Roman" w:cs="Times New Roman" w:eastAsia="Times New Roman" w:hAnsi="Times New Roman"/>
          <w:sz w:val="21"/>
          <w:szCs w:val="21"/>
          <w:color w:val="auto"/>
        </w:rPr>
        <w:t>” shall mean the first Quarterly Vesting Date following the Effective Date, provided if the Effective Date occurs on a Quarterly Vesting Date, the Vesting Commencement Date shall mean the Effective Date. “</w:t>
      </w:r>
      <w:r>
        <w:rPr>
          <w:rFonts w:ascii="Times New Roman" w:cs="Times New Roman" w:eastAsia="Times New Roman" w:hAnsi="Times New Roman"/>
          <w:sz w:val="21"/>
          <w:szCs w:val="21"/>
          <w:u w:val="single" w:color="auto"/>
          <w:color w:val="auto"/>
        </w:rPr>
        <w:t>Quarterly Vesting Dates</w:t>
      </w:r>
      <w:r>
        <w:rPr>
          <w:rFonts w:ascii="Times New Roman" w:cs="Times New Roman" w:eastAsia="Times New Roman" w:hAnsi="Times New Roman"/>
          <w:sz w:val="21"/>
          <w:szCs w:val="21"/>
          <w:color w:val="auto"/>
        </w:rPr>
        <w:t>” shall mean each of February 15, May 15, August 15, and November 15; provided, however, that to the extent any such date occurs on a weekend day or U.S. federal holiday, the Quarterly Vesting Date will be deemed to occur on the immediately following day that is not a weekend day or U.S. federal holiday.</w:t>
      </w:r>
    </w:p>
    <w:p>
      <w:pPr>
        <w:spacing w:after="0" w:line="179" w:lineRule="exact"/>
        <w:rPr>
          <w:sz w:val="20"/>
          <w:szCs w:val="20"/>
          <w:color w:val="auto"/>
        </w:rPr>
      </w:pPr>
    </w:p>
    <w:p>
      <w:pPr>
        <w:ind w:firstLine="1266"/>
        <w:spacing w:after="0" w:line="209" w:lineRule="auto"/>
        <w:tabs>
          <w:tab w:leader="none" w:pos="159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IPO Option</w:t>
      </w:r>
      <w:r>
        <w:rPr>
          <w:rFonts w:ascii="Times New Roman" w:cs="Times New Roman" w:eastAsia="Times New Roman" w:hAnsi="Times New Roman"/>
          <w:sz w:val="21"/>
          <w:szCs w:val="21"/>
          <w:color w:val="auto"/>
        </w:rPr>
        <w:t>. At the Effective Date, you will be granted a stock option to purchase shares of the Company’s common stock (the “</w:t>
      </w:r>
      <w:r>
        <w:rPr>
          <w:rFonts w:ascii="Times New Roman" w:cs="Times New Roman" w:eastAsia="Times New Roman" w:hAnsi="Times New Roman"/>
          <w:sz w:val="21"/>
          <w:szCs w:val="21"/>
          <w:u w:val="single" w:color="auto"/>
          <w:color w:val="auto"/>
        </w:rPr>
        <w:t>IPO Option</w:t>
      </w:r>
      <w:r>
        <w:rPr>
          <w:rFonts w:ascii="Times New Roman" w:cs="Times New Roman" w:eastAsia="Times New Roman" w:hAnsi="Times New Roman"/>
          <w:sz w:val="21"/>
          <w:szCs w:val="21"/>
          <w:color w:val="auto"/>
        </w:rPr>
        <w:t>”), subject to both (A) approval by the Board or the Compensation Committee, and (B) you remaining employed through the grant date of the IPO Option. The aggregate number of shares subject to the IPO Option will be calculated by multiplying the aggregate number of IPO RSUs by 2.5, provided any fractional share resulting from such multiplication will be rounded down to the nearest whole share. The IPO Option will have a per share exercise price equal to 100% of the fair market value of a share of the Company’s common stock on the date of grant, as determined by the Board or the Compensation Committee in its sole discretion. The IPO Option shall be granted under the 2016 Plan and the Company’s standard form of stock option agreement approved by the Board for use thereunder. Subject to Section 4(a) below and the terms of the 2016 Plan, twenty-five percent (25%) of the shares of the Company’s common stock subject to the IPO Option shall vest on the one-year anniversary of the Vesting Commencement Date (as defined above), and one-twelfth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of the remaining shares of the Company’s common stock subject to the IPO Option shall vest on each of the next twelve (12) Quarterly Vesting Dates (as defined above) thereafter, subject to your continuous status as a Service Provider (as defined in the 2016 Plan) on each vesting date.</w:t>
      </w:r>
    </w:p>
    <w:p>
      <w:pPr>
        <w:spacing w:after="0" w:line="193" w:lineRule="exact"/>
        <w:rPr>
          <w:rFonts w:ascii="Times New Roman" w:cs="Times New Roman" w:eastAsia="Times New Roman" w:hAnsi="Times New Roman"/>
          <w:sz w:val="21"/>
          <w:szCs w:val="21"/>
          <w:color w:val="auto"/>
        </w:rPr>
      </w:pPr>
    </w:p>
    <w:p>
      <w:pPr>
        <w:jc w:val="both"/>
        <w:ind w:right="80" w:firstLine="1266"/>
        <w:spacing w:after="0" w:line="220" w:lineRule="auto"/>
        <w:tabs>
          <w:tab w:leader="none" w:pos="2217"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Conditions.</w:t>
      </w:r>
      <w:r>
        <w:rPr>
          <w:rFonts w:ascii="Times New Roman" w:cs="Times New Roman" w:eastAsia="Times New Roman" w:hAnsi="Times New Roman"/>
          <w:sz w:val="21"/>
          <w:szCs w:val="21"/>
          <w:color w:val="auto"/>
        </w:rPr>
        <w:t xml:space="preserve"> Except as explicitly set forth herein, the vesting of the Time-Vested Options, Performance-Vested Options, RSUs, IPO RSUs and IPO Option (collectively, the “</w:t>
      </w: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is subject to your continued employment with the Company through the applicable vesting date or event and, except as explicitly set forth herein, the Equity Awards reflect (or in the case of the IPO RSUs and IPO Option, shall reflect) the Company’s standard terms and conditions for grants of equity compensation (including, as applicable, an exercise price at fair market value on the date of grant for stock options).</w:t>
      </w:r>
    </w:p>
    <w:p>
      <w:pPr>
        <w:spacing w:after="0" w:line="185" w:lineRule="exact"/>
        <w:rPr>
          <w:rFonts w:ascii="Times New Roman" w:cs="Times New Roman" w:eastAsia="Times New Roman" w:hAnsi="Times New Roman"/>
          <w:sz w:val="21"/>
          <w:szCs w:val="21"/>
          <w:color w:val="auto"/>
        </w:rPr>
      </w:pPr>
    </w:p>
    <w:p>
      <w:pPr>
        <w:jc w:val="both"/>
        <w:ind w:right="100" w:firstLine="634"/>
        <w:spacing w:after="0" w:line="225" w:lineRule="auto"/>
        <w:tabs>
          <w:tab w:leader="none" w:pos="9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Notwithstanding anything to the contrary in this Agreement, whether express or implied, your employment with the Company is at-will and the Company may at any time terminate your employment with the Company and the Term, for any reason or no reason, and with or without Cause, and you may resign from your employment 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760"/>
          </w:cols>
          <w:pgMar w:left="620" w:top="1349" w:right="519" w:bottom="1440" w:gutter="0" w:footer="0" w:header="0"/>
        </w:sectPr>
      </w:pPr>
    </w:p>
    <w:bookmarkStart w:id="118" w:name="page119"/>
    <w:bookmarkEnd w:id="118"/>
    <w:p>
      <w:pPr>
        <w:jc w:val="both"/>
        <w:ind w:left="260"/>
        <w:spacing w:after="0" w:line="225" w:lineRule="auto"/>
        <w:rPr>
          <w:sz w:val="20"/>
          <w:szCs w:val="20"/>
          <w:color w:val="auto"/>
        </w:rPr>
      </w:pPr>
      <w:r>
        <w:rPr>
          <w:rFonts w:ascii="Times New Roman" w:cs="Times New Roman" w:eastAsia="Times New Roman" w:hAnsi="Times New Roman"/>
          <w:sz w:val="21"/>
          <w:szCs w:val="21"/>
          <w:color w:val="auto"/>
        </w:rPr>
        <w:t>or without Good Reason and terminate the Term, in each case subject to the terms and provisions of this Agreement, and all as set forth in greater detail in this Section 4. If your employment terminates due to your resignation without Good Reason or by the Company for Cause, then you will not be eligible for any severance benefits. You shall receive payment from the Company of the Accrued Obligations through the Termination Date upon the termination of your employment for any reason.</w:t>
      </w:r>
    </w:p>
    <w:p>
      <w:pPr>
        <w:spacing w:after="0" w:line="187" w:lineRule="exact"/>
        <w:rPr>
          <w:sz w:val="20"/>
          <w:szCs w:val="20"/>
          <w:color w:val="auto"/>
        </w:rPr>
      </w:pPr>
    </w:p>
    <w:p>
      <w:pPr>
        <w:ind w:left="260" w:right="360" w:firstLine="634"/>
        <w:spacing w:after="0" w:line="230" w:lineRule="auto"/>
        <w:tabs>
          <w:tab w:leader="none" w:pos="121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and Other Termination Benefits</w:t>
      </w:r>
      <w:r>
        <w:rPr>
          <w:rFonts w:ascii="Times New Roman" w:cs="Times New Roman" w:eastAsia="Times New Roman" w:hAnsi="Times New Roman"/>
          <w:sz w:val="21"/>
          <w:szCs w:val="21"/>
          <w:color w:val="auto"/>
        </w:rPr>
        <w:t>. Subject to Section 4(a)(iv), if during the Term there is a Qualifying Termination or your employment with the Company terminates as a result of your death or Disability, then you shall be eligible to receive the following payments and benefits (as applicable,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260" w:firstLine="1266"/>
        <w:spacing w:after="0" w:line="243" w:lineRule="auto"/>
        <w:tabs>
          <w:tab w:leader="none" w:pos="185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Qualifying Termination Outside of the Change in Control Period</w:t>
      </w:r>
      <w:r>
        <w:rPr>
          <w:rFonts w:ascii="Times New Roman" w:cs="Times New Roman" w:eastAsia="Times New Roman" w:hAnsi="Times New Roman"/>
          <w:sz w:val="21"/>
          <w:szCs w:val="21"/>
          <w:color w:val="auto"/>
        </w:rPr>
        <w:t>. In the event you have a Qualifying Termination that occurs outside of the Change in Control Period, the Severance Benefits shall consist of the following:</w:t>
      </w:r>
    </w:p>
    <w:p>
      <w:pPr>
        <w:spacing w:after="0" w:line="168" w:lineRule="exact"/>
        <w:rPr>
          <w:rFonts w:ascii="Times New Roman" w:cs="Times New Roman" w:eastAsia="Times New Roman" w:hAnsi="Times New Roman"/>
          <w:sz w:val="21"/>
          <w:szCs w:val="21"/>
          <w:color w:val="auto"/>
        </w:rPr>
      </w:pPr>
    </w:p>
    <w:p>
      <w:pPr>
        <w:jc w:val="both"/>
        <w:ind w:left="260" w:firstLine="1897"/>
        <w:spacing w:after="0" w:line="222" w:lineRule="auto"/>
        <w:tabs>
          <w:tab w:leader="none" w:pos="248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severance payments of twelve (12) months’ continued Base Salary, subject to all applicable deductions and withholdings, paid in accordance with the Company’s standard payroll schedule over a period of twelve (12) months; provided, however (x) amounts shall accrue until the Release (as defined below) becomes fully and irrevocably effective, and (y) in the event the Release Period spans two calendar years, no amount of such cash severance payments will be paid prior to January 1 of the second calendar year; and</w:t>
      </w:r>
    </w:p>
    <w:p>
      <w:pPr>
        <w:spacing w:after="0" w:line="185" w:lineRule="exact"/>
        <w:rPr>
          <w:rFonts w:ascii="Times New Roman" w:cs="Times New Roman" w:eastAsia="Times New Roman" w:hAnsi="Times New Roman"/>
          <w:sz w:val="21"/>
          <w:szCs w:val="21"/>
          <w:color w:val="auto"/>
        </w:rPr>
      </w:pPr>
    </w:p>
    <w:p>
      <w:pPr>
        <w:jc w:val="both"/>
        <w:ind w:left="260" w:firstLine="1897"/>
        <w:spacing w:after="0" w:line="230" w:lineRule="auto"/>
        <w:tabs>
          <w:tab w:leader="none" w:pos="2487"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laws without incurring statutory penalties, the Company will reimburse the cost (to the same extent that the Company was paying as of immediately before the Termination Date) for all group employee health benefits coverage continuation under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to the same extent provided by the Company’s group health plans immediately before the Termination Date (“</w:t>
      </w:r>
      <w:r>
        <w:rPr>
          <w:rFonts w:ascii="Times New Roman" w:cs="Times New Roman" w:eastAsia="Times New Roman" w:hAnsi="Times New Roman"/>
          <w:sz w:val="21"/>
          <w:szCs w:val="21"/>
          <w:u w:val="single" w:color="auto"/>
          <w:color w:val="auto"/>
        </w:rPr>
        <w:t>COBRA Benefits</w:t>
      </w:r>
      <w:r>
        <w:rPr>
          <w:rFonts w:ascii="Times New Roman" w:cs="Times New Roman" w:eastAsia="Times New Roman" w:hAnsi="Times New Roman"/>
          <w:sz w:val="21"/>
          <w:szCs w:val="21"/>
          <w:color w:val="auto"/>
        </w:rPr>
        <w:t>”) for twelve (12) months after the Termination Date or until you become eligible for group health insurance benefits from another employer, whichever occurs first, provided that you timely elect COBRA coverage. You agree (i) at any time either before or during the period of time you are receiving the COBRA Benefits to inform the Company promptly in writing if you become eligible to receive group health coverage from another employer and to respond to any Company inquiries confirming that you did not become eligible for other coverage; and (ii) that you may not increase the number of your designated dependents, if any, during this time unless you do so at your own expense. The period of such COBRA Benefits shall be considered part of your COBRA coverage entitlement period. Reimbursement for the COBRA Benefits shall be provided to you within sixty (60) days of your submission of evidence of the premium payment, subject to such submission being delivered to the Company within sixty (60) days of your making the applicable payment; and</w:t>
      </w:r>
    </w:p>
    <w:p>
      <w:pPr>
        <w:spacing w:after="0" w:line="189" w:lineRule="exact"/>
        <w:rPr>
          <w:rFonts w:ascii="Times New Roman" w:cs="Times New Roman" w:eastAsia="Times New Roman" w:hAnsi="Times New Roman"/>
          <w:sz w:val="21"/>
          <w:szCs w:val="21"/>
          <w:color w:val="auto"/>
        </w:rPr>
      </w:pPr>
    </w:p>
    <w:p>
      <w:pPr>
        <w:jc w:val="both"/>
        <w:ind w:left="260" w:firstLine="1897"/>
        <w:spacing w:after="0" w:line="225" w:lineRule="auto"/>
        <w:tabs>
          <w:tab w:leader="none" w:pos="2487"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 vesting acceleration of the Time-Vested Options and Performance-Vested Options to the extent outstanding and unvested as of the date of your Qualifying Termination, in each case as to the number of shares of the Company’s common stock subject to such award that otherwise would have vested had you remained employed by the Company through the twelve (12)- month anniversary of the date of your Qualifying Termination; and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349" w:right="619" w:bottom="1440" w:gutter="0" w:footer="0" w:header="0"/>
        </w:sectPr>
      </w:pPr>
    </w:p>
    <w:bookmarkStart w:id="119" w:name="page120"/>
    <w:bookmarkEnd w:id="119"/>
    <w:p>
      <w:pPr>
        <w:spacing w:after="0" w:line="146" w:lineRule="exact"/>
        <w:rPr>
          <w:sz w:val="20"/>
          <w:szCs w:val="20"/>
          <w:color w:val="auto"/>
        </w:rPr>
      </w:pPr>
    </w:p>
    <w:p>
      <w:pPr>
        <w:jc w:val="both"/>
        <w:ind w:left="260" w:right="20" w:firstLine="1897"/>
        <w:spacing w:after="0" w:line="221" w:lineRule="auto"/>
        <w:tabs>
          <w:tab w:leader="none" w:pos="2485"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Time-Vested Options, Performance-Vested Options and IPO Option to the extent outstanding and vested as of the date of your Qualifying Termination (after giving effect to the vesting acceleration described in subpart</w:t>
      </w:r>
    </w:p>
    <w:p>
      <w:pPr>
        <w:jc w:val="both"/>
        <w:ind w:left="260" w:right="20" w:firstLine="3"/>
        <w:spacing w:after="0" w:line="205" w:lineRule="auto"/>
        <w:tabs>
          <w:tab w:leader="none" w:pos="60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and any other applicable vesting acceleration) shall each remain outstanding and exercisable until the earlier of (i) the expiration of the original term of such stock option, (ii) the one-year anniversary of the date of your Qualifying Termination, provided if such stock option is the IPO Option, then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your Qualifying Termination instead, and (iii) immediately prior to the effective time of a Change in Control if such stock option is not assumed, continued or substituted by the surviving or acquiring entity (or its parent) in connection with such Change in Control.</w:t>
      </w:r>
    </w:p>
    <w:p>
      <w:pPr>
        <w:spacing w:after="0" w:line="188" w:lineRule="exact"/>
        <w:rPr>
          <w:rFonts w:ascii="Times New Roman" w:cs="Times New Roman" w:eastAsia="Times New Roman" w:hAnsi="Times New Roman"/>
          <w:sz w:val="21"/>
          <w:szCs w:val="21"/>
          <w:color w:val="auto"/>
        </w:rPr>
      </w:pPr>
    </w:p>
    <w:p>
      <w:pPr>
        <w:ind w:left="260" w:right="20" w:firstLine="1266"/>
        <w:spacing w:after="0" w:line="243" w:lineRule="auto"/>
        <w:tabs>
          <w:tab w:leader="none" w:pos="1845"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Qualifying Termination During the Change in Control Period</w:t>
      </w:r>
      <w:r>
        <w:rPr>
          <w:rFonts w:ascii="Times New Roman" w:cs="Times New Roman" w:eastAsia="Times New Roman" w:hAnsi="Times New Roman"/>
          <w:sz w:val="21"/>
          <w:szCs w:val="21"/>
          <w:color w:val="auto"/>
        </w:rPr>
        <w:t>. In the event you have a Qualifying Termination that occurs during the Change in Control Period, the Severance Benefits shall instead consist of the following:</w:t>
      </w:r>
    </w:p>
    <w:p>
      <w:pPr>
        <w:spacing w:after="0" w:line="182" w:lineRule="exact"/>
        <w:rPr>
          <w:rFonts w:ascii="Times New Roman" w:cs="Times New Roman" w:eastAsia="Times New Roman" w:hAnsi="Times New Roman"/>
          <w:sz w:val="21"/>
          <w:szCs w:val="21"/>
          <w:color w:val="auto"/>
        </w:rPr>
      </w:pPr>
    </w:p>
    <w:p>
      <w:pPr>
        <w:jc w:val="both"/>
        <w:ind w:left="260" w:right="20" w:firstLine="1897"/>
        <w:spacing w:after="0" w:line="220" w:lineRule="auto"/>
        <w:tabs>
          <w:tab w:leader="none" w:pos="2485"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cash severance payment equal to the sum of: (i) twelve (12) months’ of your Base Salary plus (ii) a cash payment equal to your Performance Bonus at target level for the fiscal year of the Company in which your Qualifying Termination occurs, subject to all applicable deductions and withholdings, paid as a one-time, lump-sum payment on the first regularly-scheduled Company payroll date falling after the date the Release becomes fully and irrevocably effective, provided that in the event the Release Period spans two calendar years, no amount of such cash severance payment will be paid prior to January 1 of the second calendar year; and</w:t>
      </w:r>
    </w:p>
    <w:p>
      <w:pPr>
        <w:spacing w:after="0" w:line="250" w:lineRule="exact"/>
        <w:rPr>
          <w:rFonts w:ascii="Times New Roman" w:cs="Times New Roman" w:eastAsia="Times New Roman" w:hAnsi="Times New Roman"/>
          <w:sz w:val="21"/>
          <w:szCs w:val="21"/>
          <w:color w:val="auto"/>
        </w:rPr>
      </w:pPr>
    </w:p>
    <w:p>
      <w:pPr>
        <w:ind w:left="2500" w:hanging="343"/>
        <w:spacing w:after="0"/>
        <w:tabs>
          <w:tab w:leader="none" w:pos="2500"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COBRA Benefits, subject to the same terms and conditions set forth in Section 4(a)(i)(B); and</w:t>
      </w:r>
    </w:p>
    <w:p>
      <w:pPr>
        <w:spacing w:after="0" w:line="205" w:lineRule="exact"/>
        <w:rPr>
          <w:rFonts w:ascii="Times New Roman" w:cs="Times New Roman" w:eastAsia="Times New Roman" w:hAnsi="Times New Roman"/>
          <w:sz w:val="21"/>
          <w:szCs w:val="21"/>
          <w:color w:val="auto"/>
        </w:rPr>
      </w:pPr>
    </w:p>
    <w:p>
      <w:pPr>
        <w:ind w:left="260" w:right="20" w:firstLine="1897"/>
        <w:spacing w:after="0" w:line="243" w:lineRule="auto"/>
        <w:tabs>
          <w:tab w:leader="none" w:pos="2487"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 vesting acceleration of one hundred percent (100%) of the Performance-Vested Options, RSUs, IPO RSUs and IPO Option to the extent outstanding and unvested as of the date of your Qualifying Termination; and</w:t>
      </w:r>
    </w:p>
    <w:p>
      <w:pPr>
        <w:spacing w:after="0" w:line="182" w:lineRule="exact"/>
        <w:rPr>
          <w:rFonts w:ascii="Times New Roman" w:cs="Times New Roman" w:eastAsia="Times New Roman" w:hAnsi="Times New Roman"/>
          <w:sz w:val="21"/>
          <w:szCs w:val="21"/>
          <w:color w:val="auto"/>
        </w:rPr>
      </w:pPr>
    </w:p>
    <w:p>
      <w:pPr>
        <w:jc w:val="both"/>
        <w:ind w:left="260" w:firstLine="1897"/>
        <w:spacing w:after="0" w:line="221" w:lineRule="auto"/>
        <w:tabs>
          <w:tab w:leader="none" w:pos="2485"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Time-Vested Options, Performance-Vested Options and IPO Option to the extent outstanding and vested as of the date of your Qualifying Termination (after giving effect to the vesting acceleration described in subpart</w:t>
      </w:r>
    </w:p>
    <w:p>
      <w:pPr>
        <w:jc w:val="both"/>
        <w:ind w:left="260" w:firstLine="3"/>
        <w:spacing w:after="0" w:line="219" w:lineRule="auto"/>
        <w:tabs>
          <w:tab w:leader="none" w:pos="60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and any other applicable vesting acceleration) shall each remain outstanding and exercisable until the earlier of: (i) the expiration of the original term of such stock option, (ii) the one-year anniversary of the date of your Qualifying Termination, and (iii) immediately prior to the effective time of a Change in Control if such stock option is not assumed, continued or substituted by the surviving or acquiring entity (or its parent) in connection with such Change in Control.</w:t>
      </w:r>
    </w:p>
    <w:p>
      <w:pPr>
        <w:spacing w:after="0" w:line="186" w:lineRule="exact"/>
        <w:rPr>
          <w:rFonts w:ascii="Times New Roman" w:cs="Times New Roman" w:eastAsia="Times New Roman" w:hAnsi="Times New Roman"/>
          <w:sz w:val="21"/>
          <w:szCs w:val="21"/>
          <w:color w:val="auto"/>
        </w:rPr>
      </w:pPr>
    </w:p>
    <w:p>
      <w:pPr>
        <w:jc w:val="both"/>
        <w:ind w:left="260" w:firstLine="1266"/>
        <w:spacing w:after="0" w:line="218" w:lineRule="auto"/>
        <w:tabs>
          <w:tab w:leader="none" w:pos="1851"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due to Death or Disability</w:t>
      </w:r>
      <w:r>
        <w:rPr>
          <w:rFonts w:ascii="Times New Roman" w:cs="Times New Roman" w:eastAsia="Times New Roman" w:hAnsi="Times New Roman"/>
          <w:sz w:val="21"/>
          <w:szCs w:val="21"/>
          <w:color w:val="auto"/>
        </w:rPr>
        <w:t>. In the event your employment with the Company terminates as a result of your death or Disability, the Severance Benefits shall instead consist of the following: (A) the Time-Vested Options, Performance-Vested Options, RSUs, IPO RSUs and IPO Option to the extent unvested and outstanding immediately prior to such termination of your employment shall immediately become fully vested and, as applicable, exercisable; and (B) the Time-Vested Options, Performance-Vested Options and IPO Option to the extent vested and outstanding on the date of such termination of your employment (after giving effect to the vesting acceleration provided for in clause (A) above and any other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0" w:name="page121"/>
    <w:bookmarkEnd w:id="120"/>
    <w:p>
      <w:pPr>
        <w:spacing w:after="0" w:line="146" w:lineRule="exact"/>
        <w:rPr>
          <w:sz w:val="20"/>
          <w:szCs w:val="20"/>
          <w:color w:val="auto"/>
        </w:rPr>
      </w:pPr>
    </w:p>
    <w:p>
      <w:pPr>
        <w:ind w:left="260"/>
        <w:spacing w:after="0" w:line="221" w:lineRule="auto"/>
        <w:rPr>
          <w:sz w:val="20"/>
          <w:szCs w:val="20"/>
          <w:color w:val="auto"/>
        </w:rPr>
      </w:pPr>
      <w:r>
        <w:rPr>
          <w:rFonts w:ascii="Times New Roman" w:cs="Times New Roman" w:eastAsia="Times New Roman" w:hAnsi="Times New Roman"/>
          <w:sz w:val="21"/>
          <w:szCs w:val="21"/>
          <w:color w:val="auto"/>
        </w:rPr>
        <w:t>applicable vesting acceleration) shall remain outstanding and exercisable until the earlier of: (i) the expiration of the original term of such stock option, (ii) the one-year anniversary of the date of your termination of employment with the Company, and</w:t>
      </w:r>
    </w:p>
    <w:p>
      <w:pPr>
        <w:ind w:left="260" w:right="20" w:firstLine="3"/>
        <w:spacing w:after="0" w:line="229" w:lineRule="auto"/>
        <w:tabs>
          <w:tab w:leader="none" w:pos="66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prior to the effective time of a Change in Control if such stock options are not assumed, continued or substituted by the surviving or acquiring entity (or its parent) in connection with such Change in Control.</w:t>
      </w:r>
    </w:p>
    <w:p>
      <w:pPr>
        <w:spacing w:after="0" w:line="186" w:lineRule="exact"/>
        <w:rPr>
          <w:rFonts w:ascii="Times New Roman" w:cs="Times New Roman" w:eastAsia="Times New Roman" w:hAnsi="Times New Roman"/>
          <w:sz w:val="21"/>
          <w:szCs w:val="21"/>
          <w:color w:val="auto"/>
        </w:rPr>
      </w:pPr>
    </w:p>
    <w:p>
      <w:pPr>
        <w:jc w:val="both"/>
        <w:ind w:left="260" w:firstLine="1266"/>
        <w:spacing w:after="0" w:line="215" w:lineRule="auto"/>
        <w:tabs>
          <w:tab w:leader="none" w:pos="1852"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xml:space="preserve">. Notwithstanding anything to the contrary, in order to receive any Severance Benefits, you (or after your death, your estate) must timely execute and deliver (and not revoke) a separation agreement and general release of claims in favor of the Company, any affiliates or related entities, and their employees and affiliates, substantially in the form and content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the time period specified in the release, but in any event such release must become effective by its terms by no later than the 55th day following the Termination Date (such time period, extended by an additional 7 days, the “</w:t>
      </w:r>
      <w:r>
        <w:rPr>
          <w:rFonts w:ascii="Times New Roman" w:cs="Times New Roman" w:eastAsia="Times New Roman" w:hAnsi="Times New Roman"/>
          <w:sz w:val="21"/>
          <w:szCs w:val="21"/>
          <w:u w:val="single" w:color="auto"/>
          <w:color w:val="auto"/>
        </w:rPr>
        <w:t>Release Period</w:t>
      </w:r>
      <w:r>
        <w:rPr>
          <w:rFonts w:ascii="Times New Roman" w:cs="Times New Roman" w:eastAsia="Times New Roman" w:hAnsi="Times New Roman"/>
          <w:sz w:val="21"/>
          <w:szCs w:val="21"/>
          <w:color w:val="auto"/>
        </w:rPr>
        <w:t xml:space="preserve">”). For the avoidance of doubt, in no event shall you be eligible to receive Severance Benefits pursuant to both Section 4(a)(i) and Section 4(a)(ii) and you are not eligible to receive any Severance Benefits in the event your employment is terminated as a result of your death or Disability other than as provided for in Section 4(a)(iii). You shall receive payment or benefits from the Company of the Accrued Obligations, as applicable, regardless of whether a separation agreement and general release of claims in the form and content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is executed and timely provided to the Company.</w:t>
      </w:r>
    </w:p>
    <w:p>
      <w:pPr>
        <w:spacing w:after="0" w:line="186" w:lineRule="exact"/>
        <w:rPr>
          <w:rFonts w:ascii="Times New Roman" w:cs="Times New Roman" w:eastAsia="Times New Roman" w:hAnsi="Times New Roman"/>
          <w:sz w:val="21"/>
          <w:szCs w:val="21"/>
          <w:color w:val="auto"/>
        </w:rPr>
      </w:pPr>
    </w:p>
    <w:p>
      <w:pPr>
        <w:jc w:val="both"/>
        <w:ind w:left="260" w:firstLine="634"/>
        <w:spacing w:after="0" w:line="217" w:lineRule="auto"/>
        <w:tabs>
          <w:tab w:leader="none" w:pos="1215"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The Company may terminate your employment and the Term at any time for Cause. In the event you are provided written notice of a potential termination for Cause (subject to any cure period), your right to exercise any equity compensation award (and the vesting or settlement of any equity compensation award) shall automatically be suspended during the cure period (if any). Upon the termination of your employment for Cause, you shall not be entitled to exercise any outstanding equity compensation award whatsoever and all of your outstanding equity compensation awards (both vested and unvested) shall automatically terminate without consideration. Any determination by the Company with respect to the foregoing shall be final, conclusive and binding on all interested parties. Any termination for Cause will not limit any other right or remedy the Company may have under this Agreement or otherwise.</w:t>
      </w:r>
    </w:p>
    <w:p>
      <w:pPr>
        <w:spacing w:after="0" w:line="174" w:lineRule="exact"/>
        <w:rPr>
          <w:rFonts w:ascii="Times New Roman" w:cs="Times New Roman" w:eastAsia="Times New Roman" w:hAnsi="Times New Roman"/>
          <w:sz w:val="21"/>
          <w:szCs w:val="21"/>
          <w:color w:val="auto"/>
        </w:rPr>
      </w:pPr>
    </w:p>
    <w:p>
      <w:pPr>
        <w:jc w:val="both"/>
        <w:ind w:left="260" w:right="20" w:firstLine="634"/>
        <w:spacing w:after="0" w:line="220" w:lineRule="auto"/>
        <w:tabs>
          <w:tab w:leader="none" w:pos="121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The Company shall have the unilateral right to terminate your employment and the Term at any time without Cause, and without notice, in the Company’s sole and absolute discretion. Any such termination without Cause shall not constitute a breach of any term of this Agreement, express or implied, or a wrongful deprivation of your office or position. If the Company terminates your employment and the Term without Cause, it shall be treated as a Qualifying Termination and the Company shall have no obligation to you, except to pay you (or cause to occur, if applicable) the amounts (and actions) set forth in Section 4(a) above in accordance with the terms thereof.</w:t>
      </w:r>
    </w:p>
    <w:p>
      <w:pPr>
        <w:spacing w:after="0" w:line="178" w:lineRule="exact"/>
        <w:rPr>
          <w:rFonts w:ascii="Times New Roman" w:cs="Times New Roman" w:eastAsia="Times New Roman" w:hAnsi="Times New Roman"/>
          <w:sz w:val="21"/>
          <w:szCs w:val="21"/>
          <w:color w:val="auto"/>
        </w:rPr>
      </w:pPr>
    </w:p>
    <w:p>
      <w:pPr>
        <w:ind w:left="1220" w:hanging="326"/>
        <w:spacing w:after="0"/>
        <w:tabs>
          <w:tab w:leader="none" w:pos="122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Your employment and the Term will be automatically terminated on the date of your</w:t>
      </w:r>
    </w:p>
    <w:p>
      <w:pPr>
        <w:ind w:left="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death.</w:t>
      </w:r>
    </w:p>
    <w:p>
      <w:pPr>
        <w:spacing w:after="0" w:line="195" w:lineRule="exact"/>
        <w:rPr>
          <w:rFonts w:ascii="Times New Roman" w:cs="Times New Roman" w:eastAsia="Times New Roman" w:hAnsi="Times New Roman"/>
          <w:sz w:val="21"/>
          <w:szCs w:val="21"/>
          <w:color w:val="auto"/>
        </w:rPr>
      </w:pPr>
    </w:p>
    <w:p>
      <w:pPr>
        <w:ind w:left="3960" w:hanging="629"/>
        <w:spacing w:after="0"/>
        <w:tabs>
          <w:tab w:leader="none" w:pos="3960" w:val="left"/>
        </w:tabs>
        <w:numPr>
          <w:ilvl w:val="4"/>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due to Disability</w:t>
      </w:r>
      <w:r>
        <w:rPr>
          <w:rFonts w:ascii="Times New Roman" w:cs="Times New Roman" w:eastAsia="Times New Roman" w:hAnsi="Times New Roman"/>
          <w:sz w:val="20"/>
          <w:szCs w:val="20"/>
          <w:color w:val="auto"/>
        </w:rPr>
        <w:t>. If you are subject to a Disability, and if within thirty</w:t>
      </w:r>
    </w:p>
    <w:p>
      <w:pPr>
        <w:spacing w:after="0" w:line="4" w:lineRule="exact"/>
        <w:rPr>
          <w:rFonts w:ascii="Times New Roman" w:cs="Times New Roman" w:eastAsia="Times New Roman" w:hAnsi="Times New Roman"/>
          <w:sz w:val="20"/>
          <w:szCs w:val="20"/>
          <w:color w:val="auto"/>
        </w:rPr>
      </w:pPr>
    </w:p>
    <w:p>
      <w:pPr>
        <w:ind w:left="3300" w:hanging="402"/>
        <w:spacing w:after="0"/>
        <w:tabs>
          <w:tab w:leader="none" w:pos="3300" w:val="left"/>
        </w:tabs>
        <w:numPr>
          <w:ilvl w:val="3"/>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written notice is provided to you by the Company you shall not have returned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1" w:name="page122"/>
    <w:bookmarkEnd w:id="121"/>
    <w:p>
      <w:pPr>
        <w:spacing w:after="0" w:line="146" w:lineRule="exact"/>
        <w:rPr>
          <w:sz w:val="20"/>
          <w:szCs w:val="20"/>
          <w:color w:val="auto"/>
        </w:rPr>
      </w:pPr>
    </w:p>
    <w:p>
      <w:pPr>
        <w:ind w:left="260"/>
        <w:spacing w:after="0" w:line="243" w:lineRule="auto"/>
        <w:rPr>
          <w:sz w:val="20"/>
          <w:szCs w:val="20"/>
          <w:color w:val="auto"/>
        </w:rPr>
      </w:pPr>
      <w:r>
        <w:rPr>
          <w:rFonts w:ascii="Times New Roman" w:cs="Times New Roman" w:eastAsia="Times New Roman" w:hAnsi="Times New Roman"/>
          <w:sz w:val="21"/>
          <w:szCs w:val="21"/>
          <w:color w:val="auto"/>
        </w:rPr>
        <w:t>fully perform your duties, your employment and the Term, upon a second written notice from the Company, will be terminated for Disability as of the date set forth in such second written notice.</w:t>
      </w:r>
    </w:p>
    <w:p>
      <w:pPr>
        <w:spacing w:after="0" w:line="182" w:lineRule="exact"/>
        <w:rPr>
          <w:sz w:val="20"/>
          <w:szCs w:val="20"/>
          <w:color w:val="auto"/>
        </w:rPr>
      </w:pPr>
    </w:p>
    <w:p>
      <w:pPr>
        <w:jc w:val="both"/>
        <w:ind w:left="260" w:firstLine="634"/>
        <w:spacing w:after="0" w:line="214" w:lineRule="auto"/>
        <w:tabs>
          <w:tab w:leader="none" w:pos="121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for Good Reason</w:t>
      </w:r>
      <w:r>
        <w:rPr>
          <w:rFonts w:ascii="Times New Roman" w:cs="Times New Roman" w:eastAsia="Times New Roman" w:hAnsi="Times New Roman"/>
          <w:sz w:val="21"/>
          <w:szCs w:val="21"/>
          <w:color w:val="auto"/>
        </w:rPr>
        <w:t>. You may terminate your employment and the Term at any time for Good Reason; provided that you provide the Company with written notice within thirty (30) days of the date of the initial existence of the purported Good Reason event and such notice must describe in detail the basis and underlying facts supporting your belief that a Good Reason event has occurred (the “</w:t>
      </w:r>
      <w:r>
        <w:rPr>
          <w:rFonts w:ascii="Times New Roman" w:cs="Times New Roman" w:eastAsia="Times New Roman" w:hAnsi="Times New Roman"/>
          <w:sz w:val="21"/>
          <w:szCs w:val="21"/>
          <w:u w:val="single" w:color="auto"/>
          <w:color w:val="auto"/>
        </w:rPr>
        <w:t>Good Reason Notice</w:t>
      </w:r>
      <w:r>
        <w:rPr>
          <w:rFonts w:ascii="Times New Roman" w:cs="Times New Roman" w:eastAsia="Times New Roman" w:hAnsi="Times New Roman"/>
          <w:sz w:val="21"/>
          <w:szCs w:val="21"/>
          <w:color w:val="auto"/>
        </w:rPr>
        <w:t>”). Failure to timely provide such Good Reason Notice to the Company means that you will be deemed to have consented to and irrevocably waived that particular potential Good Reason event. After its receipt of the Good Reason Notice, the Company shall then have sixty (60) days to cure or remedy the alleged Good Reason event. If the Company does cure or remedy the alleged Good Reason event during such sixty (60) day period then the Good Reason event will be deemed to have not occurred. If the Company does not cure or remedy the Good Reason event during such sixty (60) day period then your employment with the Company shall be automatically terminated for Good Reason as of the day following the expiration of the sixty (60) day cure/remedy period. If you terminate your employment for Good Reason in accordance with the provisions of this Section 4(f), it shall be treated as a Qualifying Termination and the Company shall pay you (or cause to occur, if applicable) the amounts (and actions) set forth in Section 4(a) above in accordance with the terms thereof and any related provisions of this Agreement.</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18" w:lineRule="auto"/>
        <w:tabs>
          <w:tab w:leader="none" w:pos="1215"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without Good Reason</w:t>
      </w:r>
      <w:r>
        <w:rPr>
          <w:rFonts w:ascii="Times New Roman" w:cs="Times New Roman" w:eastAsia="Times New Roman" w:hAnsi="Times New Roman"/>
          <w:sz w:val="21"/>
          <w:szCs w:val="21"/>
          <w:color w:val="auto"/>
        </w:rPr>
        <w:t>. You may terminate your employment and the Term at any time for no reason, or for any reason that does not otherwise constitute Good Reason, in your sole and absolute discretion, but only if you provide written notice to the Company at least fifteen (15) days prior to the effective date of your intended resignation date (and such notice must specify the effective date of your resignation of employment). In the event you so terminate your employment without Good Reason, you shall only be entitled to receive (subject to Section 14 below) the Accrued Obligations through the Termination Date and neither you nor the Company shall have any further obligations to the other except as set forth in Sections 6 through 15.</w:t>
      </w:r>
    </w:p>
    <w:p>
      <w:pPr>
        <w:spacing w:after="0" w:line="175" w:lineRule="exact"/>
        <w:rPr>
          <w:rFonts w:ascii="Times New Roman" w:cs="Times New Roman" w:eastAsia="Times New Roman" w:hAnsi="Times New Roman"/>
          <w:sz w:val="21"/>
          <w:szCs w:val="21"/>
          <w:color w:val="auto"/>
        </w:rPr>
      </w:pPr>
    </w:p>
    <w:p>
      <w:pPr>
        <w:jc w:val="both"/>
        <w:ind w:left="260" w:firstLine="634"/>
        <w:spacing w:after="0" w:line="222" w:lineRule="auto"/>
        <w:tabs>
          <w:tab w:leader="none" w:pos="1215"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not obligated to employ your services (nor compensate you) for any length of time beyond the fifteen (15) day period commencing from the date of your written notice to the Company of your intended resignation. Further, the Company is not obligated to actually utilize your services at any time during such period commencing from the date of your written notice to the Company of your intended resignation through the Termination Date, and the Company may prevent you from accessing any of the Company’s premises or resources during such period.</w:t>
      </w:r>
    </w:p>
    <w:p>
      <w:pPr>
        <w:spacing w:after="0" w:line="185" w:lineRule="exact"/>
        <w:rPr>
          <w:rFonts w:ascii="Times New Roman" w:cs="Times New Roman" w:eastAsia="Times New Roman" w:hAnsi="Times New Roman"/>
          <w:sz w:val="21"/>
          <w:szCs w:val="21"/>
          <w:color w:val="auto"/>
        </w:rPr>
      </w:pPr>
    </w:p>
    <w:p>
      <w:pPr>
        <w:ind w:left="900" w:hanging="637"/>
        <w:spacing w:after="0"/>
        <w:tabs>
          <w:tab w:leader="none" w:pos="9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Golden Parachute Excise Tax</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left="260" w:firstLine="634"/>
        <w:spacing w:after="0" w:line="220" w:lineRule="auto"/>
        <w:tabs>
          <w:tab w:leader="none" w:pos="121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it shall be determined that any payment, distribution or other action by the Company to or for your benefit (whether paid or payable or distributed or distributable pursuant to the terms of this Agreement or otherwise,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would be subject to any excise tax (an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imposed by Section 4999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if, immediately prior to the Relevant 280G Event (as defined below), the Payments are eligible for the shareholder approval exemption under Section 280G(b)(5)(B) of the Code, then: (i) the Company shall submit the Payments for shareholder approval to the extent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2" w:name="page123"/>
    <w:bookmarkEnd w:id="122"/>
    <w:p>
      <w:pPr>
        <w:spacing w:after="0" w:line="146" w:lineRule="exact"/>
        <w:rPr>
          <w:sz w:val="20"/>
          <w:szCs w:val="20"/>
          <w:color w:val="auto"/>
        </w:rPr>
      </w:pPr>
    </w:p>
    <w:p>
      <w:pPr>
        <w:jc w:val="both"/>
        <w:ind w:left="260" w:right="20"/>
        <w:spacing w:after="0" w:line="222" w:lineRule="auto"/>
        <w:rPr>
          <w:sz w:val="20"/>
          <w:szCs w:val="20"/>
          <w:color w:val="auto"/>
        </w:rPr>
      </w:pPr>
      <w:r>
        <w:rPr>
          <w:rFonts w:ascii="Times New Roman" w:cs="Times New Roman" w:eastAsia="Times New Roman" w:hAnsi="Times New Roman"/>
          <w:sz w:val="21"/>
          <w:szCs w:val="21"/>
          <w:color w:val="auto"/>
        </w:rPr>
        <w:t>necessary for no Excise Tax to be due and (ii) you shall execute such releases or other documents necessary to seek to obtain the requisite shareholder approval in a manner satisfying Section 280G(b)(5)(B) of the Code. For purposes of this Section 5, “</w:t>
      </w:r>
      <w:r>
        <w:rPr>
          <w:rFonts w:ascii="Times New Roman" w:cs="Times New Roman" w:eastAsia="Times New Roman" w:hAnsi="Times New Roman"/>
          <w:sz w:val="21"/>
          <w:szCs w:val="21"/>
          <w:u w:val="single" w:color="auto"/>
          <w:color w:val="auto"/>
        </w:rPr>
        <w:t>Relevant 280G Event</w:t>
      </w:r>
      <w:r>
        <w:rPr>
          <w:rFonts w:ascii="Times New Roman" w:cs="Times New Roman" w:eastAsia="Times New Roman" w:hAnsi="Times New Roman"/>
          <w:sz w:val="21"/>
          <w:szCs w:val="21"/>
          <w:color w:val="auto"/>
        </w:rPr>
        <w:t>” means the relevant change in ownership or effective control, or change in the ownership of a substantial portion of the assets, of a corporation (all within the meaning of Section 280G of the Code), that will or may result in Payments becoming subject to the Excise Tax.</w:t>
      </w:r>
    </w:p>
    <w:p>
      <w:pPr>
        <w:spacing w:after="0" w:line="179" w:lineRule="exact"/>
        <w:rPr>
          <w:sz w:val="20"/>
          <w:szCs w:val="20"/>
          <w:color w:val="auto"/>
        </w:rPr>
      </w:pPr>
    </w:p>
    <w:p>
      <w:pPr>
        <w:ind w:left="1220" w:hanging="326"/>
        <w:spacing w:after="0"/>
        <w:tabs>
          <w:tab w:leader="none" w:pos="122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payments are not eligible for the shareholder approval exemption under Section 280G(b)(5)</w:t>
      </w:r>
    </w:p>
    <w:p>
      <w:pPr>
        <w:jc w:val="both"/>
        <w:ind w:left="260" w:firstLine="3"/>
        <w:spacing w:after="0" w:line="216" w:lineRule="auto"/>
        <w:tabs>
          <w:tab w:leader="none" w:pos="59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then the Payments shall be payable as to such less amount which would result in no portion of such payments or distributions being subject to the Excise Tax; provided, however, that no such reduction shall be made if the net after-tax amount (after taking into account federal, state, local or other income, employment and excise taxes) to which you would otherwise be entitled without such reduction would be greater than the net after- tax amount (after taking into account federal, state, local or other income, employment and excise taxes) to you resulting from the receipt of such payments and benefits with such reduction.</w:t>
      </w:r>
    </w:p>
    <w:p>
      <w:pPr>
        <w:spacing w:after="0" w:line="185" w:lineRule="exact"/>
        <w:rPr>
          <w:rFonts w:ascii="Times New Roman" w:cs="Times New Roman" w:eastAsia="Times New Roman" w:hAnsi="Times New Roman"/>
          <w:sz w:val="21"/>
          <w:szCs w:val="21"/>
          <w:color w:val="auto"/>
        </w:rPr>
      </w:pPr>
    </w:p>
    <w:p>
      <w:pPr>
        <w:jc w:val="both"/>
        <w:ind w:left="260" w:firstLine="634"/>
        <w:spacing w:after="0" w:line="214" w:lineRule="auto"/>
        <w:tabs>
          <w:tab w:leader="none" w:pos="1216"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reduction in the Payments is necessary so that no Payment is subject to the Excise Tax, the reduction shall occur in the following order: (1) reduction of cash payments for which the full amount is treated as a parachute payment; (2) cancellation of accelerated vesting (or, if necessary, payment) of cash awards for which the full amount is not treated as a parachute payment; (3) cancellation of any accelerated vesting of equity compensation awards; and (4) reduction of any continued employee benefits. In selecting the equity compensation awards (if any) for which vesting will be reduced under clause (3) of the preceding sentence, awards shall be selected in a manner that maximizes the after-tax aggregate amount of the Payments provided to you; provided, that, if (and only if) necessary in order to avoid the imposition of an additional tax under Section 409A (as defined below), awards instead shall be selected in the reverse order of the date of grant. For the avoidance of doubt, for purposes of measuring an equity compensation award’s value to you, such award’s value shall equal the then aggregate fair market value of the vested shares underlying the award less any aggregate exercise price less applicable taxes. Also, if two or more equity compensation awards are granted on the same date, each award will be reduced on a pro-rata basis. In no event shall you have any discretion with respect to the ordering of payment reductions.</w:t>
      </w:r>
    </w:p>
    <w:p>
      <w:pPr>
        <w:spacing w:after="0" w:line="179" w:lineRule="exact"/>
        <w:rPr>
          <w:rFonts w:ascii="Times New Roman" w:cs="Times New Roman" w:eastAsia="Times New Roman" w:hAnsi="Times New Roman"/>
          <w:sz w:val="21"/>
          <w:szCs w:val="21"/>
          <w:color w:val="auto"/>
        </w:rPr>
      </w:pPr>
    </w:p>
    <w:p>
      <w:pPr>
        <w:ind w:left="260" w:right="20" w:firstLine="634"/>
        <w:spacing w:after="0" w:line="243" w:lineRule="auto"/>
        <w:tabs>
          <w:tab w:leader="none" w:pos="121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will the Company be required to gross up any payment or benefit to you to avoid the effects of the Excise Tax or to pay any regular or excise taxes arising from the application of the Excise Tax.</w:t>
      </w:r>
    </w:p>
    <w:p>
      <w:pPr>
        <w:spacing w:after="0" w:line="168" w:lineRule="exact"/>
        <w:rPr>
          <w:rFonts w:ascii="Times New Roman" w:cs="Times New Roman" w:eastAsia="Times New Roman" w:hAnsi="Times New Roman"/>
          <w:sz w:val="21"/>
          <w:szCs w:val="21"/>
          <w:color w:val="auto"/>
        </w:rPr>
      </w:pPr>
    </w:p>
    <w:p>
      <w:pPr>
        <w:jc w:val="both"/>
        <w:ind w:left="260" w:firstLine="634"/>
        <w:spacing w:after="0" w:line="220" w:lineRule="auto"/>
        <w:tabs>
          <w:tab w:leader="none" w:pos="1216"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mathematical determinations and all determinations of whether any of the Payments are “parachute payments” (within the meaning of Section 280G) that are required to be made under this Section 5, shall be made by a nationally recognized independent audit firm, law firm or other advisor selected by the Company (the “</w:t>
      </w:r>
      <w:r>
        <w:rPr>
          <w:rFonts w:ascii="Times New Roman" w:cs="Times New Roman" w:eastAsia="Times New Roman" w:hAnsi="Times New Roman"/>
          <w:sz w:val="21"/>
          <w:szCs w:val="21"/>
          <w:u w:val="single" w:color="auto"/>
          <w:color w:val="auto"/>
        </w:rPr>
        <w:t>Advisors</w:t>
      </w:r>
      <w:r>
        <w:rPr>
          <w:rFonts w:ascii="Times New Roman" w:cs="Times New Roman" w:eastAsia="Times New Roman" w:hAnsi="Times New Roman"/>
          <w:sz w:val="21"/>
          <w:szCs w:val="21"/>
          <w:color w:val="auto"/>
        </w:rPr>
        <w:t>”), who shall provide their determination, together with detailed supporting calculations regarding the amount of any relevant matters, both to the Company and to you. Such determination shall be made by the Advisors using reasonable good faith interpretations of the Code. Any determination by the Advisors shall be binding upon the Company and you, absent manifest error.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3" w:name="page124"/>
    <w:bookmarkEnd w:id="123"/>
    <w:p>
      <w:pPr>
        <w:spacing w:after="0" w:line="146" w:lineRule="exact"/>
        <w:rPr>
          <w:sz w:val="20"/>
          <w:szCs w:val="20"/>
          <w:color w:val="auto"/>
        </w:rPr>
      </w:pPr>
    </w:p>
    <w:p>
      <w:pPr>
        <w:jc w:val="both"/>
        <w:ind w:left="260" w:right="20" w:firstLine="3"/>
        <w:spacing w:after="0" w:line="230" w:lineRule="auto"/>
        <w:tabs>
          <w:tab w:leader="none" w:pos="58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You shall be reimbursed for all documented reasonable business expenses that are incurred in the ordinary course of business upon the properly completed and timely submission of requisite forms and receipts to the Company in accordance with the Company’s expense reimbursement policy as in effect from time to time.</w:t>
      </w:r>
    </w:p>
    <w:p>
      <w:pPr>
        <w:spacing w:after="0" w:line="187" w:lineRule="exact"/>
        <w:rPr>
          <w:rFonts w:ascii="Times New Roman" w:cs="Times New Roman" w:eastAsia="Times New Roman" w:hAnsi="Times New Roman"/>
          <w:sz w:val="21"/>
          <w:szCs w:val="21"/>
          <w:color w:val="auto"/>
        </w:rPr>
      </w:pPr>
    </w:p>
    <w:p>
      <w:pPr>
        <w:ind w:left="900" w:hanging="637"/>
        <w:spacing w:after="0"/>
        <w:tabs>
          <w:tab w:leader="none" w:pos="9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left="260" w:firstLine="634"/>
        <w:spacing w:after="0" w:line="218" w:lineRule="auto"/>
        <w:tabs>
          <w:tab w:leader="none" w:pos="121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an employee of the Company, you will have access to certain confidential information of the Company and you may, during the course of your employment or thereafter, develop certain information or inventions which will be the property of the Company. You acknowledge that you will be making use of, acquiring and/or adding to confidential information. The confidential information is and will remain the sole and exclusive property of the Company. You will not at any time use, divulge, disclose or communicate, either directly or indirectly, in any manner whatsoever, any confidential information to any person or business entity, or remove from the premises of the Company any confidential information in whatever form, unless required by you to perform the essential functions of your position with the Company while employed by the Company.</w:t>
      </w:r>
    </w:p>
    <w:p>
      <w:pPr>
        <w:spacing w:after="0" w:line="175" w:lineRule="exact"/>
        <w:rPr>
          <w:rFonts w:ascii="Times New Roman" w:cs="Times New Roman" w:eastAsia="Times New Roman" w:hAnsi="Times New Roman"/>
          <w:sz w:val="21"/>
          <w:szCs w:val="21"/>
          <w:color w:val="auto"/>
        </w:rPr>
      </w:pPr>
    </w:p>
    <w:p>
      <w:pPr>
        <w:jc w:val="both"/>
        <w:ind w:left="260" w:firstLine="634"/>
        <w:spacing w:after="0" w:line="218" w:lineRule="auto"/>
        <w:tabs>
          <w:tab w:leader="none" w:pos="121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and as a condition to, your continued employment with the Company, and as an essential inducement to the Company to enter into this Agreement, this Agreement is expressly subject to your continued compliance with the Confidential Information and Employee Invention Assignment Agreement (the “</w:t>
      </w:r>
      <w:r>
        <w:rPr>
          <w:rFonts w:ascii="Times New Roman" w:cs="Times New Roman" w:eastAsia="Times New Roman" w:hAnsi="Times New Roman"/>
          <w:sz w:val="21"/>
          <w:szCs w:val="21"/>
          <w:u w:val="single" w:color="auto"/>
          <w:color w:val="auto"/>
        </w:rPr>
        <w:t>Confidentiality Agreement</w:t>
      </w:r>
      <w:r>
        <w:rPr>
          <w:rFonts w:ascii="Times New Roman" w:cs="Times New Roman" w:eastAsia="Times New Roman" w:hAnsi="Times New Roman"/>
          <w:sz w:val="21"/>
          <w:szCs w:val="21"/>
          <w:color w:val="auto"/>
        </w:rPr>
        <w:t xml:space="preserve">”) between you and the Company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(but with such changes as the Company may determine are necessary to reflect changes in applicable law). You will fully comply with all obligations under the Confidentiality Agreement and further agree that the provisions of such agreement shall survive any termination or expiration of this Agreement or termination of your employment.</w:t>
      </w:r>
    </w:p>
    <w:p>
      <w:pPr>
        <w:spacing w:after="0" w:line="188" w:lineRule="exact"/>
        <w:rPr>
          <w:rFonts w:ascii="Times New Roman" w:cs="Times New Roman" w:eastAsia="Times New Roman" w:hAnsi="Times New Roman"/>
          <w:sz w:val="21"/>
          <w:szCs w:val="21"/>
          <w:color w:val="auto"/>
        </w:rPr>
      </w:pPr>
    </w:p>
    <w:p>
      <w:pPr>
        <w:jc w:val="both"/>
        <w:ind w:left="260" w:right="20" w:firstLine="3"/>
        <w:spacing w:after="0" w:line="230" w:lineRule="auto"/>
        <w:tabs>
          <w:tab w:leader="none" w:pos="58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You and the Company (as applicable) agree to timely and fully comply with all of the covenants set forth in this Section 8 and further understand and agree that such covenants (in addition to Sections 5 and 9 through 15) shall survive any termination of your employment and termination or expiration of this Agreement.</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25" w:lineRule="auto"/>
        <w:tabs>
          <w:tab w:leader="none" w:pos="121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Company Property</w:t>
      </w:r>
      <w:r>
        <w:rPr>
          <w:rFonts w:ascii="Times New Roman" w:cs="Times New Roman" w:eastAsia="Times New Roman" w:hAnsi="Times New Roman"/>
          <w:sz w:val="21"/>
          <w:szCs w:val="21"/>
          <w:color w:val="auto"/>
        </w:rPr>
        <w:t>. On your Termination Date, or at any other time as required by the Company, you will immediately surrender to the Company all Company property, including, but not limited to, Confidential Information (as such term is defined in the Confidentiality Agreement), keys, key cards, computers, telephones, pagers, credit cards, automobiles, equipment, and/or other similar property of the Company.</w:t>
      </w:r>
    </w:p>
    <w:p>
      <w:pPr>
        <w:spacing w:after="0" w:line="173" w:lineRule="exact"/>
        <w:rPr>
          <w:rFonts w:ascii="Times New Roman" w:cs="Times New Roman" w:eastAsia="Times New Roman" w:hAnsi="Times New Roman"/>
          <w:sz w:val="21"/>
          <w:szCs w:val="21"/>
          <w:color w:val="auto"/>
        </w:rPr>
      </w:pPr>
    </w:p>
    <w:p>
      <w:pPr>
        <w:jc w:val="both"/>
        <w:ind w:left="260" w:right="20" w:firstLine="634"/>
        <w:spacing w:after="0" w:line="218" w:lineRule="auto"/>
        <w:tabs>
          <w:tab w:leader="none" w:pos="121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w:t>
      </w:r>
      <w:r>
        <w:rPr>
          <w:rFonts w:ascii="Times New Roman" w:cs="Times New Roman" w:eastAsia="Times New Roman" w:hAnsi="Times New Roman"/>
          <w:sz w:val="21"/>
          <w:szCs w:val="21"/>
          <w:color w:val="auto"/>
        </w:rPr>
        <w:t>. During your employment with the Company and for twelve (12) months after your Termination Date, but only to the extent permitted by applicable law, you shall not, directly or indirectly, either as an individual or as an employee, agent, consultant, advisor, independent contractor, general partner, officer, director, stockholder, investor, lender, or in any other capacity whatsoever, of any person, firm, corporation or partnership: (i) solicit, induce, recruit or encourage any of the Company’s employees or consultants to terminate their relationship with the Company, or (ii) attempt to solicit, induce, recruit, or encourage any of the Company’s employees or consultants to terminate their relationship with the Company, or (iii) attempt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4" w:name="page125"/>
    <w:bookmarkEnd w:id="124"/>
    <w:p>
      <w:pPr>
        <w:spacing w:after="0" w:line="146" w:lineRule="exact"/>
        <w:rPr>
          <w:sz w:val="20"/>
          <w:szCs w:val="20"/>
          <w:color w:val="auto"/>
        </w:rPr>
      </w:pPr>
    </w:p>
    <w:p>
      <w:pPr>
        <w:ind w:left="260" w:right="20"/>
        <w:spacing w:after="0" w:line="243" w:lineRule="auto"/>
        <w:rPr>
          <w:sz w:val="20"/>
          <w:szCs w:val="20"/>
          <w:color w:val="auto"/>
        </w:rPr>
      </w:pPr>
      <w:r>
        <w:rPr>
          <w:rFonts w:ascii="Times New Roman" w:cs="Times New Roman" w:eastAsia="Times New Roman" w:hAnsi="Times New Roman"/>
          <w:sz w:val="21"/>
          <w:szCs w:val="21"/>
          <w:color w:val="auto"/>
        </w:rPr>
        <w:t>solicit, induce, recruit, encourage or take away employees or consultants of the Company. A general advertisement for employment not targeted at any specific individual shall not constitute a violation of this Section 8(b).</w:t>
      </w:r>
    </w:p>
    <w:p>
      <w:pPr>
        <w:spacing w:after="0" w:line="182" w:lineRule="exact"/>
        <w:rPr>
          <w:sz w:val="20"/>
          <w:szCs w:val="20"/>
          <w:color w:val="auto"/>
        </w:rPr>
      </w:pPr>
    </w:p>
    <w:p>
      <w:pPr>
        <w:jc w:val="both"/>
        <w:ind w:left="260" w:right="20" w:firstLine="634"/>
        <w:spacing w:after="0" w:line="218" w:lineRule="auto"/>
        <w:tabs>
          <w:tab w:leader="none" w:pos="121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w:t>
      </w:r>
      <w:r>
        <w:rPr>
          <w:rFonts w:ascii="Times New Roman" w:cs="Times New Roman" w:eastAsia="Times New Roman" w:hAnsi="Times New Roman"/>
          <w:sz w:val="21"/>
          <w:szCs w:val="21"/>
          <w:color w:val="auto"/>
        </w:rPr>
        <w:t>. Notwithstanding any requirement that the Company may have to publicly disclose the terms of this Agreement (and its exhibits) pursuant to applicable law or regulations, you agree to use reasonable efforts to maintain in confidence the existence of this Agreement, the contents and terms of this Agreement, and the consideration for this Agreement (hereinafter collectively referred to as “</w:t>
      </w:r>
      <w:r>
        <w:rPr>
          <w:rFonts w:ascii="Times New Roman" w:cs="Times New Roman" w:eastAsia="Times New Roman" w:hAnsi="Times New Roman"/>
          <w:sz w:val="21"/>
          <w:szCs w:val="21"/>
          <w:u w:val="single" w:color="auto"/>
          <w:color w:val="auto"/>
        </w:rPr>
        <w:t>Agreement Information</w:t>
      </w:r>
      <w:r>
        <w:rPr>
          <w:rFonts w:ascii="Times New Roman" w:cs="Times New Roman" w:eastAsia="Times New Roman" w:hAnsi="Times New Roman"/>
          <w:sz w:val="21"/>
          <w:szCs w:val="21"/>
          <w:color w:val="auto"/>
        </w:rPr>
        <w:t>”). You also agree to take every reasonable precaution to prevent disclosure of any Agreement Information to third parties, except for disclosures required by law or absolutely necessary with respect to your immediate family members or personal advisors who shall also agree to maintain the confidentiality of the Agreement Information.</w:t>
      </w:r>
    </w:p>
    <w:p>
      <w:pPr>
        <w:spacing w:after="0" w:line="188" w:lineRule="exact"/>
        <w:rPr>
          <w:rFonts w:ascii="Times New Roman" w:cs="Times New Roman" w:eastAsia="Times New Roman" w:hAnsi="Times New Roman"/>
          <w:sz w:val="21"/>
          <w:szCs w:val="21"/>
          <w:color w:val="auto"/>
        </w:rPr>
      </w:pPr>
    </w:p>
    <w:p>
      <w:pPr>
        <w:jc w:val="both"/>
        <w:ind w:left="260" w:right="20" w:firstLine="634"/>
        <w:spacing w:after="0" w:line="222" w:lineRule="auto"/>
        <w:tabs>
          <w:tab w:leader="none" w:pos="121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You agree that, upon the Company’s request, during the five (5) years immediately following your termination of employment with the Company you shall reasonably cooperate with the Company (and be available as reasonably necessary) after the Termination Date in connection with any matters involving events that occurred during your period of employment with the Company. When making requests for you to assist with matters involving events that occurred during your period of employment with the Company, the Company agrees to reasonably accommodate your schedule.</w:t>
      </w:r>
    </w:p>
    <w:p>
      <w:pPr>
        <w:spacing w:after="0" w:line="172" w:lineRule="exact"/>
        <w:rPr>
          <w:rFonts w:ascii="Times New Roman" w:cs="Times New Roman" w:eastAsia="Times New Roman" w:hAnsi="Times New Roman"/>
          <w:sz w:val="21"/>
          <w:szCs w:val="21"/>
          <w:color w:val="auto"/>
        </w:rPr>
      </w:pPr>
    </w:p>
    <w:p>
      <w:pPr>
        <w:jc w:val="both"/>
        <w:ind w:left="260" w:firstLine="634"/>
        <w:spacing w:after="0" w:line="225" w:lineRule="auto"/>
        <w:tabs>
          <w:tab w:leader="none" w:pos="121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Amounts Due</w:t>
      </w:r>
      <w:r>
        <w:rPr>
          <w:rFonts w:ascii="Times New Roman" w:cs="Times New Roman" w:eastAsia="Times New Roman" w:hAnsi="Times New Roman"/>
          <w:sz w:val="21"/>
          <w:szCs w:val="21"/>
          <w:color w:val="auto"/>
        </w:rPr>
        <w:t>. You will fully pay off any outstanding amounts owed to the Company no later than their applicable due date or within thirty (30) days of the Termination Date (if no other due date has previously been established). Within thirty (30) days of the Termination Date, you will submit any outstanding business expense reports to the Company for business expenses incurred prior to the Termination Date.</w:t>
      </w:r>
    </w:p>
    <w:p>
      <w:pPr>
        <w:spacing w:after="0" w:line="186" w:lineRule="exact"/>
        <w:rPr>
          <w:rFonts w:ascii="Times New Roman" w:cs="Times New Roman" w:eastAsia="Times New Roman" w:hAnsi="Times New Roman"/>
          <w:sz w:val="21"/>
          <w:szCs w:val="21"/>
          <w:color w:val="auto"/>
        </w:rPr>
      </w:pPr>
    </w:p>
    <w:p>
      <w:pPr>
        <w:jc w:val="both"/>
        <w:ind w:left="260" w:right="20" w:firstLine="634"/>
        <w:spacing w:after="0" w:line="230" w:lineRule="auto"/>
        <w:tabs>
          <w:tab w:leader="none" w:pos="1219"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Resources</w:t>
      </w:r>
      <w:r>
        <w:rPr>
          <w:rFonts w:ascii="Times New Roman" w:cs="Times New Roman" w:eastAsia="Times New Roman" w:hAnsi="Times New Roman"/>
          <w:sz w:val="21"/>
          <w:szCs w:val="21"/>
          <w:color w:val="auto"/>
        </w:rPr>
        <w:t>. As of the Termination Date, or at any other time as required by the Company, you will no longer represent that you are an officer, director or employee of the Company or any Company affiliate and you will immediately discontinue using the Company mailing address, telephone, facsimile machines, voice mail and e-mail.</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17" w:lineRule="auto"/>
        <w:tabs>
          <w:tab w:leader="none" w:pos="121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You represent that you have not entered into any agreements, understandings, or arrangements with any person or entity that you would breach as a result of, or that would in any way preclude or prohibit you from entering into, this Agreement with the Company or performing any of the duties and responsibilities provided for in this Agreement. You represent that you do not possess any confidential, proprietary business information belonging to any other entity, and will not use any confidential, proprietary business information belonging to any other entity in connection with your employment with the Company. You represent that you are not resigning employment or relocating any residence in reliance on any promise or representation by the Company regarding the kind, character, or existence of such work, or the length of time such work will last, or the compensation therefor.</w:t>
      </w:r>
    </w:p>
    <w:p>
      <w:pPr>
        <w:spacing w:after="0" w:line="174" w:lineRule="exact"/>
        <w:rPr>
          <w:rFonts w:ascii="Times New Roman" w:cs="Times New Roman" w:eastAsia="Times New Roman" w:hAnsi="Times New Roman"/>
          <w:sz w:val="21"/>
          <w:szCs w:val="21"/>
          <w:color w:val="auto"/>
        </w:rPr>
      </w:pPr>
    </w:p>
    <w:p>
      <w:pPr>
        <w:ind w:left="260" w:right="20" w:firstLine="634"/>
        <w:spacing w:after="0" w:line="221" w:lineRule="auto"/>
        <w:tabs>
          <w:tab w:leader="none" w:pos="121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Company may (i) cause the cancellation of any equity or cash compensation, (ii) require reimbursement of any of your equity or cash compensation and</w:t>
      </w:r>
    </w:p>
    <w:p>
      <w:pPr>
        <w:ind w:left="660" w:hanging="397"/>
        <w:spacing w:after="0"/>
        <w:tabs>
          <w:tab w:leader="none" w:pos="6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any other right of recoupment of equity or other compensation provided under this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5" w:name="page126"/>
    <w:bookmarkEnd w:id="125"/>
    <w:p>
      <w:pPr>
        <w:spacing w:after="0" w:line="146" w:lineRule="exact"/>
        <w:rPr>
          <w:sz w:val="20"/>
          <w:szCs w:val="20"/>
          <w:color w:val="auto"/>
        </w:rPr>
      </w:pPr>
    </w:p>
    <w:p>
      <w:pPr>
        <w:ind w:left="260" w:right="320"/>
        <w:spacing w:after="0" w:line="243" w:lineRule="auto"/>
        <w:rPr>
          <w:sz w:val="20"/>
          <w:szCs w:val="20"/>
          <w:color w:val="auto"/>
        </w:rPr>
      </w:pPr>
      <w:r>
        <w:rPr>
          <w:rFonts w:ascii="Times New Roman" w:cs="Times New Roman" w:eastAsia="Times New Roman" w:hAnsi="Times New Roman"/>
          <w:sz w:val="21"/>
          <w:szCs w:val="21"/>
          <w:color w:val="auto"/>
        </w:rPr>
        <w:t>Agreement or otherwise, in each case to the extent required under applicable law or pursuant to the requirements of a stock exchange applicable to the Company.</w:t>
      </w:r>
    </w:p>
    <w:p>
      <w:pPr>
        <w:spacing w:after="0" w:line="182" w:lineRule="exact"/>
        <w:rPr>
          <w:sz w:val="20"/>
          <w:szCs w:val="20"/>
          <w:color w:val="auto"/>
        </w:rPr>
      </w:pPr>
    </w:p>
    <w:p>
      <w:pPr>
        <w:jc w:val="both"/>
        <w:ind w:left="260" w:firstLine="634"/>
        <w:spacing w:after="0" w:line="217" w:lineRule="auto"/>
        <w:tabs>
          <w:tab w:leader="none" w:pos="1221"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Violations</w:t>
      </w:r>
      <w:r>
        <w:rPr>
          <w:rFonts w:ascii="Times New Roman" w:cs="Times New Roman" w:eastAsia="Times New Roman" w:hAnsi="Times New Roman"/>
          <w:sz w:val="21"/>
          <w:szCs w:val="21"/>
          <w:color w:val="auto"/>
        </w:rPr>
        <w:t>. You acknowledge that (i) upon a violation of any of the covenants contained in this Section 8, (ii) if the Company is terminating your employment for Cause as provided under this Agreement; or (iii)) your breach of the covenants in the Confidentiality Agreement, the Company would sustain irreparable harm as a result and that the Company would not have entered into this Agreement without such restrictions, and, therefore, you agree that in addition to any other remedies which the Company may have, the Company shall be entitled, without bond of any kind, to seek equitable relief including specific performance and injunctions (without posting of bond) restraining you from committing or continuing any such violation. Moreover, the Company will be entitled to an accounting of profits, compensation, remuneration or other benefits received by you, in addition to any other contractual, legal or equitable rights, damages or remedies available.</w:t>
      </w:r>
    </w:p>
    <w:p>
      <w:pPr>
        <w:spacing w:after="0" w:line="187" w:lineRule="exact"/>
        <w:rPr>
          <w:rFonts w:ascii="Times New Roman" w:cs="Times New Roman" w:eastAsia="Times New Roman" w:hAnsi="Times New Roman"/>
          <w:sz w:val="21"/>
          <w:szCs w:val="21"/>
          <w:color w:val="auto"/>
        </w:rPr>
      </w:pPr>
    </w:p>
    <w:p>
      <w:pPr>
        <w:jc w:val="both"/>
        <w:ind w:left="260" w:firstLine="3"/>
        <w:spacing w:after="0" w:line="212" w:lineRule="auto"/>
        <w:tabs>
          <w:tab w:leader="none" w:pos="58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its attachments, the Confidentiality Agreement, and any other agreements referenced herein, as amended or superseded from time to time, contain the entire agreement between you and the Company regarding their terms and supersede any and all prior written or oral understandings other than any award agreements that govern the Pre- Existing Awards (the “</w:t>
      </w:r>
      <w:r>
        <w:rPr>
          <w:rFonts w:ascii="Times New Roman" w:cs="Times New Roman" w:eastAsia="Times New Roman" w:hAnsi="Times New Roman"/>
          <w:sz w:val="21"/>
          <w:szCs w:val="21"/>
          <w:u w:val="single" w:color="auto"/>
          <w:color w:val="auto"/>
        </w:rPr>
        <w:t>Prior Agreements</w:t>
      </w:r>
      <w:r>
        <w:rPr>
          <w:rFonts w:ascii="Times New Roman" w:cs="Times New Roman" w:eastAsia="Times New Roman" w:hAnsi="Times New Roman"/>
          <w:sz w:val="21"/>
          <w:szCs w:val="21"/>
          <w:color w:val="auto"/>
        </w:rPr>
        <w:t>”). With respect to the Pre-Existing Awards, the acceleration of vesting provisions contained in this Agreement supersede and replace in their entirety, and act as amendments to, any acceleration of vesting provisions contained in the award agreements that govern the Pre-Existing Equity Awards (which agreements, to the extent not otherwise amended by this Agreement (including, without limitation, under Sections 3 and 4), remain in full force and effect); provided, however, for purposes of clarity, such provisions do not supersede or replace Section 16(d) of the 2016 Plan. You agree and acknowledge that you are not eligible for, and will not receive, any compensation, benefits, vesting acceleration,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a Good Reason resignation right, or other “Qualifying Termination” for purposes of the Prior Agreements or any other severance or change in control plan, agreement or policy maintained by the Company or its affiliates. Except as otherwise provided herein, this Agreement may not be amended or modified except in a writing, executed by you and a duly authorized officer of the Company other than yourself. This Agreement may be executed by facsimile or email signatures and in counterparts, each of which shall constitute an original, and all of which shall constitute one and the same instrument. In the event of any conflict between this Agreement and any award agreements governing the Equity Awards, this Agreement shall prevail.</w:t>
      </w:r>
    </w:p>
    <w:p>
      <w:pPr>
        <w:spacing w:after="0" w:line="186" w:lineRule="exact"/>
        <w:rPr>
          <w:rFonts w:ascii="Times New Roman" w:cs="Times New Roman" w:eastAsia="Times New Roman" w:hAnsi="Times New Roman"/>
          <w:sz w:val="21"/>
          <w:szCs w:val="21"/>
          <w:color w:val="auto"/>
        </w:rPr>
      </w:pPr>
    </w:p>
    <w:p>
      <w:pPr>
        <w:jc w:val="both"/>
        <w:ind w:left="260" w:firstLine="3"/>
        <w:spacing w:after="0" w:line="218" w:lineRule="auto"/>
        <w:tabs>
          <w:tab w:leader="none" w:pos="58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Severability; Waiver</w:t>
      </w:r>
      <w:r>
        <w:rPr>
          <w:rFonts w:ascii="Times New Roman" w:cs="Times New Roman" w:eastAsia="Times New Roman" w:hAnsi="Times New Roman"/>
          <w:sz w:val="21"/>
          <w:szCs w:val="21"/>
          <w:color w:val="auto"/>
        </w:rPr>
        <w:t>. This Agreement will be governed by the laws of the State of California, United States, without reference to the conflict of law provisions thereof. If any provision of this Agreement, or portion thereof, shall be held invalid or unenforceable by a court of competent jurisdiction, such invalidity or unenforceability shall attach only to such provision or portion thereof, and shall not in any manner affect or render invalid or unenforceable any other provision, or portion thereof, of this Agreement. No breach of any provision hereof can be waived unless in writing. Waiver of any one breach of any provision hereof will not be deemed to be a waiver of any other breach of the same or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6" w:name="page127"/>
    <w:bookmarkEnd w:id="126"/>
    <w:p>
      <w:pPr>
        <w:spacing w:after="0" w:line="146" w:lineRule="exact"/>
        <w:rPr>
          <w:sz w:val="20"/>
          <w:szCs w:val="20"/>
          <w:color w:val="auto"/>
        </w:rPr>
      </w:pPr>
    </w:p>
    <w:p>
      <w:pPr>
        <w:jc w:val="both"/>
        <w:ind w:left="260" w:right="20" w:firstLine="3"/>
        <w:spacing w:after="0" w:line="225" w:lineRule="auto"/>
        <w:tabs>
          <w:tab w:leader="none" w:pos="58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this Agreement to any successor (whether by amalgamation, merger, consolidation, sale of assets, purchase or otherwise) to all or substantially all of the equity, assets or business of the Company, and this Agreement will be binding upon and inure to the benefit of such successors and assigns, including any successor entity. You may not assign this Agreement or your obligations hereunder.</w:t>
      </w:r>
    </w:p>
    <w:p>
      <w:pPr>
        <w:spacing w:after="0" w:line="186" w:lineRule="exact"/>
        <w:rPr>
          <w:rFonts w:ascii="Times New Roman" w:cs="Times New Roman" w:eastAsia="Times New Roman" w:hAnsi="Times New Roman"/>
          <w:sz w:val="21"/>
          <w:szCs w:val="21"/>
          <w:color w:val="auto"/>
        </w:rPr>
      </w:pPr>
    </w:p>
    <w:p>
      <w:pPr>
        <w:jc w:val="both"/>
        <w:ind w:left="260" w:right="20" w:firstLine="3"/>
        <w:spacing w:after="0" w:line="214" w:lineRule="auto"/>
        <w:tabs>
          <w:tab w:leader="none" w:pos="5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and all notices required or permitted to be given to you or the Company pursuant to the provisions of this Agreement will be in writing, and will be effective and deemed to provide such party sufficient notice hereunder on the earliest of the following: (i) at the time of personal delivery, if delivery is in person; (ii) one (1) business day after deposit with an express overnight courier for United States deliveries, or two (2) business days after such deposit for deliveries outside of the United States; (iii) three (3) business days after deposit in the United States mail by certified mail (return receipt requested) for United States deliveries. All notices that the Company is required to or may desire to give you that are not delivered personally will be sent with postage and/or other charges prepaid and properly addressed to you at your home address of record with the Company, or at such other address as you may from time to time designate by one of the indicated means of notice herein. All notices that you are required to or may desire to give to the Company that are not delivered personally will be sent with postage and/or other charges prepaid and properly addressed to the Company’s Chief Executive Officer at its principal office, or at such other office as the Company may from time to time designate by one of the indicated means of notice herein.</w:t>
      </w:r>
    </w:p>
    <w:p>
      <w:pPr>
        <w:spacing w:after="0" w:line="192" w:lineRule="exact"/>
        <w:rPr>
          <w:rFonts w:ascii="Times New Roman" w:cs="Times New Roman" w:eastAsia="Times New Roman" w:hAnsi="Times New Roman"/>
          <w:sz w:val="21"/>
          <w:szCs w:val="21"/>
          <w:color w:val="auto"/>
        </w:rPr>
      </w:pPr>
    </w:p>
    <w:p>
      <w:pPr>
        <w:jc w:val="both"/>
        <w:ind w:left="260" w:right="20" w:firstLine="3"/>
        <w:spacing w:after="0" w:line="222" w:lineRule="auto"/>
        <w:tabs>
          <w:tab w:leader="none" w:pos="5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and Taxes</w:t>
      </w:r>
      <w:r>
        <w:rPr>
          <w:rFonts w:ascii="Times New Roman" w:cs="Times New Roman" w:eastAsia="Times New Roman" w:hAnsi="Times New Roman"/>
          <w:sz w:val="21"/>
          <w:szCs w:val="21"/>
          <w:color w:val="auto"/>
        </w:rPr>
        <w:t>. The Company shall have the right to withhold and deduct from any payment provided for hereunder or under any other Company plan or agreement any federal, state, local or foreign taxes of any kind required by law to be withheld with respect to any such payment. The Company (including without limitation members of the Board) shall not be liable to you or other persons as to any unexpected or adverse tax consequence realized by you and you shall be solely responsible for the timely payment of all taxes arising from this Agreement that are imposed on you.</w:t>
      </w:r>
    </w:p>
    <w:p>
      <w:pPr>
        <w:spacing w:after="0" w:line="172" w:lineRule="exact"/>
        <w:rPr>
          <w:rFonts w:ascii="Times New Roman" w:cs="Times New Roman" w:eastAsia="Times New Roman" w:hAnsi="Times New Roman"/>
          <w:sz w:val="21"/>
          <w:szCs w:val="21"/>
          <w:color w:val="auto"/>
        </w:rPr>
      </w:pPr>
    </w:p>
    <w:p>
      <w:pPr>
        <w:jc w:val="both"/>
        <w:ind w:left="260" w:firstLine="3"/>
        <w:spacing w:after="0" w:line="213" w:lineRule="auto"/>
        <w:tabs>
          <w:tab w:leader="none" w:pos="5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be exempt from or comply with the requirements of Code Section 409A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In the event this Agreement or any benefit paid to you hereunder is deemed to be subject to Section 409A, you consent to the Company adopting such conforming amendments as the Company deems necessary, in good faith and in its reasonable discretion, to comply with Section 409A and avoid the imposition of taxes under Section 409A. Each payment made pursuant to any provision of this Agreement, including under Section 4(a), shall be considered a separate payment and not one of a series of payments for purposes of Section 409A. Notwithstanding anything to the contrary herein, except to the extent any expense, reimbursement or in-kind benefit provided pursuant to this Agreement does not constitute a “deferral of compensation” within the meaning of Section 409A: (A) the amount of expenses eligible for reimbursement or in-kind benefits provided to you during any calendar year will not affect the amount of expenses eligible for reimbursement or in-kind benefits provided to you in any other calendar year; (B) the reimbursements for expenses for which you are entitled to be reimbursed shall be made on or before the last day of the calendar year following the calendar year in which the applicable expense is incurred; and (C) the right to payment or reimbursement or in-kind benefits hereunder may not be liquidated or exchanged for any other benefit. While it is intended that all payments and benefits provided under this Agreement to you will be exempt from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7" w:name="page128"/>
    <w:bookmarkEnd w:id="127"/>
    <w:p>
      <w:pPr>
        <w:spacing w:after="0" w:line="146" w:lineRule="exact"/>
        <w:rPr>
          <w:sz w:val="20"/>
          <w:szCs w:val="20"/>
          <w:color w:val="auto"/>
        </w:rPr>
      </w:pPr>
    </w:p>
    <w:p>
      <w:pPr>
        <w:jc w:val="both"/>
        <w:ind w:left="260"/>
        <w:spacing w:after="0" w:line="212" w:lineRule="auto"/>
        <w:rPr>
          <w:sz w:val="20"/>
          <w:szCs w:val="20"/>
          <w:color w:val="auto"/>
        </w:rPr>
      </w:pPr>
      <w:r>
        <w:rPr>
          <w:rFonts w:ascii="Times New Roman" w:cs="Times New Roman" w:eastAsia="Times New Roman" w:hAnsi="Times New Roman"/>
          <w:sz w:val="21"/>
          <w:szCs w:val="21"/>
          <w:color w:val="auto"/>
        </w:rPr>
        <w:t>or comply with Section 409A, the Company makes no representation or covenant to ensure that the payments under this Agreement are exempt from or compliant with Section 409A. The Company will have no liability to you or any other party if a payment or benefit under this Agreement is challenged by any taxing authority or is ultimately determined not to be exempt or compliant. You further understand and agree that you will be entirely responsible for any and all taxes on any benefits payable to you as a result of this Agreement. In addition, if upon your Separation from Service, you are then a “specified employee” (as defined in Section 409A), then notwithstanding anything to the contrary in this Agreement, and solely to the extent necessary to comply with Section 409A and avoid the imposition of taxes under Section 409A, the Company shall defer payment of “nonqualified deferred compensation” subject to Section 409A payable as a result of and within six (6) months following such Separation from Service under this Agreement until the earlier of (i) the first business day of the seventh month following your Separation from Service, or (ii) ten (10) days after the Company receives written notification of your death. Any such delayed payments shall be made without interest. Furthermore, for purposes of compliance with Section 409A, references to “terminate,” “termination” or the like shall be interpreted to mean your Separation from Service. Notwithstanding anything to the contrary in this Agreement or the Release, if you become entitled to vesting acceleration benefits under Section 4(a) with respect to your RSUs and/or IPO RSUs, and the Release Period spans two calendar years, your unvested RSUs and IPO RSUs, as applicable, shall not accelerate vesting pursuant to Section 4(a) any earlier than January 1 in the calendar year immediately following the calendar year in which your termination occurs. For the avoidance of doubt, termination or forfeiture of any of your Company equity awards eligible for vesting acceleration under Section 4(a) due to your termination of employment with the Company shall be tolled to the extent necessary to implement the vesting acceleration contemplated by Section 4(a), but in no event will your Company stock options remain outstanding beyond their maximum term to expiration.</w:t>
      </w:r>
    </w:p>
    <w:p>
      <w:pPr>
        <w:spacing w:after="0" w:line="181" w:lineRule="exact"/>
        <w:rPr>
          <w:sz w:val="20"/>
          <w:szCs w:val="20"/>
          <w:color w:val="auto"/>
        </w:rPr>
      </w:pPr>
    </w:p>
    <w:p>
      <w:pPr>
        <w:jc w:val="both"/>
        <w:ind w:left="260" w:firstLine="3"/>
        <w:spacing w:after="0" w:line="225" w:lineRule="auto"/>
        <w:tabs>
          <w:tab w:leader="none" w:pos="58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w:t>
      </w:r>
      <w:r>
        <w:rPr>
          <w:rFonts w:ascii="Times New Roman" w:cs="Times New Roman" w:eastAsia="Times New Roman" w:hAnsi="Times New Roman"/>
          <w:sz w:val="21"/>
          <w:szCs w:val="21"/>
          <w:color w:val="auto"/>
        </w:rPr>
        <w:t xml:space="preserve">. Notwithstanding anything to the contrary in this Agreement, any severance or other payments or benefits made to you under this Agreement may be reduced, in the Company’s discretion, by any amounts you owe to the Company or as will be needed to satisfy any future payments you would need to make for continuing post-termination benefits;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offsets do not violate Section 409A.</w:t>
      </w:r>
    </w:p>
    <w:p>
      <w:pPr>
        <w:spacing w:after="0" w:line="186" w:lineRule="exact"/>
        <w:rPr>
          <w:rFonts w:ascii="Times New Roman" w:cs="Times New Roman" w:eastAsia="Times New Roman" w:hAnsi="Times New Roman"/>
          <w:sz w:val="21"/>
          <w:szCs w:val="21"/>
          <w:color w:val="auto"/>
        </w:rPr>
      </w:pPr>
    </w:p>
    <w:p>
      <w:pPr>
        <w:jc w:val="both"/>
        <w:ind w:left="260" w:firstLine="3"/>
        <w:spacing w:after="0" w:line="218" w:lineRule="auto"/>
        <w:tabs>
          <w:tab w:leader="none" w:pos="58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Agreement</w:t>
      </w:r>
      <w:r>
        <w:rPr>
          <w:rFonts w:ascii="Times New Roman" w:cs="Times New Roman" w:eastAsia="Times New Roman" w:hAnsi="Times New Roman"/>
          <w:sz w:val="21"/>
          <w:szCs w:val="21"/>
          <w:color w:val="auto"/>
        </w:rPr>
        <w:t>. You acknowledge that you have been advised to review this Agreement with your own legal counsel and other advisors of your choosing and that prior to entering into this Agreement, you have had the opportunity to review this Agreement with your attorney and other advisors and have not asked (or relied upon) the Company or its counsel to represent you or your counsel in this matter. You further represent that you have carefully read and understand the scope and effect of the provisions of this Agreement and that you are fully aware of the legal and binding effect of this Agreement. This Agreement is executed voluntarily by you and without any duress or undue influence on the part or behalf of the Company.</w:t>
      </w:r>
    </w:p>
    <w:p>
      <w:pPr>
        <w:spacing w:after="0" w:line="188" w:lineRule="exact"/>
        <w:rPr>
          <w:rFonts w:ascii="Times New Roman" w:cs="Times New Roman" w:eastAsia="Times New Roman" w:hAnsi="Times New Roman"/>
          <w:sz w:val="21"/>
          <w:szCs w:val="21"/>
          <w:color w:val="auto"/>
        </w:rPr>
      </w:pPr>
    </w:p>
    <w:p>
      <w:pPr>
        <w:ind w:left="900" w:hanging="637"/>
        <w:spacing w:after="0"/>
        <w:tabs>
          <w:tab w:leader="none" w:pos="90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definitions shall apply for purposes of this Agreement:</w:t>
      </w:r>
    </w:p>
    <w:p>
      <w:pPr>
        <w:spacing w:after="0" w:line="205" w:lineRule="exact"/>
        <w:rPr>
          <w:rFonts w:ascii="Times New Roman" w:cs="Times New Roman" w:eastAsia="Times New Roman" w:hAnsi="Times New Roman"/>
          <w:sz w:val="21"/>
          <w:szCs w:val="21"/>
          <w:color w:val="auto"/>
        </w:rPr>
      </w:pPr>
    </w:p>
    <w:p>
      <w:pPr>
        <w:jc w:val="both"/>
        <w:ind w:left="260" w:firstLine="634"/>
        <w:spacing w:after="0" w:line="225" w:lineRule="auto"/>
        <w:tabs>
          <w:tab w:leader="none" w:pos="121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shall mean the sum of (i) any portion of your accrued but unpaid Base Salary through the Termination Date; (ii) subject to Section 14, any compensation previously earned but deferred by you (together with any interest or earnings thereon) that has not yet been paid and that is not otherwise to be paid at a later date pursuant to any deferred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8" w:name="page129"/>
    <w:bookmarkEnd w:id="128"/>
    <w:p>
      <w:pPr>
        <w:spacing w:after="0" w:line="146" w:lineRule="exact"/>
        <w:rPr>
          <w:sz w:val="20"/>
          <w:szCs w:val="20"/>
          <w:color w:val="auto"/>
        </w:rPr>
      </w:pPr>
    </w:p>
    <w:p>
      <w:pPr>
        <w:jc w:val="both"/>
        <w:ind w:left="260" w:right="20"/>
        <w:spacing w:after="0" w:line="222" w:lineRule="auto"/>
        <w:rPr>
          <w:sz w:val="20"/>
          <w:szCs w:val="20"/>
          <w:color w:val="auto"/>
        </w:rPr>
      </w:pPr>
      <w:r>
        <w:rPr>
          <w:rFonts w:ascii="Times New Roman" w:cs="Times New Roman" w:eastAsia="Times New Roman" w:hAnsi="Times New Roman"/>
          <w:sz w:val="21"/>
          <w:szCs w:val="21"/>
          <w:color w:val="auto"/>
        </w:rPr>
        <w:t>compensation arrangement of the Company to which you are a party, if any; (iii) your accrued but unpaid vacation pay through the Termination Date; (iv) any reimbursements that you are entitled to receive under Section 6 of the Agreement or otherwise; and (v) any vested benefits or amounts that you are otherwise entitled to receive under any plan, policy, practice or program of or any other contract or agreement with the Company in accordance with the terms thereof (other than any such plan, policy, practice or program of the Company that provides benefits in the nature of severance or continuation pay).</w:t>
      </w:r>
    </w:p>
    <w:p>
      <w:pPr>
        <w:spacing w:after="0" w:line="186" w:lineRule="exact"/>
        <w:rPr>
          <w:sz w:val="20"/>
          <w:szCs w:val="20"/>
          <w:color w:val="auto"/>
        </w:rPr>
      </w:pPr>
    </w:p>
    <w:p>
      <w:pPr>
        <w:ind w:left="1580" w:hanging="686"/>
        <w:spacing w:after="0"/>
        <w:tabs>
          <w:tab w:leader="none" w:pos="158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that one or more of the following has occurred:</w:t>
      </w:r>
    </w:p>
    <w:p>
      <w:pPr>
        <w:spacing w:after="0" w:line="212" w:lineRule="exact"/>
        <w:rPr>
          <w:rFonts w:ascii="Times New Roman" w:cs="Times New Roman" w:eastAsia="Times New Roman" w:hAnsi="Times New Roman"/>
          <w:sz w:val="21"/>
          <w:szCs w:val="21"/>
          <w:color w:val="auto"/>
        </w:rPr>
      </w:pPr>
    </w:p>
    <w:p>
      <w:pPr>
        <w:ind w:left="1860" w:hanging="334"/>
        <w:spacing w:after="0"/>
        <w:tabs>
          <w:tab w:leader="none" w:pos="1860"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been convicted of, plead guilty or no contest to, or entered into a plea agreement with respect to</w:t>
      </w:r>
    </w:p>
    <w:p>
      <w:pPr>
        <w:ind w:left="260" w:right="20" w:firstLine="3"/>
        <w:spacing w:after="0" w:line="229" w:lineRule="auto"/>
        <w:tabs>
          <w:tab w:leader="none" w:pos="58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felony (under the laws of the United States, any relevant state, or the equivalent of a felony in any international jurisdiction in which the Company does business) or (y) any crime involving dishonesty or moral turpitude;</w:t>
      </w:r>
    </w:p>
    <w:p>
      <w:pPr>
        <w:spacing w:after="0" w:line="173" w:lineRule="exact"/>
        <w:rPr>
          <w:rFonts w:ascii="Times New Roman" w:cs="Times New Roman" w:eastAsia="Times New Roman" w:hAnsi="Times New Roman"/>
          <w:sz w:val="21"/>
          <w:szCs w:val="21"/>
          <w:color w:val="auto"/>
        </w:rPr>
      </w:pPr>
    </w:p>
    <w:p>
      <w:pPr>
        <w:jc w:val="both"/>
        <w:ind w:left="260" w:right="20" w:firstLine="1266"/>
        <w:spacing w:after="0" w:line="230" w:lineRule="auto"/>
        <w:tabs>
          <w:tab w:leader="none" w:pos="1845"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engaged in (A) any willful misconduct (including any violation of federal securities laws) or gross negligence, or (B) any act of dishonesty, violence or threat of violence, in each case with respect to this clause (B), that would reasonably be expected to result in a material injury to the Company;</w:t>
      </w:r>
    </w:p>
    <w:p>
      <w:pPr>
        <w:spacing w:after="0" w:line="187" w:lineRule="exact"/>
        <w:rPr>
          <w:sz w:val="20"/>
          <w:szCs w:val="20"/>
          <w:color w:val="auto"/>
        </w:rPr>
      </w:pPr>
    </w:p>
    <w:p>
      <w:pPr>
        <w:jc w:val="both"/>
        <w:ind w:left="260" w:right="20" w:firstLine="1262"/>
        <w:spacing w:after="0" w:line="243" w:lineRule="auto"/>
        <w:rPr>
          <w:sz w:val="20"/>
          <w:szCs w:val="20"/>
          <w:color w:val="auto"/>
        </w:rPr>
      </w:pPr>
      <w:r>
        <w:rPr>
          <w:rFonts w:ascii="Times New Roman" w:cs="Times New Roman" w:eastAsia="Times New Roman" w:hAnsi="Times New Roman"/>
          <w:sz w:val="21"/>
          <w:szCs w:val="21"/>
          <w:color w:val="auto"/>
        </w:rPr>
        <w:t>(iii)you have willfully breached a material written policy of the Company or the rules of any governmental or regulatory body applicable to the Company;</w:t>
      </w:r>
    </w:p>
    <w:p>
      <w:pPr>
        <w:spacing w:after="0" w:line="182" w:lineRule="exact"/>
        <w:rPr>
          <w:sz w:val="20"/>
          <w:szCs w:val="20"/>
          <w:color w:val="auto"/>
        </w:rPr>
      </w:pPr>
    </w:p>
    <w:p>
      <w:pPr>
        <w:jc w:val="both"/>
        <w:ind w:left="260" w:right="20" w:firstLine="1262"/>
        <w:spacing w:after="0" w:line="230" w:lineRule="auto"/>
        <w:rPr>
          <w:sz w:val="20"/>
          <w:szCs w:val="20"/>
          <w:color w:val="auto"/>
        </w:rPr>
      </w:pPr>
      <w:r>
        <w:rPr>
          <w:rFonts w:ascii="Times New Roman" w:cs="Times New Roman" w:eastAsia="Times New Roman" w:hAnsi="Times New Roman"/>
          <w:sz w:val="21"/>
          <w:szCs w:val="21"/>
          <w:color w:val="auto"/>
        </w:rPr>
        <w:t>(iv)you (y) have willfully failed to materially perform or uphold your duties under this Agreement and/or (z) willfully fail to comply with lawful directives of the Board (including, without limitation, failure to comply with business travel requirements set by the Board); or</w:t>
      </w:r>
    </w:p>
    <w:p>
      <w:pPr>
        <w:spacing w:after="0" w:line="2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color w:val="auto"/>
        </w:rPr>
        <w:t>(v) you have materially breached this Agreement or any other material contract to which you and the Company</w:t>
      </w:r>
    </w:p>
    <w:p>
      <w:pPr>
        <w:ind w:left="260"/>
        <w:spacing w:after="0"/>
        <w:rPr>
          <w:sz w:val="20"/>
          <w:szCs w:val="20"/>
          <w:color w:val="auto"/>
        </w:rPr>
      </w:pPr>
      <w:r>
        <w:rPr>
          <w:rFonts w:ascii="Times New Roman" w:cs="Times New Roman" w:eastAsia="Times New Roman" w:hAnsi="Times New Roman"/>
          <w:sz w:val="21"/>
          <w:szCs w:val="21"/>
          <w:color w:val="auto"/>
        </w:rPr>
        <w:t>are parties;</w:t>
      </w:r>
    </w:p>
    <w:p>
      <w:pPr>
        <w:spacing w:after="0" w:line="182" w:lineRule="exact"/>
        <w:rPr>
          <w:sz w:val="20"/>
          <w:szCs w:val="20"/>
          <w:color w:val="auto"/>
        </w:rPr>
      </w:pPr>
    </w:p>
    <w:p>
      <w:pPr>
        <w:jc w:val="both"/>
        <w:ind w:left="260" w:firstLine="631"/>
        <w:spacing w:after="0" w:line="218"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Sections 17(c)(iii), 17(c)(iv), and 17(c)(v) and if the event giving rise to the claim of Cause is curable, the Company provides you written notice of the event within thirty (30) days of the Company learning of the occurrence of such event, and such Cause event remains uncured thirty (30) days after the Company has provided such written notice;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termination of your employment for “Cause” with respect to Sections 17(c)(iii) or 17(c)(v) occurs no later than thirty (30) days following the expiration of such cure period. For purposes of this Section 17(c), no act, or failure to act, on your part shall be considered “willful” if done, or omitted to be done, by you in good faith and with a reasonable belief that your action or omission was in the best interest of the Company.</w:t>
      </w:r>
    </w:p>
    <w:p>
      <w:pPr>
        <w:spacing w:after="0" w:line="188" w:lineRule="exact"/>
        <w:rPr>
          <w:sz w:val="20"/>
          <w:szCs w:val="20"/>
          <w:color w:val="auto"/>
        </w:rPr>
      </w:pPr>
    </w:p>
    <w:p>
      <w:pPr>
        <w:ind w:left="1520" w:hanging="626"/>
        <w:spacing w:after="0"/>
        <w:tabs>
          <w:tab w:leader="none" w:pos="15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any one or more of the following:</w:t>
      </w:r>
    </w:p>
    <w:p>
      <w:pPr>
        <w:spacing w:after="0" w:line="219" w:lineRule="exact"/>
        <w:rPr>
          <w:rFonts w:ascii="Times New Roman" w:cs="Times New Roman" w:eastAsia="Times New Roman" w:hAnsi="Times New Roman"/>
          <w:sz w:val="21"/>
          <w:szCs w:val="21"/>
          <w:color w:val="auto"/>
        </w:rPr>
      </w:pPr>
    </w:p>
    <w:p>
      <w:pPr>
        <w:jc w:val="both"/>
        <w:ind w:left="260" w:right="20" w:firstLine="1266"/>
        <w:spacing w:after="0" w:line="225" w:lineRule="auto"/>
        <w:tabs>
          <w:tab w:leader="none" w:pos="1852"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 13(d) and 14(d)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other than a trustee or other fiduciary holding securities of the Company under an employee benefit plan of the Company, becomes the “beneficial owner” (as defined in Rule 13d-3 promulgated under the Exchange Act), directly or indirectly, of securities of the Company representing fifty percent (50%) or more of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40"/>
          </w:cols>
          <w:pgMar w:left="360" w:top="1440" w:right="599" w:bottom="1440" w:gutter="0" w:footer="0" w:header="0"/>
        </w:sectPr>
      </w:pPr>
    </w:p>
    <w:bookmarkStart w:id="129" w:name="page130"/>
    <w:bookmarkEnd w:id="129"/>
    <w:p>
      <w:pPr>
        <w:spacing w:after="0" w:line="146" w:lineRule="exact"/>
        <w:rPr>
          <w:sz w:val="20"/>
          <w:szCs w:val="20"/>
          <w:color w:val="auto"/>
        </w:rPr>
      </w:pPr>
    </w:p>
    <w:p>
      <w:pPr>
        <w:ind w:left="260"/>
        <w:spacing w:after="0" w:line="243" w:lineRule="auto"/>
        <w:rPr>
          <w:sz w:val="20"/>
          <w:szCs w:val="20"/>
          <w:color w:val="auto"/>
        </w:rPr>
      </w:pPr>
      <w:r>
        <w:rPr>
          <w:rFonts w:ascii="Times New Roman" w:cs="Times New Roman" w:eastAsia="Times New Roman" w:hAnsi="Times New Roman"/>
          <w:sz w:val="21"/>
          <w:szCs w:val="21"/>
          <w:color w:val="auto"/>
        </w:rPr>
        <w:t>the outstanding shares of common stock of the Company or (B) the combined voting power of the Company’s then-outstanding securities;</w:t>
      </w:r>
    </w:p>
    <w:p>
      <w:pPr>
        <w:spacing w:after="0" w:line="182" w:lineRule="exact"/>
        <w:rPr>
          <w:sz w:val="20"/>
          <w:szCs w:val="20"/>
          <w:color w:val="auto"/>
        </w:rPr>
      </w:pPr>
    </w:p>
    <w:p>
      <w:pPr>
        <w:jc w:val="both"/>
        <w:ind w:left="260" w:right="80" w:firstLine="1266"/>
        <w:spacing w:after="0" w:line="222" w:lineRule="auto"/>
        <w:tabs>
          <w:tab w:leader="none" w:pos="184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party to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w:t>
      </w:r>
    </w:p>
    <w:p>
      <w:pPr>
        <w:spacing w:after="0" w:line="186" w:lineRule="exact"/>
        <w:rPr>
          <w:sz w:val="20"/>
          <w:szCs w:val="20"/>
          <w:color w:val="auto"/>
        </w:rPr>
      </w:pPr>
    </w:p>
    <w:p>
      <w:pPr>
        <w:ind w:left="260" w:right="80" w:firstLine="1262"/>
        <w:spacing w:after="0" w:line="243" w:lineRule="auto"/>
        <w:rPr>
          <w:sz w:val="20"/>
          <w:szCs w:val="20"/>
          <w:color w:val="auto"/>
        </w:rPr>
      </w:pPr>
      <w:r>
        <w:rPr>
          <w:rFonts w:ascii="Times New Roman" w:cs="Times New Roman" w:eastAsia="Times New Roman" w:hAnsi="Times New Roman"/>
          <w:sz w:val="21"/>
          <w:szCs w:val="21"/>
          <w:color w:val="auto"/>
        </w:rPr>
        <w:t>(iii)the sale or disposition of all or substantially all of the Company’s assets (or consummation of any transaction, or series of related transactions, having similar effect);</w:t>
      </w:r>
    </w:p>
    <w:p>
      <w:pPr>
        <w:spacing w:after="0" w:line="169" w:lineRule="exact"/>
        <w:rPr>
          <w:sz w:val="20"/>
          <w:szCs w:val="20"/>
          <w:color w:val="auto"/>
        </w:rPr>
      </w:pPr>
    </w:p>
    <w:p>
      <w:pPr>
        <w:ind w:left="2140" w:hanging="614"/>
        <w:spacing w:after="0"/>
        <w:tabs>
          <w:tab w:leader="none" w:pos="21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dissolution or liquidation of the Company; or</w:t>
      </w:r>
    </w:p>
    <w:p>
      <w:pPr>
        <w:spacing w:after="0" w:line="212" w:lineRule="exact"/>
        <w:rPr>
          <w:rFonts w:ascii="Times New Roman" w:cs="Times New Roman" w:eastAsia="Times New Roman" w:hAnsi="Times New Roman"/>
          <w:sz w:val="21"/>
          <w:szCs w:val="21"/>
          <w:color w:val="auto"/>
        </w:rPr>
      </w:pPr>
    </w:p>
    <w:p>
      <w:pPr>
        <w:ind w:left="1860" w:hanging="334"/>
        <w:spacing w:after="0"/>
        <w:tabs>
          <w:tab w:leader="none" w:pos="18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or series of related transactions that has the substantial effect of any one or more of the</w:t>
      </w:r>
    </w:p>
    <w:p>
      <w:pPr>
        <w:ind w:left="260"/>
        <w:spacing w:after="0"/>
        <w:rPr>
          <w:sz w:val="20"/>
          <w:szCs w:val="20"/>
          <w:color w:val="auto"/>
        </w:rPr>
      </w:pPr>
      <w:r>
        <w:rPr>
          <w:rFonts w:ascii="Times New Roman" w:cs="Times New Roman" w:eastAsia="Times New Roman" w:hAnsi="Times New Roman"/>
          <w:sz w:val="21"/>
          <w:szCs w:val="21"/>
          <w:color w:val="auto"/>
        </w:rPr>
        <w:t>foregoing.</w:t>
      </w:r>
    </w:p>
    <w:p>
      <w:pPr>
        <w:spacing w:after="0" w:line="195" w:lineRule="exact"/>
        <w:rPr>
          <w:sz w:val="20"/>
          <w:szCs w:val="20"/>
          <w:color w:val="auto"/>
        </w:rPr>
      </w:pPr>
    </w:p>
    <w:p>
      <w:pPr>
        <w:jc w:val="both"/>
        <w:ind w:left="260" w:right="80" w:firstLine="631"/>
        <w:spacing w:after="0" w:line="222" w:lineRule="auto"/>
        <w:rPr>
          <w:sz w:val="20"/>
          <w:szCs w:val="20"/>
          <w:color w:val="auto"/>
        </w:rPr>
      </w:pPr>
      <w:r>
        <w:rPr>
          <w:rFonts w:ascii="Times New Roman" w:cs="Times New Roman" w:eastAsia="Times New Roman" w:hAnsi="Times New Roman"/>
          <w:sz w:val="21"/>
          <w:szCs w:val="21"/>
          <w:color w:val="auto"/>
        </w:rPr>
        <w:t>Notwithstanding the foregoing, to the extent required for compliance with Section 409A,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In addition, a transfer of ownership or control of the Company between and among affiliated funds of Francisco Partners shall not be a Change in Control.</w:t>
      </w:r>
    </w:p>
    <w:p>
      <w:pPr>
        <w:spacing w:after="0" w:line="173" w:lineRule="exact"/>
        <w:rPr>
          <w:sz w:val="20"/>
          <w:szCs w:val="20"/>
          <w:color w:val="auto"/>
        </w:rPr>
      </w:pPr>
    </w:p>
    <w:p>
      <w:pPr>
        <w:ind w:left="260" w:right="80" w:firstLine="634"/>
        <w:spacing w:after="0" w:line="243" w:lineRule="auto"/>
        <w:tabs>
          <w:tab w:leader="none" w:pos="121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shall mean the period commencing on the Change in Control and ending 24 months following a Change in Control.</w:t>
      </w:r>
    </w:p>
    <w:p>
      <w:pPr>
        <w:spacing w:after="0" w:line="182" w:lineRule="exact"/>
        <w:rPr>
          <w:rFonts w:ascii="Times New Roman" w:cs="Times New Roman" w:eastAsia="Times New Roman" w:hAnsi="Times New Roman"/>
          <w:sz w:val="21"/>
          <w:szCs w:val="21"/>
          <w:color w:val="auto"/>
        </w:rPr>
      </w:pPr>
    </w:p>
    <w:p>
      <w:pPr>
        <w:jc w:val="both"/>
        <w:ind w:left="260" w:right="80" w:firstLine="634"/>
        <w:spacing w:after="0" w:line="230" w:lineRule="auto"/>
        <w:tabs>
          <w:tab w:leader="none" w:pos="121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your medically determinable physical or mental incapacitation such that for a continuous period of not less than twelve (12) months, you are unable to engage in any substantial gainful activity or which can be expected to result in death.</w:t>
      </w:r>
    </w:p>
    <w:p>
      <w:pPr>
        <w:spacing w:after="0" w:line="187" w:lineRule="exact"/>
        <w:rPr>
          <w:rFonts w:ascii="Times New Roman" w:cs="Times New Roman" w:eastAsia="Times New Roman" w:hAnsi="Times New Roman"/>
          <w:sz w:val="21"/>
          <w:szCs w:val="21"/>
          <w:color w:val="auto"/>
        </w:rPr>
      </w:pPr>
    </w:p>
    <w:p>
      <w:pPr>
        <w:jc w:val="both"/>
        <w:ind w:left="260" w:right="60" w:firstLine="634"/>
        <w:spacing w:after="0" w:line="220" w:lineRule="auto"/>
        <w:tabs>
          <w:tab w:leader="none" w:pos="121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one or more of the following that occur without your consent: (i) a material diminution in your Base Salary, except for reductions that are comparable to reductions generally applicable to similarly situated executives of the Company, not to exceed 10%, (ii) a material diminution in your job duties, responsibilities and/or authority as the Company’s General Counsel, or (iii) material change in the geographic location at which you must perform your services to the Company, which shall be defined to be a relocation of your principal workplace to a new location that is more than twenty- five (25) miles away from your then-current principal workplace.</w:t>
      </w:r>
    </w:p>
    <w:p>
      <w:pPr>
        <w:spacing w:after="0" w:line="171" w:lineRule="exact"/>
        <w:rPr>
          <w:rFonts w:ascii="Times New Roman" w:cs="Times New Roman" w:eastAsia="Times New Roman" w:hAnsi="Times New Roman"/>
          <w:sz w:val="21"/>
          <w:szCs w:val="21"/>
          <w:color w:val="auto"/>
        </w:rPr>
      </w:pPr>
    </w:p>
    <w:p>
      <w:pPr>
        <w:ind w:left="1220" w:hanging="326"/>
        <w:spacing w:after="0"/>
        <w:tabs>
          <w:tab w:leader="none" w:pos="12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Pre-Existing Awards</w:t>
      </w:r>
      <w:r>
        <w:rPr>
          <w:rFonts w:ascii="Times New Roman" w:cs="Times New Roman" w:eastAsia="Times New Roman" w:hAnsi="Times New Roman"/>
          <w:sz w:val="21"/>
          <w:szCs w:val="21"/>
          <w:color w:val="auto"/>
        </w:rPr>
        <w:t>” shall mean the Time-Vested Options, Performance-Vested Options and RSUs.</w:t>
      </w:r>
    </w:p>
    <w:p>
      <w:pPr>
        <w:spacing w:after="0" w:line="219" w:lineRule="exact"/>
        <w:rPr>
          <w:rFonts w:ascii="Times New Roman" w:cs="Times New Roman" w:eastAsia="Times New Roman" w:hAnsi="Times New Roman"/>
          <w:sz w:val="21"/>
          <w:szCs w:val="21"/>
          <w:color w:val="auto"/>
        </w:rPr>
      </w:pPr>
    </w:p>
    <w:p>
      <w:pPr>
        <w:ind w:left="260" w:right="80" w:firstLine="634"/>
        <w:spacing w:after="0" w:line="243" w:lineRule="auto"/>
        <w:tabs>
          <w:tab w:leader="none" w:pos="121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shall mean your employment is terminated without Cause (excluding by reason of your death or Disability) by the Company or by you for Good Reason (each, a Qualifying Termination).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1000"/>
          </w:cols>
          <w:pgMar w:left="360" w:top="1440" w:right="539" w:bottom="1440" w:gutter="0" w:footer="0" w:header="0"/>
        </w:sectPr>
      </w:pPr>
    </w:p>
    <w:bookmarkStart w:id="130" w:name="page131"/>
    <w:bookmarkEnd w:id="130"/>
    <w:p>
      <w:pPr>
        <w:ind w:left="1220" w:hanging="325"/>
        <w:spacing w:after="0"/>
        <w:tabs>
          <w:tab w:leader="none" w:pos="122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has the meaning set forth in Treasury Regulations Section 1.409A-1(h)(1).</w:t>
      </w:r>
    </w:p>
    <w:p>
      <w:pPr>
        <w:spacing w:after="0" w:line="219" w:lineRule="exact"/>
        <w:rPr>
          <w:rFonts w:ascii="Times New Roman" w:cs="Times New Roman" w:eastAsia="Times New Roman" w:hAnsi="Times New Roman"/>
          <w:sz w:val="21"/>
          <w:szCs w:val="21"/>
          <w:color w:val="auto"/>
        </w:rPr>
      </w:pPr>
    </w:p>
    <w:p>
      <w:pPr>
        <w:ind w:left="260" w:right="720" w:firstLine="3"/>
        <w:spacing w:after="0" w:line="243" w:lineRule="auto"/>
        <w:tabs>
          <w:tab w:leader="none" w:pos="58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Exhibits</w:t>
      </w:r>
      <w:r>
        <w:rPr>
          <w:rFonts w:ascii="Times New Roman" w:cs="Times New Roman" w:eastAsia="Times New Roman" w:hAnsi="Times New Roman"/>
          <w:sz w:val="21"/>
          <w:szCs w:val="21"/>
          <w:color w:val="auto"/>
        </w:rPr>
        <w:t>. All Exhibits attached to this Agreement shall be incorporated herein by this reference as though fully set forth herein.</w:t>
      </w:r>
    </w:p>
    <w:p>
      <w:pPr>
        <w:spacing w:after="0" w:line="169" w:lineRule="exact"/>
        <w:rPr>
          <w:sz w:val="20"/>
          <w:szCs w:val="20"/>
          <w:color w:val="auto"/>
        </w:rPr>
      </w:pPr>
    </w:p>
    <w:p>
      <w:pPr>
        <w:jc w:val="both"/>
        <w:ind w:left="260" w:firstLine="632"/>
        <w:spacing w:after="0" w:line="230" w:lineRule="auto"/>
        <w:rPr>
          <w:sz w:val="20"/>
          <w:szCs w:val="20"/>
          <w:color w:val="auto"/>
        </w:rPr>
      </w:pPr>
      <w:r>
        <w:rPr>
          <w:rFonts w:ascii="Times New Roman" w:cs="Times New Roman" w:eastAsia="Times New Roman" w:hAnsi="Times New Roman"/>
          <w:sz w:val="21"/>
          <w:szCs w:val="21"/>
          <w:color w:val="auto"/>
        </w:rPr>
        <w:t>A duplicate original of this Agreement is enclosed for your records. If you decide to accept the terms of this Agreement, please sign the enclosed copy of this Agreement in the spaces indicated and return it to me. Your signature will acknowledge that you have read and understood and agreed to the terms and conditions of this Agreement</w:t>
      </w: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[Signatures appear on the following page]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362" w:right="6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1"/>
          <w:szCs w:val="21"/>
          <w:color w:val="auto"/>
        </w:rPr>
        <w:t>In witness whereof, the parties have each executed this Agreement as of the dates indicated below.</w:t>
      </w:r>
    </w:p>
    <w:p>
      <w:pPr>
        <w:sectPr>
          <w:pgSz w:w="11900" w:h="16838" w:orient="portrait"/>
          <w:cols w:equalWidth="0" w:num="1">
            <w:col w:w="9839"/>
          </w:cols>
          <w:pgMar w:left="620" w:top="1362" w:right="1440" w:bottom="1440" w:gutter="0" w:footer="0" w:header="0"/>
        </w:sectPr>
      </w:pPr>
    </w:p>
    <w:p>
      <w:pPr>
        <w:spacing w:after="0" w:line="2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LegalZoom.com, Inc.</w:t>
      </w:r>
    </w:p>
    <w:p>
      <w:pPr>
        <w:spacing w:after="0" w:line="200" w:lineRule="exact"/>
        <w:rPr>
          <w:sz w:val="20"/>
          <w:szCs w:val="20"/>
          <w:color w:val="auto"/>
        </w:rPr>
      </w:pPr>
    </w:p>
    <w:p>
      <w:pPr>
        <w:spacing w:after="0" w:line="230" w:lineRule="exact"/>
        <w:rPr>
          <w:sz w:val="20"/>
          <w:szCs w:val="20"/>
          <w:color w:val="auto"/>
        </w:rPr>
      </w:pPr>
    </w:p>
    <w:p>
      <w:pPr>
        <w:ind w:left="3800"/>
        <w:spacing w:after="0"/>
        <w:tabs>
          <w:tab w:leader="none" w:pos="4400" w:val="left"/>
        </w:tabs>
        <w:rPr>
          <w:sz w:val="20"/>
          <w:szCs w:val="20"/>
          <w:color w:val="auto"/>
        </w:rPr>
      </w:pPr>
      <w:r>
        <w:rPr>
          <w:rFonts w:ascii="Times New Roman" w:cs="Times New Roman" w:eastAsia="Times New Roman" w:hAnsi="Times New Roman"/>
          <w:sz w:val="21"/>
          <w:szCs w:val="21"/>
          <w:color w:val="auto"/>
        </w:rPr>
        <w:t>By:</w:t>
        <w:tab/>
        <w:t>Name: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-10160</wp:posOffset>
            </wp:positionV>
            <wp:extent cx="1339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9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Its: Chief Executive Officer Dated: </w:t>
      </w:r>
      <w:r>
        <w:rPr>
          <w:rFonts w:ascii="Times New Roman" w:cs="Times New Roman" w:eastAsia="Times New Roman" w:hAnsi="Times New Roman"/>
          <w:sz w:val="15"/>
          <w:szCs w:val="15"/>
          <w:color w:val="auto"/>
        </w:rPr>
        <w:t>June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Name: Nicole Miller Dated:</w:t>
      </w:r>
    </w:p>
    <w:p>
      <w:pPr>
        <w:sectPr>
          <w:pgSz w:w="11900" w:h="16838" w:orient="portrait"/>
          <w:cols w:equalWidth="0" w:num="1">
            <w:col w:w="9839"/>
          </w:cols>
          <w:pgMar w:left="620" w:top="136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[Signature Page to Employment Agreement]</w:t>
      </w:r>
    </w:p>
    <w:p>
      <w:pPr>
        <w:sectPr>
          <w:pgSz w:w="11900" w:h="16838" w:orient="portrait"/>
          <w:cols w:equalWidth="0" w:num="1">
            <w:col w:w="9839"/>
          </w:cols>
          <w:pgMar w:left="620" w:top="1362"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21"/>
          <w:szCs w:val="21"/>
          <w:color w:val="auto"/>
        </w:rPr>
        <w:t>In witness whereof, the parties have each executed this Agreement as of the dates indicated below.</w:t>
      </w:r>
    </w:p>
    <w:p>
      <w:pPr>
        <w:spacing w:after="0" w:line="200" w:lineRule="exact"/>
        <w:rPr>
          <w:sz w:val="20"/>
          <w:szCs w:val="20"/>
          <w:color w:val="auto"/>
        </w:rPr>
      </w:pPr>
    </w:p>
    <w:p>
      <w:pPr>
        <w:spacing w:after="0" w:line="2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LegalZoom.com,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-10160</wp:posOffset>
            </wp:positionV>
            <wp:extent cx="1339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Its:</w:t>
      </w:r>
    </w:p>
    <w:p>
      <w:pPr>
        <w:spacing w:after="0" w:line="20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-10160</wp:posOffset>
            </wp:positionV>
            <wp:extent cx="1339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13398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657860</wp:posOffset>
            </wp:positionV>
            <wp:extent cx="1362075" cy="392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136207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1"/>
          <w:szCs w:val="21"/>
          <w:color w:val="auto"/>
        </w:rPr>
        <w:t>Nicole Miller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15"/>
          <w:szCs w:val="15"/>
          <w:color w:val="auto"/>
        </w:rPr>
        <w:t>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-60325</wp:posOffset>
            </wp:positionV>
            <wp:extent cx="1211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099"/>
          </w:cols>
          <w:pgMar w:left="360" w:top="1349" w:right="1440" w:bottom="1440" w:gutter="0" w:footer="0" w:header="0"/>
        </w:sectPr>
      </w:pPr>
    </w:p>
    <w:bookmarkStart w:id="133" w:name="page134"/>
    <w:bookmarkEnd w:id="133"/>
    <w:p>
      <w:pPr>
        <w:jc w:val="center"/>
        <w:ind w:right="-739"/>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FORM OF SEPARATION AGREEMENT AND RELEASE OF ALL CLAIMS AND COVENANT NOT TO SUE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440"/>
          </w:cols>
          <w:pgMar w:left="360" w:top="1428" w:right="109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21"/>
          <w:szCs w:val="21"/>
          <w:b w:val="1"/>
          <w:bCs w:val="1"/>
          <w:u w:val="single" w:color="auto"/>
          <w:color w:val="auto"/>
        </w:rPr>
        <w:t>SEPARATION AGREEMENT AND RELEASE OF ALL CLAIMS AND COVENANT NOT TO SUE</w:t>
      </w:r>
    </w:p>
    <w:p>
      <w:pPr>
        <w:spacing w:after="0" w:line="210" w:lineRule="exact"/>
        <w:rPr>
          <w:sz w:val="20"/>
          <w:szCs w:val="20"/>
          <w:color w:val="auto"/>
        </w:rPr>
      </w:pPr>
    </w:p>
    <w:p>
      <w:pPr>
        <w:jc w:val="both"/>
        <w:ind w:left="260" w:firstLine="631"/>
        <w:spacing w:after="0" w:line="220" w:lineRule="auto"/>
        <w:rPr>
          <w:sz w:val="20"/>
          <w:szCs w:val="20"/>
          <w:color w:val="auto"/>
        </w:rPr>
      </w:pPr>
      <w:r>
        <w:rPr>
          <w:rFonts w:ascii="Times New Roman" w:cs="Times New Roman" w:eastAsia="Times New Roman" w:hAnsi="Times New Roman"/>
          <w:sz w:val="21"/>
          <w:szCs w:val="21"/>
          <w:color w:val="auto"/>
        </w:rPr>
        <w:t>This Separation Agreement and Release of All Claims and Covenant Not to Sue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made pursuant to the Employment Agreement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entered into by and between Nicole Miller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and LegalZoom.com, Inc., a Delaware corporation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to which this Release is an exhibit, in consideration for and as condition precedent to the Company’s obligation to provide separation benefits to Employee pursuant to the Employment Agreement and which Employee is otherwise not entitled to receive. Certain terms if they are not defined in this Release shall have the meaning provided to them in the Employment Agreement.</w:t>
      </w:r>
    </w:p>
    <w:p>
      <w:pPr>
        <w:spacing w:after="0" w:line="185" w:lineRule="exact"/>
        <w:rPr>
          <w:sz w:val="20"/>
          <w:szCs w:val="20"/>
          <w:color w:val="auto"/>
        </w:rPr>
      </w:pPr>
    </w:p>
    <w:p>
      <w:pPr>
        <w:jc w:val="both"/>
        <w:ind w:left="260" w:firstLine="631"/>
        <w:spacing w:after="0" w:line="218" w:lineRule="auto"/>
        <w:rPr>
          <w:sz w:val="20"/>
          <w:szCs w:val="20"/>
          <w:color w:val="auto"/>
        </w:rPr>
      </w:pPr>
      <w:r>
        <w:rPr>
          <w:rFonts w:ascii="Times New Roman" w:cs="Times New Roman" w:eastAsia="Times New Roman" w:hAnsi="Times New Roman"/>
          <w:sz w:val="21"/>
          <w:szCs w:val="21"/>
          <w:color w:val="auto"/>
        </w:rPr>
        <w:t xml:space="preserve">In order for this Release to become effective, Employee must deliver to the Company a properly signed and dated Release on or after Employee’s Termination Date and before </w:t>
      </w:r>
      <w:r>
        <w:rPr>
          <w:rFonts w:ascii="Times New Roman" w:cs="Times New Roman" w:eastAsia="Times New Roman" w:hAnsi="Times New Roman"/>
          <w:sz w:val="21"/>
          <w:szCs w:val="21"/>
          <w:b w:val="1"/>
          <w:bCs w:val="1"/>
          <w:u w:val="single" w:color="auto"/>
          <w:color w:val="auto"/>
        </w:rPr>
        <w:t>4:00 pm PST on</w:t>
      </w:r>
      <w:r>
        <w:rPr>
          <w:rFonts w:ascii="Times New Roman" w:cs="Times New Roman" w:eastAsia="Times New Roman" w:hAnsi="Times New Roman"/>
          <w:sz w:val="21"/>
          <w:szCs w:val="21"/>
          <w:color w:val="auto"/>
        </w:rPr>
        <w:t xml:space="preserve"> [DATE] or else it will be irrevocably determined that Employee has decided to not execute this Release and this Release shall be null and void with no force or effect. This Release will become effective only if it has been timely executed by the Employee and the revocation period has expired without revocation by Employee as set forth in Section 5(a) below (such effective date of this Release, if any, is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signing below and timely delivering a signed Release to the Company, Employee acknowledges and agrees to each of the following terms and conditions:</w:t>
      </w:r>
    </w:p>
    <w:p>
      <w:pPr>
        <w:spacing w:after="0" w:line="171" w:lineRule="exact"/>
        <w:rPr>
          <w:sz w:val="20"/>
          <w:szCs w:val="20"/>
          <w:color w:val="auto"/>
        </w:rPr>
      </w:pPr>
    </w:p>
    <w:p>
      <w:pPr>
        <w:ind w:left="900" w:hanging="637"/>
        <w:spacing w:after="0"/>
        <w:tabs>
          <w:tab w:leader="none" w:pos="9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RECITALS</w:t>
      </w:r>
      <w:r>
        <w:rPr>
          <w:rFonts w:ascii="Times New Roman" w:cs="Times New Roman" w:eastAsia="Times New Roman" w:hAnsi="Times New Roman"/>
          <w:sz w:val="21"/>
          <w:szCs w:val="21"/>
          <w:color w:val="auto"/>
        </w:rPr>
        <w:t>. This Release is made with reference to the following facts:</w:t>
      </w:r>
    </w:p>
    <w:p>
      <w:pPr>
        <w:spacing w:after="0" w:line="223" w:lineRule="exact"/>
        <w:rPr>
          <w:sz w:val="20"/>
          <w:szCs w:val="20"/>
          <w:color w:val="auto"/>
        </w:rPr>
      </w:pPr>
    </w:p>
    <w:p>
      <w:pPr>
        <w:jc w:val="both"/>
        <w:ind w:left="260" w:firstLine="631"/>
        <w:spacing w:after="0" w:line="222" w:lineRule="auto"/>
        <w:rPr>
          <w:sz w:val="20"/>
          <w:szCs w:val="20"/>
          <w:color w:val="auto"/>
        </w:rPr>
      </w:pPr>
      <w:r>
        <w:rPr>
          <w:rFonts w:ascii="Times New Roman" w:cs="Times New Roman" w:eastAsia="Times New Roman" w:hAnsi="Times New Roman"/>
          <w:sz w:val="21"/>
          <w:szCs w:val="21"/>
          <w:color w:val="auto"/>
        </w:rPr>
        <w:t>Employee and Company are parties to the Employment Agreement which provides that Employee must execute a general release of all claims and covenant not to sue and deliver it to the Company in order to be eligible for certain separation benefits from the Company as specified under the Employment Agreement. This Release is the separation agreement and general release and covenant not to sue required by the Employment Agreement. If this Release does not become effective by its own terms, then Employee shall receive none of the separation benefits to be provided under the Employment Agreement.</w:t>
      </w:r>
    </w:p>
    <w:p>
      <w:pPr>
        <w:spacing w:after="0" w:line="179" w:lineRule="exact"/>
        <w:rPr>
          <w:sz w:val="20"/>
          <w:szCs w:val="20"/>
          <w:color w:val="auto"/>
        </w:rPr>
      </w:pPr>
    </w:p>
    <w:p>
      <w:pPr>
        <w:ind w:left="900" w:hanging="637"/>
        <w:spacing w:after="0"/>
        <w:tabs>
          <w:tab w:leader="none" w:pos="90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QUALIFYING TERMINATION OF EMPLOYMENT</w:t>
      </w:r>
      <w:r>
        <w:rPr>
          <w:rFonts w:ascii="Times New Roman" w:cs="Times New Roman" w:eastAsia="Times New Roman" w:hAnsi="Times New Roman"/>
          <w:sz w:val="21"/>
          <w:szCs w:val="21"/>
          <w:color w:val="auto"/>
        </w:rPr>
        <w:t>. Employee and Company</w:t>
      </w:r>
    </w:p>
    <w:p>
      <w:pPr>
        <w:jc w:val="both"/>
        <w:ind w:left="260"/>
        <w:spacing w:after="0" w:line="198" w:lineRule="auto"/>
        <w:rPr>
          <w:sz w:val="20"/>
          <w:szCs w:val="20"/>
          <w:color w:val="auto"/>
        </w:rPr>
      </w:pPr>
      <w:r>
        <w:rPr>
          <w:rFonts w:ascii="Times New Roman" w:cs="Times New Roman" w:eastAsia="Times New Roman" w:hAnsi="Times New Roman"/>
          <w:sz w:val="21"/>
          <w:szCs w:val="21"/>
          <w:color w:val="auto"/>
        </w:rPr>
        <w:t>acknowledge and agree that the Employee’s employment with the Company was terminated [by the Company without Cause] [by Employee for Good Reason]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[as a result of Employee’s Death] [as a result of Employee’s Disability] as of the close of business on [DATE]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without regard to whether Employee signs this Release or agrees to the following terms and conditions, and that such termination was treated as a Qualifying Termination [during the Change in Control Period] [outside of the Change in Control Period]</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by the Company. As of the Termination Date, it is mutually agreed that Employee is no longer an employee of the Company and no longer holds any positions or offices with the Company.</w:t>
      </w:r>
    </w:p>
    <w:p>
      <w:pPr>
        <w:spacing w:after="0" w:line="174" w:lineRule="exact"/>
        <w:rPr>
          <w:sz w:val="20"/>
          <w:szCs w:val="20"/>
          <w:color w:val="auto"/>
        </w:rPr>
      </w:pPr>
    </w:p>
    <w:p>
      <w:pPr>
        <w:jc w:val="both"/>
        <w:ind w:left="260" w:firstLine="3"/>
        <w:spacing w:after="0" w:line="232" w:lineRule="auto"/>
        <w:tabs>
          <w:tab w:leader="none" w:pos="58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SEPARATION BENEFITS</w:t>
      </w:r>
      <w:r>
        <w:rPr>
          <w:rFonts w:ascii="Times New Roman" w:cs="Times New Roman" w:eastAsia="Times New Roman" w:hAnsi="Times New Roman"/>
          <w:sz w:val="21"/>
          <w:szCs w:val="21"/>
          <w:color w:val="auto"/>
        </w:rPr>
        <w:t>. In consideration for Employee’s general release of all claims set forth in Section 5 below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Employee’s other obligations under this Release and in satisfaction of all of the Company’s obligations to Employee and further provided that: (i) this Release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wp:posOffset>
            </wp:positionV>
            <wp:extent cx="16040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48" w:lineRule="exact"/>
        <w:rPr>
          <w:sz w:val="20"/>
          <w:szCs w:val="20"/>
          <w:color w:val="auto"/>
        </w:rPr>
      </w:pPr>
    </w:p>
    <w:p>
      <w:pPr>
        <w:ind w:left="360" w:hanging="97"/>
        <w:spacing w:after="0"/>
        <w:tabs>
          <w:tab w:leader="none" w:pos="36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specified at the time of termination.</w:t>
      </w:r>
    </w:p>
    <w:p>
      <w:pPr>
        <w:ind w:left="2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NTD: To be specified at the time of termination.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358" w:right="619" w:bottom="1440" w:gutter="0" w:footer="0" w:header="0"/>
        </w:sectPr>
      </w:pPr>
    </w:p>
    <w:bookmarkStart w:id="135" w:name="page136"/>
    <w:bookmarkEnd w:id="135"/>
    <w:p>
      <w:pPr>
        <w:spacing w:after="0" w:line="146" w:lineRule="exact"/>
        <w:rPr>
          <w:sz w:val="20"/>
          <w:szCs w:val="20"/>
          <w:color w:val="auto"/>
        </w:rPr>
      </w:pPr>
    </w:p>
    <w:p>
      <w:pPr>
        <w:jc w:val="both"/>
        <w:ind w:left="260"/>
        <w:spacing w:after="0" w:line="225" w:lineRule="auto"/>
        <w:rPr>
          <w:sz w:val="20"/>
          <w:szCs w:val="20"/>
          <w:color w:val="auto"/>
        </w:rPr>
      </w:pPr>
      <w:r>
        <w:rPr>
          <w:rFonts w:ascii="Times New Roman" w:cs="Times New Roman" w:eastAsia="Times New Roman" w:hAnsi="Times New Roman"/>
          <w:sz w:val="21"/>
          <w:szCs w:val="21"/>
          <w:color w:val="auto"/>
        </w:rPr>
        <w:t>signed by Employee and delivered to the Company on or before [DATE], (ii) this Release is not revoked by Employee under Section 5 below and therefore becomes effective on or before [DATE], and (iii) Employee remains in continuing material compliance with all of the terms of this Release and the Employment Agreement, then the Company agrees to provide (and continue to provide) the separation benefits specified in Section 4(a) below to Employee.</w:t>
      </w:r>
    </w:p>
    <w:p>
      <w:pPr>
        <w:spacing w:after="0" w:line="187" w:lineRule="exact"/>
        <w:rPr>
          <w:sz w:val="20"/>
          <w:szCs w:val="20"/>
          <w:color w:val="auto"/>
        </w:rPr>
      </w:pPr>
    </w:p>
    <w:p>
      <w:pPr>
        <w:jc w:val="both"/>
        <w:ind w:left="260"/>
        <w:spacing w:after="0" w:line="230" w:lineRule="auto"/>
        <w:rPr>
          <w:sz w:val="20"/>
          <w:szCs w:val="20"/>
          <w:color w:val="auto"/>
        </w:rPr>
      </w:pPr>
      <w:r>
        <w:rPr>
          <w:rFonts w:ascii="Times New Roman" w:cs="Times New Roman" w:eastAsia="Times New Roman" w:hAnsi="Times New Roman"/>
          <w:sz w:val="21"/>
          <w:szCs w:val="21"/>
          <w:color w:val="auto"/>
        </w:rPr>
        <w:t>In the event that the Company believes Employee is not in continuing material compliance with the terms of this Release, then the Company shall provide Employee with written notice of the same and, without limiting its other possible actions, the Company shall immediately terminate any and all such separation payments and benefits.</w:t>
      </w:r>
    </w:p>
    <w:p>
      <w:pPr>
        <w:spacing w:after="0" w:line="183" w:lineRule="exact"/>
        <w:rPr>
          <w:sz w:val="20"/>
          <w:szCs w:val="20"/>
          <w:color w:val="auto"/>
        </w:rPr>
      </w:pPr>
    </w:p>
    <w:p>
      <w:pPr>
        <w:ind w:left="900" w:hanging="637"/>
        <w:spacing w:after="0"/>
        <w:tabs>
          <w:tab w:leader="none" w:pos="90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PAYMENTS, BENEFITS AND TAXES</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ind w:left="1520" w:hanging="626"/>
        <w:spacing w:after="0"/>
        <w:tabs>
          <w:tab w:leader="none" w:pos="152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 The Company will provide to Employee the payments and</w:t>
      </w:r>
    </w:p>
    <w:p>
      <w:pPr>
        <w:ind w:left="260"/>
        <w:spacing w:after="0" w:line="209" w:lineRule="auto"/>
        <w:tabs>
          <w:tab w:leader="none" w:pos="2140" w:val="left"/>
        </w:tabs>
        <w:rPr>
          <w:sz w:val="20"/>
          <w:szCs w:val="20"/>
          <w:color w:val="auto"/>
        </w:rPr>
      </w:pPr>
      <w:r>
        <w:rPr>
          <w:rFonts w:ascii="Times New Roman" w:cs="Times New Roman" w:eastAsia="Times New Roman" w:hAnsi="Times New Roman"/>
          <w:sz w:val="21"/>
          <w:szCs w:val="21"/>
          <w:color w:val="auto"/>
        </w:rPr>
        <w:t>benefits specified in</w:t>
        <w:tab/>
        <w:t>of the Employment</w:t>
      </w:r>
    </w:p>
    <w:p>
      <w:pPr>
        <w:ind w:left="260" w:right="20"/>
        <w:spacing w:after="0" w:line="229" w:lineRule="auto"/>
        <w:rPr>
          <w:sz w:val="20"/>
          <w:szCs w:val="20"/>
          <w:color w:val="auto"/>
        </w:rPr>
      </w:pPr>
      <w:r>
        <w:rPr>
          <w:rFonts w:ascii="Times New Roman" w:cs="Times New Roman" w:eastAsia="Times New Roman" w:hAnsi="Times New Roman"/>
          <w:sz w:val="21"/>
          <w:szCs w:val="21"/>
          <w:color w:val="auto"/>
        </w:rPr>
        <w:t>Agreement, subject to Section 5 of the Employment Agreement. Subject to Section 4(b) below, such payments and benefits will be provided to Employee at the times specified in the Employment Agreement.</w:t>
      </w:r>
    </w:p>
    <w:p>
      <w:pPr>
        <w:spacing w:after="0" w:line="186" w:lineRule="exact"/>
        <w:rPr>
          <w:sz w:val="20"/>
          <w:szCs w:val="20"/>
          <w:color w:val="auto"/>
        </w:rPr>
      </w:pPr>
    </w:p>
    <w:p>
      <w:pPr>
        <w:jc w:val="both"/>
        <w:ind w:left="260" w:firstLine="634"/>
        <w:spacing w:after="0" w:line="220" w:lineRule="auto"/>
        <w:tabs>
          <w:tab w:leader="none" w:pos="122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Any tax obligations of Employee and tax liability therefor, including without limitation any penalties or interest based upon such tax obligations, that arise from the benefits and payments made to Employee shall be Employee’s sole responsibility and liability. All payments or benefits made under this Release to Employee shall be subject to applicable tax withholding laws and regulations and Employee shall be required to timely and fully satisfy any such withholding as a condition of receipt of any payments or benefits. The terms of Sections 5, 13 and 14 of the Employment Agreement are also applicable to this Release and to all payments and benefits provided hereunder.</w:t>
      </w:r>
    </w:p>
    <w:p>
      <w:pPr>
        <w:spacing w:after="0" w:line="185" w:lineRule="exact"/>
        <w:rPr>
          <w:rFonts w:ascii="Times New Roman" w:cs="Times New Roman" w:eastAsia="Times New Roman" w:hAnsi="Times New Roman"/>
          <w:sz w:val="21"/>
          <w:szCs w:val="21"/>
          <w:color w:val="auto"/>
        </w:rPr>
      </w:pPr>
    </w:p>
    <w:p>
      <w:pPr>
        <w:jc w:val="both"/>
        <w:ind w:left="260" w:firstLine="634"/>
        <w:spacing w:after="0" w:line="225" w:lineRule="auto"/>
        <w:tabs>
          <w:tab w:leader="none" w:pos="122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WARN Payments</w:t>
      </w:r>
      <w:r>
        <w:rPr>
          <w:rFonts w:ascii="Times New Roman" w:cs="Times New Roman" w:eastAsia="Times New Roman" w:hAnsi="Times New Roman"/>
          <w:sz w:val="21"/>
          <w:szCs w:val="21"/>
          <w:color w:val="auto"/>
        </w:rPr>
        <w:t>. The payments to Employee hereunder shall be considered as including any and all payments by the Company that could or in fact become payable in connection with the Employee’s termination of employment pursuant to any applicable legal requirements, including, without limitation, the Worker Adjustment and Retraining Notification Act (the “</w:t>
      </w:r>
      <w:r>
        <w:rPr>
          <w:rFonts w:ascii="Times New Roman" w:cs="Times New Roman" w:eastAsia="Times New Roman" w:hAnsi="Times New Roman"/>
          <w:sz w:val="21"/>
          <w:szCs w:val="21"/>
          <w:u w:val="single" w:color="auto"/>
          <w:color w:val="auto"/>
        </w:rPr>
        <w:t>WARN</w:t>
      </w:r>
      <w:r>
        <w:rPr>
          <w:rFonts w:ascii="Times New Roman" w:cs="Times New Roman" w:eastAsia="Times New Roman" w:hAnsi="Times New Roman"/>
          <w:sz w:val="21"/>
          <w:szCs w:val="21"/>
          <w:color w:val="auto"/>
        </w:rPr>
        <w:t>” Act), California Labor Code sections 1400-1408, or any other similar foreign, federal or state law.</w:t>
      </w:r>
    </w:p>
    <w:p>
      <w:pPr>
        <w:spacing w:after="0" w:line="169" w:lineRule="exact"/>
        <w:rPr>
          <w:rFonts w:ascii="Times New Roman" w:cs="Times New Roman" w:eastAsia="Times New Roman" w:hAnsi="Times New Roman"/>
          <w:sz w:val="21"/>
          <w:szCs w:val="21"/>
          <w:color w:val="auto"/>
        </w:rPr>
      </w:pPr>
    </w:p>
    <w:p>
      <w:pPr>
        <w:ind w:left="260" w:right="100" w:firstLine="3"/>
        <w:spacing w:after="0" w:line="247" w:lineRule="auto"/>
        <w:tabs>
          <w:tab w:leader="none" w:pos="58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EMPLOYEE’S PROMISES</w:t>
      </w:r>
      <w:r>
        <w:rPr>
          <w:rFonts w:ascii="Times New Roman" w:cs="Times New Roman" w:eastAsia="Times New Roman" w:hAnsi="Times New Roman"/>
          <w:sz w:val="21"/>
          <w:szCs w:val="21"/>
          <w:color w:val="auto"/>
        </w:rPr>
        <w:t>. In consideration for the promises and payments contained in the Employment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agrees as follows:</w:t>
      </w:r>
    </w:p>
    <w:p>
      <w:pPr>
        <w:spacing w:after="0" w:line="178" w:lineRule="exact"/>
        <w:rPr>
          <w:rFonts w:ascii="Times New Roman" w:cs="Times New Roman" w:eastAsia="Times New Roman" w:hAnsi="Times New Roman"/>
          <w:sz w:val="21"/>
          <w:szCs w:val="21"/>
          <w:color w:val="auto"/>
        </w:rPr>
      </w:pPr>
    </w:p>
    <w:p>
      <w:pPr>
        <w:jc w:val="both"/>
        <w:ind w:left="260" w:firstLine="634"/>
        <w:spacing w:after="0" w:line="218" w:lineRule="auto"/>
        <w:tabs>
          <w:tab w:leader="none" w:pos="1221"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covenants not to sue and also waives, releases and forever discharges the Company and its divisions, subsidiaries, officers, directors, agents, employees, stockholders, affiliates, attorneys, predecessors and successors from any and all claims, causes of action, damages or costs of any type and liabilities of whatever kind or nature, in law or in equity, that Employee has ever had or may have as of the Effective Date (whether known or not known)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This waiver and release includes, but is not limited to, claims, causes of action, damages or costs arising under or in relation to Company’s employee handbook and personnel policies, or any oral or written representations or statements made by officers,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-12700</wp:posOffset>
            </wp:positionV>
            <wp:extent cx="16040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75" w:lineRule="exact"/>
        <w:rPr>
          <w:sz w:val="20"/>
          <w:szCs w:val="20"/>
          <w:color w:val="auto"/>
        </w:rPr>
      </w:pPr>
    </w:p>
    <w:p>
      <w:pPr>
        <w:ind w:left="360" w:hanging="97"/>
        <w:spacing w:after="0"/>
        <w:tabs>
          <w:tab w:leader="none" w:pos="36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specified at the time of termination.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440" w:right="619" w:bottom="1440" w:gutter="0" w:footer="0" w:header="0"/>
        </w:sectPr>
      </w:pPr>
    </w:p>
    <w:bookmarkStart w:id="136" w:name="page137"/>
    <w:bookmarkEnd w:id="136"/>
    <w:p>
      <w:pPr>
        <w:jc w:val="both"/>
        <w:ind w:left="260"/>
        <w:spacing w:after="0" w:line="213" w:lineRule="auto"/>
        <w:rPr>
          <w:sz w:val="20"/>
          <w:szCs w:val="20"/>
          <w:color w:val="auto"/>
        </w:rPr>
      </w:pPr>
      <w:r>
        <w:rPr>
          <w:rFonts w:ascii="Times New Roman" w:cs="Times New Roman" w:eastAsia="Times New Roman" w:hAnsi="Times New Roman"/>
          <w:sz w:val="21"/>
          <w:szCs w:val="21"/>
          <w:color w:val="auto"/>
        </w:rPr>
        <w:t>employees or agents of Company, and also including but not limited to Claims based on and/or arising under any state or federal law regulating wages, hours, compensation or employment, or any claim for breach of contract or breach of the implied covenant of good faith and fair dealing, or any claim for wrongful termination, or any discrimination claim on the basis of race, sex, sexual orientation, gender, age, religion, marital status, national origin, physical or mental disability, medical condition, or under Title VII of the Civil Rights Act of 1964, as amended, The Americans with Disabilities Act, The Family Medical Leave Act, The Equal Pay Act, The Employee Retirement Income Security Act, The Fair Labor Standards Act, The California Fair Employment and Housing Act, The California Constitution, The California Government Code, The California Labor Code, The Industrial Welfare Commission’s Orders, The Worker Adjustment and Retraining Notification Act, the California Labor Code, the California Family Rights Act, Act, the California Wage Orders, the California Private Attorneys General Act of 2004, the California Wage Orders, and the California Business and Professions Code Section 17200, et seq., and any and all other Claims Employee may have under any other federal, state or local Constitution, Statute, Ordinance and/or Regulation; and all other Claims arising under common law including but not limited to tort, express and/or implied contract and/or quasi-contract, arising out of or, in any way, related to Employee’s previous relationship with the Company as an employee, consultant and/or director.</w:t>
      </w:r>
    </w:p>
    <w:p>
      <w:pPr>
        <w:spacing w:after="0" w:line="184" w:lineRule="exact"/>
        <w:rPr>
          <w:sz w:val="20"/>
          <w:szCs w:val="20"/>
          <w:color w:val="auto"/>
        </w:rPr>
      </w:pPr>
    </w:p>
    <w:p>
      <w:pPr>
        <w:jc w:val="both"/>
        <w:ind w:left="260"/>
        <w:spacing w:after="0" w:line="231" w:lineRule="auto"/>
        <w:rPr>
          <w:sz w:val="20"/>
          <w:szCs w:val="20"/>
          <w:color w:val="auto"/>
        </w:rPr>
      </w:pPr>
      <w:r>
        <w:rPr>
          <w:rFonts w:ascii="Times New Roman" w:cs="Times New Roman" w:eastAsia="Times New Roman" w:hAnsi="Times New Roman"/>
          <w:sz w:val="21"/>
          <w:szCs w:val="21"/>
          <w:color w:val="auto"/>
        </w:rPr>
        <w:t>Furthermore, Employee expressly acknowledges, understands and agrees that this Release includes a waiver and release of all claims which Employee has or may have under the Older Workers Benefit Protection Act and the Age Discrimination in Employment Act of 1967, as amended, 29 U.S.C. §621, et seq.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The following terms and conditions apply to and are part of the waiver and release of ADEA claims under this Release:</w:t>
      </w:r>
      <w:r>
        <w:rPr>
          <w:rFonts w:ascii="Times New Roman" w:cs="Times New Roman" w:eastAsia="Times New Roman" w:hAnsi="Times New Roman"/>
          <w:sz w:val="27"/>
          <w:szCs w:val="27"/>
          <w:color w:val="auto"/>
          <w:vertAlign w:val="superscript"/>
        </w:rPr>
        <w:t>5</w:t>
      </w:r>
    </w:p>
    <w:p>
      <w:pPr>
        <w:spacing w:after="0" w:line="57" w:lineRule="exact"/>
        <w:rPr>
          <w:sz w:val="20"/>
          <w:szCs w:val="20"/>
          <w:color w:val="auto"/>
        </w:rPr>
      </w:pPr>
    </w:p>
    <w:p>
      <w:pPr>
        <w:ind w:left="1860" w:hanging="334"/>
        <w:spacing w:after="0"/>
        <w:tabs>
          <w:tab w:leader="none" w:pos="18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was advised and encouraged to consult with an attorney before signing this Release;</w:t>
      </w:r>
    </w:p>
    <w:p>
      <w:pPr>
        <w:spacing w:after="0" w:line="219" w:lineRule="exact"/>
        <w:rPr>
          <w:rFonts w:ascii="Times New Roman" w:cs="Times New Roman" w:eastAsia="Times New Roman" w:hAnsi="Times New Roman"/>
          <w:sz w:val="21"/>
          <w:szCs w:val="21"/>
          <w:color w:val="auto"/>
        </w:rPr>
      </w:pPr>
    </w:p>
    <w:p>
      <w:pPr>
        <w:jc w:val="both"/>
        <w:ind w:left="260" w:firstLine="1266"/>
        <w:spacing w:after="0" w:line="230" w:lineRule="auto"/>
        <w:tabs>
          <w:tab w:leader="none" w:pos="184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was granted twenty-one (21) days after Employee was presented with this Release to decide whether or not to sign this Release. Employee understands and agrees that any modification of this Release, whether material or immaterial, does not restart the running of this 21-day consideration period;</w:t>
      </w:r>
    </w:p>
    <w:p>
      <w:pPr>
        <w:spacing w:after="0" w:line="187" w:lineRule="exact"/>
        <w:rPr>
          <w:rFonts w:ascii="Times New Roman" w:cs="Times New Roman" w:eastAsia="Times New Roman" w:hAnsi="Times New Roman"/>
          <w:sz w:val="21"/>
          <w:szCs w:val="21"/>
          <w:color w:val="auto"/>
        </w:rPr>
      </w:pPr>
    </w:p>
    <w:p>
      <w:pPr>
        <w:jc w:val="both"/>
        <w:ind w:left="260" w:firstLine="1266"/>
        <w:spacing w:after="0" w:line="230" w:lineRule="auto"/>
        <w:tabs>
          <w:tab w:leader="none" w:pos="184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have the right to revoke the waiver and release of claims under the ADEA within seven (7) days of Employee signing this Release, and this Release shall not become effective and enforceable until that revocation period has expired without such revocation;</w:t>
      </w:r>
    </w:p>
    <w:p>
      <w:pPr>
        <w:spacing w:after="0" w:line="253" w:lineRule="exact"/>
        <w:rPr>
          <w:rFonts w:ascii="Times New Roman" w:cs="Times New Roman" w:eastAsia="Times New Roman" w:hAnsi="Times New Roman"/>
          <w:sz w:val="21"/>
          <w:szCs w:val="21"/>
          <w:color w:val="auto"/>
        </w:rPr>
      </w:pPr>
    </w:p>
    <w:p>
      <w:pPr>
        <w:jc w:val="both"/>
        <w:ind w:left="260" w:firstLine="1266"/>
        <w:spacing w:after="0" w:line="230" w:lineRule="auto"/>
        <w:tabs>
          <w:tab w:leader="none" w:pos="184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acknowledges and agrees that Employee is knowingly and voluntarily waiving and releasing Employee’s rights and claims, including under the ADEA, in exchange for consideration (something of value) in addition to anything of value to which Employee is already entitled; and</w:t>
      </w:r>
    </w:p>
    <w:p>
      <w:pPr>
        <w:spacing w:after="0" w:line="174" w:lineRule="exact"/>
        <w:rPr>
          <w:rFonts w:ascii="Times New Roman" w:cs="Times New Roman" w:eastAsia="Times New Roman" w:hAnsi="Times New Roman"/>
          <w:sz w:val="21"/>
          <w:szCs w:val="21"/>
          <w:color w:val="auto"/>
        </w:rPr>
      </w:pPr>
    </w:p>
    <w:p>
      <w:pPr>
        <w:ind w:left="260" w:firstLine="1266"/>
        <w:spacing w:after="0" w:line="243" w:lineRule="auto"/>
        <w:tabs>
          <w:tab w:leader="none" w:pos="184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Release prevents or precludes Employee from challenging or seeking a determination in good faith of the validity of this waiver under the ADEA, nor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141605</wp:posOffset>
            </wp:positionV>
            <wp:extent cx="16040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332" w:lineRule="exact"/>
        <w:rPr>
          <w:sz w:val="20"/>
          <w:szCs w:val="20"/>
          <w:color w:val="auto"/>
        </w:rPr>
      </w:pPr>
    </w:p>
    <w:p>
      <w:pPr>
        <w:ind w:left="360" w:hanging="97"/>
        <w:spacing w:after="0"/>
        <w:tabs>
          <w:tab w:leader="none" w:pos="360"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ADEA provisions to be updated or removed as applicable.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349" w:right="619" w:bottom="1440" w:gutter="0" w:footer="0" w:header="0"/>
        </w:sectPr>
      </w:pPr>
    </w:p>
    <w:bookmarkStart w:id="137" w:name="page138"/>
    <w:bookmarkEnd w:id="137"/>
    <w:p>
      <w:pPr>
        <w:ind w:left="260"/>
        <w:spacing w:after="0"/>
        <w:rPr>
          <w:sz w:val="20"/>
          <w:szCs w:val="20"/>
          <w:color w:val="auto"/>
        </w:rPr>
      </w:pPr>
      <w:r>
        <w:rPr>
          <w:rFonts w:ascii="Times New Roman" w:cs="Times New Roman" w:eastAsia="Times New Roman" w:hAnsi="Times New Roman"/>
          <w:sz w:val="21"/>
          <w:szCs w:val="21"/>
          <w:color w:val="auto"/>
        </w:rPr>
        <w:t>it impose any condition precedent, penalties or costs from doing so, unless specifically authorized by federal law.</w:t>
      </w:r>
    </w:p>
    <w:p>
      <w:pPr>
        <w:spacing w:after="0" w:line="219" w:lineRule="exact"/>
        <w:rPr>
          <w:sz w:val="20"/>
          <w:szCs w:val="20"/>
          <w:color w:val="auto"/>
        </w:rPr>
      </w:pPr>
    </w:p>
    <w:p>
      <w:pPr>
        <w:jc w:val="both"/>
        <w:ind w:left="260"/>
        <w:spacing w:after="0" w:line="222" w:lineRule="auto"/>
        <w:rPr>
          <w:sz w:val="20"/>
          <w:szCs w:val="20"/>
          <w:color w:val="auto"/>
        </w:rPr>
      </w:pPr>
      <w:r>
        <w:rPr>
          <w:rFonts w:ascii="Times New Roman" w:cs="Times New Roman" w:eastAsia="Times New Roman" w:hAnsi="Times New Roman"/>
          <w:sz w:val="21"/>
          <w:szCs w:val="21"/>
          <w:color w:val="auto"/>
        </w:rPr>
        <w:t>Therefore, Employee may unilaterally revoke this Release at any time up to seven (7) calendar days following Employee’s execution of the Release, and this Release shall not become effective or enforceable until the revocation period has expired, which is at 12:00:01 a.m. PST on the eighth day following Employee’s execution of this Release. If Employee elects to revoke this Release, such revocation must be in writing addressed to the Chief Executive Officer of the Company and received by the Company via facsimile or email no later than the end of the seventh day after Employee signed this Release.</w:t>
      </w:r>
    </w:p>
    <w:p>
      <w:pPr>
        <w:spacing w:after="0" w:line="186" w:lineRule="exact"/>
        <w:rPr>
          <w:sz w:val="20"/>
          <w:szCs w:val="20"/>
          <w:color w:val="auto"/>
        </w:rPr>
      </w:pPr>
    </w:p>
    <w:p>
      <w:pPr>
        <w:jc w:val="both"/>
        <w:ind w:left="260" w:firstLine="634"/>
        <w:spacing w:after="0" w:line="222" w:lineRule="auto"/>
        <w:tabs>
          <w:tab w:leader="none" w:pos="12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waiver and release set forth in this Section 5 applies to claims of which Employee does not currently have knowledge and Employee specifically waives the benefit of the provisions of Section 1542 of the Civil Code of the State of California which reads as follows: “</w:t>
      </w:r>
      <w:r>
        <w:rPr>
          <w:rFonts w:ascii="Times New Roman" w:cs="Times New Roman" w:eastAsia="Times New Roman" w:hAnsi="Times New Roman"/>
          <w:sz w:val="21"/>
          <w:szCs w:val="21"/>
          <w:i w:val="1"/>
          <w:iCs w:val="1"/>
          <w:color w:val="auto"/>
        </w:rPr>
        <w:t>A general release does not extend to claims that the creditor or releasing party does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know 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260" w:firstLine="634"/>
        <w:spacing w:after="0" w:line="216" w:lineRule="auto"/>
        <w:tabs>
          <w:tab w:leader="none" w:pos="122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the Company has paid to Employee all salary and vacation which had accrued as of the Termination Date and that these payments represent all such monies due to Employee through the Termination Date. In light of the payment by the Company of all wages due, or to become due to Employee, California Labor Code Section 206.5 is not applicable. That section provides in pertinent part as follows: “</w:t>
      </w:r>
      <w:r>
        <w:rPr>
          <w:rFonts w:ascii="Times New Roman" w:cs="Times New Roman" w:eastAsia="Times New Roman" w:hAnsi="Times New Roman"/>
          <w:sz w:val="21"/>
          <w:szCs w:val="21"/>
          <w:i w:val="1"/>
          <w:iCs w:val="1"/>
          <w:color w:val="auto"/>
        </w:rPr>
        <w:t>No employer shall require the execution of any release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claim or right on account of wages due, or to become due, or made as an advance on wages to be earned, unless payment of such wages has been made</w:t>
      </w:r>
      <w:r>
        <w:rPr>
          <w:rFonts w:ascii="Times New Roman" w:cs="Times New Roman" w:eastAsia="Times New Roman" w:hAnsi="Times New Roman"/>
          <w:sz w:val="21"/>
          <w:szCs w:val="21"/>
          <w:color w:val="auto"/>
        </w:rPr>
        <w:t>.” Except with respect to any “Excluded Claims” (specified in Section 5(d) below),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further represents and warrants to the Company that, as of the Effective Date, the payments set forth in Section 4(a) above constitute all payments or obligations owed by the Company to Employee in connection with any employment, severance, retention, or a change in control plan or arrangement.</w:t>
      </w:r>
    </w:p>
    <w:p>
      <w:pPr>
        <w:spacing w:after="0" w:line="188" w:lineRule="exact"/>
        <w:rPr>
          <w:rFonts w:ascii="Times New Roman" w:cs="Times New Roman" w:eastAsia="Times New Roman" w:hAnsi="Times New Roman"/>
          <w:sz w:val="21"/>
          <w:szCs w:val="21"/>
          <w:color w:val="auto"/>
        </w:rPr>
      </w:pPr>
    </w:p>
    <w:p>
      <w:pPr>
        <w:jc w:val="both"/>
        <w:ind w:left="260" w:firstLine="634"/>
        <w:spacing w:after="0" w:line="215" w:lineRule="auto"/>
        <w:tabs>
          <w:tab w:leader="none" w:pos="12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the Employee is not waiving any Claims Employee may have with respect to any of the following matters: (i) any rights that Employee may have to file a charge, testify, assist, or cooperate with the U.S. Equal Employment Opportunity Commission or another fair employment practices governmental agency; (ii) claims for indemnification from the Company, including without limitation under any contractual arrangements to which Employee is party with the Company, the Company’s charter and bylaws and in accordance with Section 2802 of the California Labor Code; (iii) claims to unemployment compensation benefits or workers compensation benefits; (iv) claims under the Fair Labor Standards Act; (v) health insurance benefits under the Consolidated Omnibus Budget Reconciliation Act (COBRA); (vi) claims with regard to vested benefits under a retirement plan governed by the ERISA; (vii) any events, occurrences, acts or omissions which occur after the Effective Date; (viii) claims under any directors and officers liability insurance policy or (ix) claims that may not be released as a matter of applicable law.</w:t>
      </w:r>
    </w:p>
    <w:p>
      <w:pPr>
        <w:spacing w:after="0" w:line="192" w:lineRule="exact"/>
        <w:rPr>
          <w:rFonts w:ascii="Times New Roman" w:cs="Times New Roman" w:eastAsia="Times New Roman" w:hAnsi="Times New Roman"/>
          <w:sz w:val="21"/>
          <w:szCs w:val="21"/>
          <w:color w:val="auto"/>
        </w:rPr>
      </w:pPr>
    </w:p>
    <w:p>
      <w:pPr>
        <w:ind w:left="260" w:firstLine="634"/>
        <w:spacing w:after="0" w:line="243" w:lineRule="auto"/>
        <w:tabs>
          <w:tab w:leader="none" w:pos="122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has not suffered nor aggravated any known on-the-job injuries for which Employee has not already filed a Workers’ Compensation claim.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349" w:right="619" w:bottom="1440" w:gutter="0" w:footer="0" w:header="0"/>
        </w:sectPr>
      </w:pPr>
    </w:p>
    <w:bookmarkStart w:id="138" w:name="page139"/>
    <w:bookmarkEnd w:id="138"/>
    <w:p>
      <w:pPr>
        <w:spacing w:after="0" w:line="146" w:lineRule="exact"/>
        <w:rPr>
          <w:sz w:val="20"/>
          <w:szCs w:val="20"/>
          <w:color w:val="auto"/>
        </w:rPr>
      </w:pPr>
    </w:p>
    <w:p>
      <w:pPr>
        <w:ind w:left="260" w:firstLine="634"/>
        <w:spacing w:after="0" w:line="243" w:lineRule="auto"/>
        <w:tabs>
          <w:tab w:leader="none" w:pos="1224"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nothing in this Release shall be construed as an admission of liability of any kind by Company to Employee.</w:t>
      </w:r>
    </w:p>
    <w:p>
      <w:pPr>
        <w:spacing w:after="0" w:line="182" w:lineRule="exact"/>
        <w:rPr>
          <w:rFonts w:ascii="Times New Roman" w:cs="Times New Roman" w:eastAsia="Times New Roman" w:hAnsi="Times New Roman"/>
          <w:sz w:val="21"/>
          <w:szCs w:val="21"/>
          <w:color w:val="auto"/>
        </w:rPr>
      </w:pPr>
    </w:p>
    <w:p>
      <w:pPr>
        <w:jc w:val="both"/>
        <w:ind w:left="260" w:firstLine="634"/>
        <w:spacing w:after="0" w:line="217" w:lineRule="auto"/>
        <w:tabs>
          <w:tab w:leader="none" w:pos="122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Employee breaches or threatens to breach any of the provisions contained in this Section 5, Employee acknowledges that such breach or threatened breach shall cause irreparable harm, entitling the Company, at its option, to seek immediate injunctive relief, from a court of competent jurisdiction without waiver of any other rights or remedies from a court of law or equity and without posting of bond. In addition, should the Company prevail before a court of competent jurisdiction or arbitration, Employee agrees to reimburse the Company for all expenses incurred, including reasonable attorneys’ fees. Should Employee attempt to challenge the enforceability of any provision of this Release, Employee shall initially tender to the Company, by certified check, all amounts received pursuant to this Release and shall not be entitled to receive any further payment or benefit hereunder or under the Agreements.</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30" w:lineRule="auto"/>
        <w:tabs>
          <w:tab w:leader="none" w:pos="122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reaffirms that Employee will continue to be bound by, and will continue to comply with, all of the terms and conditions and covenants in Sections 5, 7 through 15 of the Employment Agreement and also all terms and conditions of the Confidentiality Agreement (as such term is defined in the Employment Agreement).</w:t>
      </w:r>
    </w:p>
    <w:p>
      <w:pPr>
        <w:spacing w:after="0" w:line="174" w:lineRule="exact"/>
        <w:rPr>
          <w:rFonts w:ascii="Times New Roman" w:cs="Times New Roman" w:eastAsia="Times New Roman" w:hAnsi="Times New Roman"/>
          <w:sz w:val="21"/>
          <w:szCs w:val="21"/>
          <w:color w:val="auto"/>
        </w:rPr>
      </w:pPr>
    </w:p>
    <w:p>
      <w:pPr>
        <w:jc w:val="both"/>
        <w:ind w:left="260" w:firstLine="634"/>
        <w:spacing w:after="0" w:line="230" w:lineRule="auto"/>
        <w:tabs>
          <w:tab w:leader="none" w:pos="121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and warrants to the Company that, as of the Effective Date, Employee has no outstanding agreement or obligation that is in conflict with any of the provisions of this Release, or that would preclude Employee from complying with the provisions hereof, and further certifies that Employee will not enter into any such conflicting agreement.</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17" w:lineRule="auto"/>
        <w:tabs>
          <w:tab w:leader="none" w:pos="121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not, at any time following the Termination Date, make (or direct anyone else to make) any disparaging statements (oral or written) about the Company, or any of its affiliated entities, officers, directors, employees, stockholders, representatives or agents, or any of the Company’s products or services or work-in-progress, that are harmful to their businesses, business reputations or personal reputations. The Company will not in any authorized corporate communication, and will instruct the members of the Board to not, make (or direct anyone else to make) any disparaging statements (oral or written) about the Employee, that are harmful to the Employee’s businesses, business reputation or personal reputation. Notwithstanding this Section 5(j), nothing herein shall prohibit any party from providing truthful testimony in connection with a governmental investigation or legal proceeding or from reporting a suspected violation of law.</w:t>
      </w:r>
    </w:p>
    <w:p>
      <w:pPr>
        <w:spacing w:after="0" w:line="183" w:lineRule="exact"/>
        <w:rPr>
          <w:rFonts w:ascii="Times New Roman" w:cs="Times New Roman" w:eastAsia="Times New Roman" w:hAnsi="Times New Roman"/>
          <w:sz w:val="21"/>
          <w:szCs w:val="21"/>
          <w:color w:val="auto"/>
        </w:rPr>
      </w:pPr>
    </w:p>
    <w:p>
      <w:pPr>
        <w:ind w:left="900" w:hanging="637"/>
        <w:spacing w:after="0"/>
        <w:tabs>
          <w:tab w:leader="none" w:pos="9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jc w:val="both"/>
        <w:ind w:left="260" w:firstLine="634"/>
        <w:spacing w:after="0" w:line="230" w:lineRule="auto"/>
        <w:tabs>
          <w:tab w:leader="none" w:pos="122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Release shall be deemed to have been executed and delivered within the State of California, and the rights and obligations of the Company and Employee shall be construed and enforced in accordance with, and governed by, the laws of the State of California.</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25" w:lineRule="auto"/>
        <w:tabs>
          <w:tab w:leader="none" w:pos="122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Release, and the surviving provisions of the Employment Agreement, are the entire agreement with respect to the subject matter hereof and supersedes all prior and contemporaneous oral and written agreements and discussions. This Release may be amended only by an agreement in a writing signed by Employee and an authorized representative of the Company and which expressly references that this Release is being amended. Employees agree that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440" w:right="619" w:bottom="1440" w:gutter="0" w:footer="0" w:header="0"/>
        </w:sectPr>
      </w:pPr>
    </w:p>
    <w:bookmarkStart w:id="139" w:name="page140"/>
    <w:bookmarkEnd w:id="139"/>
    <w:p>
      <w:pPr>
        <w:spacing w:after="0" w:line="146" w:lineRule="exact"/>
        <w:rPr>
          <w:sz w:val="20"/>
          <w:szCs w:val="20"/>
          <w:color w:val="auto"/>
        </w:rPr>
      </w:pPr>
    </w:p>
    <w:p>
      <w:pPr>
        <w:ind w:left="260" w:right="120"/>
        <w:spacing w:after="0" w:line="243" w:lineRule="auto"/>
        <w:rPr>
          <w:sz w:val="20"/>
          <w:szCs w:val="20"/>
          <w:color w:val="auto"/>
        </w:rPr>
      </w:pPr>
      <w:r>
        <w:rPr>
          <w:rFonts w:ascii="Times New Roman" w:cs="Times New Roman" w:eastAsia="Times New Roman" w:hAnsi="Times New Roman"/>
          <w:sz w:val="21"/>
          <w:szCs w:val="21"/>
          <w:color w:val="auto"/>
        </w:rPr>
        <w:t>release set forth in Section 5 above shall be and remain in effect in all respects as a complete general release as to the matters released.</w:t>
      </w:r>
    </w:p>
    <w:p>
      <w:pPr>
        <w:spacing w:after="0" w:line="182" w:lineRule="exact"/>
        <w:rPr>
          <w:sz w:val="20"/>
          <w:szCs w:val="20"/>
          <w:color w:val="auto"/>
        </w:rPr>
      </w:pPr>
    </w:p>
    <w:p>
      <w:pPr>
        <w:jc w:val="both"/>
        <w:ind w:left="260" w:firstLine="634"/>
        <w:spacing w:after="0" w:line="230" w:lineRule="auto"/>
        <w:tabs>
          <w:tab w:leader="none" w:pos="122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Release is binding upon and shall inure to the benefit of the Company, its respective agents, employees, representatives, officers, directors, divisions, subsidiaries, affiliates, any parent company, assigns, heirs, partners, successors in interest and stockholders, including any successor company of the Company.</w:t>
      </w:r>
    </w:p>
    <w:p>
      <w:pPr>
        <w:spacing w:after="0" w:line="187" w:lineRule="exact"/>
        <w:rPr>
          <w:rFonts w:ascii="Times New Roman" w:cs="Times New Roman" w:eastAsia="Times New Roman" w:hAnsi="Times New Roman"/>
          <w:sz w:val="21"/>
          <w:szCs w:val="21"/>
          <w:color w:val="auto"/>
        </w:rPr>
      </w:pPr>
    </w:p>
    <w:p>
      <w:pPr>
        <w:ind w:left="260" w:firstLine="634"/>
        <w:spacing w:after="0" w:line="243" w:lineRule="auto"/>
        <w:tabs>
          <w:tab w:leader="none" w:pos="12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Employee has read this Release and has had the opportunity to ask questions, seek counsel and time to consider the terms of the Release. Employee has entered into this Release freely and voluntarily.</w:t>
      </w:r>
    </w:p>
    <w:p>
      <w:pPr>
        <w:spacing w:after="0" w:line="168" w:lineRule="exact"/>
        <w:rPr>
          <w:rFonts w:ascii="Times New Roman" w:cs="Times New Roman" w:eastAsia="Times New Roman" w:hAnsi="Times New Roman"/>
          <w:sz w:val="21"/>
          <w:szCs w:val="21"/>
          <w:color w:val="auto"/>
        </w:rPr>
      </w:pPr>
    </w:p>
    <w:p>
      <w:pPr>
        <w:jc w:val="both"/>
        <w:ind w:left="260" w:firstLine="634"/>
        <w:spacing w:after="0" w:line="225" w:lineRule="auto"/>
        <w:tabs>
          <w:tab w:leader="none" w:pos="122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understands and agrees that Employee is solely responsible for any and all liability under federal and state tax laws arising from the payments made under the Agreements. Employee understands that the released parties make no warranty concerning the treatment of any funds paid hereunder under said laws, and Employee has not relied upon any such warranties.</w:t>
      </w:r>
    </w:p>
    <w:p>
      <w:pPr>
        <w:spacing w:after="0" w:line="186" w:lineRule="exact"/>
        <w:rPr>
          <w:rFonts w:ascii="Times New Roman" w:cs="Times New Roman" w:eastAsia="Times New Roman" w:hAnsi="Times New Roman"/>
          <w:sz w:val="21"/>
          <w:szCs w:val="21"/>
          <w:color w:val="auto"/>
        </w:rPr>
      </w:pPr>
    </w:p>
    <w:p>
      <w:pPr>
        <w:jc w:val="both"/>
        <w:ind w:left="260" w:firstLine="634"/>
        <w:spacing w:after="0" w:line="230" w:lineRule="auto"/>
        <w:tabs>
          <w:tab w:leader="none" w:pos="122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declares, covenants and agrees that Employee has not assigned heretofore, and has not and will not hereafter sue, any of the released parties before any court or governmental agency, commission, division or department, whether state, federal or local, upon any claim, demand or cause of action released herein.</w:t>
      </w:r>
    </w:p>
    <w:p>
      <w:pPr>
        <w:spacing w:after="0" w:line="187" w:lineRule="exact"/>
        <w:rPr>
          <w:rFonts w:ascii="Times New Roman" w:cs="Times New Roman" w:eastAsia="Times New Roman" w:hAnsi="Times New Roman"/>
          <w:sz w:val="21"/>
          <w:szCs w:val="21"/>
          <w:color w:val="auto"/>
        </w:rPr>
      </w:pPr>
    </w:p>
    <w:p>
      <w:pPr>
        <w:jc w:val="both"/>
        <w:ind w:left="260" w:firstLine="634"/>
        <w:spacing w:after="0" w:line="230" w:lineRule="auto"/>
        <w:tabs>
          <w:tab w:leader="none" w:pos="12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provision of this Release or application thereof is held invalid, the invalidity shall not affect other provisions or applications of the Release which can be given effect without the invalid provision or application. To this end, the provisions of this Release are severable.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Nicole Miller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-10160</wp:posOffset>
            </wp:positionV>
            <wp:extent cx="1339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LegalZoom.com,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-10160</wp:posOffset>
            </wp:positionV>
            <wp:extent cx="1339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-10160</wp:posOffset>
            </wp:positionV>
            <wp:extent cx="133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-10160</wp:posOffset>
            </wp:positionV>
            <wp:extent cx="1339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920"/>
          </w:cols>
          <w:pgMar w:left="360" w:top="1440" w:right="619" w:bottom="1440" w:gutter="0" w:footer="0" w:header="0"/>
        </w:sectPr>
      </w:pPr>
    </w:p>
    <w:bookmarkStart w:id="140" w:name="page141"/>
    <w:bookmarkEnd w:id="140"/>
    <w:p>
      <w:pPr>
        <w:ind w:left="5060"/>
        <w:spacing w:after="0"/>
        <w:rPr>
          <w:sz w:val="20"/>
          <w:szCs w:val="20"/>
          <w:color w:val="auto"/>
        </w:rPr>
      </w:pPr>
      <w:r>
        <w:rPr>
          <w:rFonts w:ascii="Times New Roman" w:cs="Times New Roman" w:eastAsia="Times New Roman" w:hAnsi="Times New Roman"/>
          <w:sz w:val="21"/>
          <w:szCs w:val="21"/>
          <w:u w:val="single" w:color="auto"/>
          <w:color w:val="auto"/>
        </w:rPr>
        <w:t>EXHIBIT B</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CONFIDENTIAL INFORMATION AND EMPLOYEE INVENTION ASSIGNMENT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0099"/>
          </w:cols>
          <w:pgMar w:left="360" w:top="1428" w:right="1440" w:bottom="1440" w:gutter="0" w:footer="0" w:header="0"/>
        </w:sectPr>
      </w:pPr>
    </w:p>
    <w:bookmarkStart w:id="141" w:name="page142"/>
    <w:bookmarkEnd w:id="141"/>
    <w:p>
      <w:pPr>
        <w:jc w:val="center"/>
        <w:ind w:right="-59"/>
        <w:spacing w:after="0"/>
        <w:rPr>
          <w:sz w:val="20"/>
          <w:szCs w:val="20"/>
          <w:color w:val="auto"/>
        </w:rPr>
      </w:pPr>
      <w:r>
        <w:rPr>
          <w:rFonts w:ascii="Times New Roman" w:cs="Times New Roman" w:eastAsia="Times New Roman" w:hAnsi="Times New Roman"/>
          <w:sz w:val="21"/>
          <w:szCs w:val="21"/>
          <w:u w:val="single" w:color="auto"/>
          <w:color w:val="auto"/>
        </w:rPr>
        <w:t>EXHIBIT C</w:t>
      </w:r>
    </w:p>
    <w:p>
      <w:pPr>
        <w:spacing w:after="0" w:line="285" w:lineRule="exact"/>
        <w:rPr>
          <w:sz w:val="20"/>
          <w:szCs w:val="20"/>
          <w:color w:val="auto"/>
        </w:rPr>
      </w:pPr>
    </w:p>
    <w:p>
      <w:pPr>
        <w:jc w:val="both"/>
        <w:ind w:left="60"/>
        <w:spacing w:after="0" w:line="217" w:lineRule="auto"/>
        <w:rPr>
          <w:sz w:val="20"/>
          <w:szCs w:val="20"/>
          <w:color w:val="auto"/>
        </w:rPr>
      </w:pPr>
      <w:r>
        <w:rPr>
          <w:rFonts w:ascii="Times New Roman" w:cs="Times New Roman" w:eastAsia="Times New Roman" w:hAnsi="Times New Roman"/>
          <w:sz w:val="21"/>
          <w:szCs w:val="21"/>
          <w:color w:val="auto"/>
        </w:rPr>
        <w:t>The number of Time-Vested Options and Performance-Vested Options were calculated by taking the dollar value with respect to such grant, dividing it by the per-share 409A value of a share of the Company’s common stock as of the date of grant (the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 Share Value</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then multiplying the result by 2.5.</w:t>
      </w:r>
    </w:p>
    <w:p>
      <w:pPr>
        <w:spacing w:after="0" w:line="195" w:lineRule="exact"/>
        <w:rPr>
          <w:sz w:val="20"/>
          <w:szCs w:val="20"/>
          <w:color w:val="auto"/>
        </w:rPr>
      </w:pPr>
    </w:p>
    <w:p>
      <w:pPr>
        <w:jc w:val="both"/>
        <w:ind w:left="60"/>
        <w:spacing w:after="0" w:line="243" w:lineRule="auto"/>
        <w:rPr>
          <w:sz w:val="20"/>
          <w:szCs w:val="20"/>
          <w:color w:val="auto"/>
        </w:rPr>
      </w:pPr>
      <w:r>
        <w:rPr>
          <w:rFonts w:ascii="Times New Roman" w:cs="Times New Roman" w:eastAsia="Times New Roman" w:hAnsi="Times New Roman"/>
          <w:sz w:val="21"/>
          <w:szCs w:val="21"/>
          <w:color w:val="auto"/>
        </w:rPr>
        <w:t>The number of RSUs were calculated by taking the dollar value with respect to such grant and dividing it by the Grant Date Share Value.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250706503 v6</w:t>
      </w:r>
    </w:p>
    <w:p>
      <w:pPr>
        <w:sectPr>
          <w:pgSz w:w="11900" w:h="16838" w:orient="portrait"/>
          <w:cols w:equalWidth="0" w:num="1">
            <w:col w:w="11120"/>
          </w:cols>
          <w:pgMar w:left="360" w:top="1178" w:right="4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21.1</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Subsidiaries of LegalZoom.com, Inc.</w:t>
      </w:r>
    </w:p>
    <w:p>
      <w:pPr>
        <w:spacing w:after="0" w:line="34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Name of Subsidiary</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Jurisdiction of Organization</w:t>
            </w:r>
          </w:p>
        </w:tc>
      </w:tr>
      <w:tr>
        <w:trPr>
          <w:trHeight w:val="412"/>
        </w:trPr>
        <w:tc>
          <w:tcPr>
            <w:tcW w:w="1860" w:type="dxa"/>
            <w:vAlign w:val="bottom"/>
            <w:gridSpan w:val="2"/>
          </w:tcPr>
          <w:p>
            <w:pPr>
              <w:spacing w:after="0"/>
              <w:rPr>
                <w:sz w:val="20"/>
                <w:szCs w:val="20"/>
                <w:color w:val="auto"/>
              </w:rPr>
            </w:pPr>
            <w:r>
              <w:rPr>
                <w:rFonts w:ascii="Arial" w:cs="Arial" w:eastAsia="Arial" w:hAnsi="Arial"/>
                <w:sz w:val="16"/>
                <w:szCs w:val="16"/>
                <w:color w:val="auto"/>
              </w:rPr>
              <w:t>Earth Class Mail, Inc.</w:t>
            </w:r>
          </w:p>
        </w:tc>
        <w:tc>
          <w:tcPr>
            <w:tcW w:w="360" w:type="dxa"/>
            <w:vAlign w:val="bottom"/>
          </w:tcPr>
          <w:p>
            <w:pPr>
              <w:spacing w:after="0"/>
              <w:rPr>
                <w:sz w:val="24"/>
                <w:szCs w:val="24"/>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auto"/>
              </w:rPr>
              <w:t>Texas</w:t>
            </w:r>
          </w:p>
        </w:tc>
      </w:tr>
    </w:tbl>
    <w:p>
      <w:pPr>
        <w:sectPr>
          <w:pgSz w:w="11900" w:h="16838" w:orient="portrait"/>
          <w:cols w:equalWidth="0" w:num="1">
            <w:col w:w="10120"/>
          </w:cols>
          <w:pgMar w:left="1440" w:top="1389" w:right="339" w:bottom="1440" w:gutter="0" w:footer="0" w:header="0"/>
        </w:sectPr>
      </w:pPr>
    </w:p>
    <w:bookmarkStart w:id="143" w:name="page144"/>
    <w:bookmarkEnd w:id="143"/>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31" w:lineRule="exact"/>
        <w:rPr>
          <w:sz w:val="20"/>
          <w:szCs w:val="20"/>
          <w:color w:val="auto"/>
        </w:rPr>
      </w:pPr>
    </w:p>
    <w:p>
      <w:pPr>
        <w:jc w:val="both"/>
        <w:ind w:right="140"/>
        <w:spacing w:after="0" w:line="263"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333-257577 and 333-263819) of LegalZoom.com, Inc. of our report dated March 1,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rPr>
          <w:sz w:val="20"/>
          <w:szCs w:val="20"/>
          <w:color w:val="auto"/>
        </w:rPr>
      </w:pPr>
      <w:r>
        <w:rPr>
          <w:rFonts w:ascii="Arial" w:cs="Arial" w:eastAsia="Arial" w:hAnsi="Arial"/>
          <w:sz w:val="16"/>
          <w:szCs w:val="16"/>
          <w:color w:val="auto"/>
        </w:rPr>
        <w:t>March 1, 2023</w:t>
      </w:r>
    </w:p>
    <w:p>
      <w:pPr>
        <w:sectPr>
          <w:pgSz w:w="11900" w:h="16838" w:orient="portrait"/>
          <w:cols w:equalWidth="0" w:num="1">
            <w:col w:w="11240"/>
          </w:cols>
          <w:pgMar w:left="320" w:top="1440"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 Dan Wernikoff, certify that:</w:t>
      </w:r>
    </w:p>
    <w:p>
      <w:pPr>
        <w:spacing w:after="0" w:line="211" w:lineRule="exact"/>
        <w:rPr>
          <w:sz w:val="20"/>
          <w:szCs w:val="20"/>
          <w:color w:val="auto"/>
        </w:rPr>
      </w:pPr>
    </w:p>
    <w:p>
      <w:pPr>
        <w:ind w:left="460" w:hanging="455"/>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LegalZoom.com, Inc.</w:t>
      </w:r>
    </w:p>
    <w:p>
      <w:pPr>
        <w:spacing w:after="0" w:line="223" w:lineRule="exact"/>
        <w:rPr>
          <w:rFonts w:ascii="Arial" w:cs="Arial" w:eastAsia="Arial" w:hAnsi="Arial"/>
          <w:sz w:val="16"/>
          <w:szCs w:val="16"/>
          <w:color w:val="auto"/>
        </w:rPr>
      </w:pPr>
    </w:p>
    <w:p>
      <w:pPr>
        <w:ind w:left="480" w:right="80" w:hanging="475"/>
        <w:spacing w:after="0" w:line="304" w:lineRule="auto"/>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80" w:right="60" w:hanging="475"/>
        <w:spacing w:after="0" w:line="287" w:lineRule="auto"/>
        <w:tabs>
          <w:tab w:leader="none" w:pos="467"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960" w:right="220" w:hanging="481"/>
        <w:spacing w:after="0" w:line="263" w:lineRule="auto"/>
        <w:tabs>
          <w:tab w:leader="none" w:pos="969"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960" w:right="160" w:hanging="481"/>
        <w:spacing w:after="0" w:line="263" w:lineRule="auto"/>
        <w:tabs>
          <w:tab w:leader="none" w:pos="956"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4" w:lineRule="exact"/>
        <w:rPr>
          <w:rFonts w:ascii="Arial" w:cs="Arial" w:eastAsia="Arial" w:hAnsi="Arial"/>
          <w:sz w:val="16"/>
          <w:szCs w:val="16"/>
          <w:color w:val="auto"/>
        </w:rPr>
      </w:pPr>
    </w:p>
    <w:p>
      <w:pPr>
        <w:jc w:val="both"/>
        <w:ind w:left="960" w:right="760" w:hanging="481"/>
        <w:spacing w:after="0" w:line="304" w:lineRule="auto"/>
        <w:tabs>
          <w:tab w:leader="none" w:pos="973" w:val="left"/>
        </w:tabs>
        <w:numPr>
          <w:ilvl w:val="1"/>
          <w:numId w:val="7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960" w:right="80" w:hanging="481"/>
        <w:spacing w:after="0" w:line="263" w:lineRule="auto"/>
        <w:tabs>
          <w:tab w:leader="none" w:pos="956"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480" w:right="640" w:hanging="475"/>
        <w:spacing w:after="0" w:line="270" w:lineRule="auto"/>
        <w:tabs>
          <w:tab w:leader="none" w:pos="46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6"/>
          <w:szCs w:val="16"/>
          <w:color w:val="auto"/>
        </w:rPr>
      </w:pPr>
    </w:p>
    <w:p>
      <w:pPr>
        <w:ind w:left="960" w:right="20" w:hanging="481"/>
        <w:spacing w:after="0" w:line="287" w:lineRule="auto"/>
        <w:tabs>
          <w:tab w:leader="none" w:pos="969"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960" w:hanging="481"/>
        <w:spacing w:after="0" w:line="287" w:lineRule="auto"/>
        <w:tabs>
          <w:tab w:leader="none" w:pos="956"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340"/>
        <w:spacing w:after="0"/>
        <w:tabs>
          <w:tab w:leader="none" w:pos="5180" w:val="left"/>
          <w:tab w:leader="none" w:pos="770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16510</wp:posOffset>
            </wp:positionV>
            <wp:extent cx="34175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 w:lineRule="exact"/>
        <w:rPr>
          <w:sz w:val="20"/>
          <w:szCs w:val="20"/>
          <w:color w:val="auto"/>
        </w:rPr>
      </w:pPr>
    </w:p>
    <w:p>
      <w:pPr>
        <w:jc w:val="center"/>
        <w:ind w:left="5400"/>
        <w:spacing w:after="0"/>
        <w:rPr>
          <w:sz w:val="20"/>
          <w:szCs w:val="20"/>
          <w:color w:val="auto"/>
        </w:rPr>
      </w:pPr>
      <w:r>
        <w:rPr>
          <w:rFonts w:ascii="Arial" w:cs="Arial" w:eastAsia="Arial" w:hAnsi="Arial"/>
          <w:sz w:val="16"/>
          <w:szCs w:val="16"/>
          <w:b w:val="1"/>
          <w:bCs w:val="1"/>
          <w:color w:val="auto"/>
        </w:rPr>
        <w:t>Dan Wernikoff</w:t>
      </w:r>
    </w:p>
    <w:p>
      <w:pPr>
        <w:spacing w:after="0" w:line="33" w:lineRule="exact"/>
        <w:rPr>
          <w:sz w:val="20"/>
          <w:szCs w:val="20"/>
          <w:color w:val="auto"/>
        </w:rPr>
      </w:pPr>
    </w:p>
    <w:p>
      <w:pPr>
        <w:jc w:val="center"/>
        <w:ind w:left="5400"/>
        <w:spacing w:after="0"/>
        <w:rPr>
          <w:sz w:val="20"/>
          <w:szCs w:val="20"/>
          <w:color w:val="auto"/>
        </w:rPr>
      </w:pPr>
      <w:r>
        <w:rPr>
          <w:rFonts w:ascii="Arial" w:cs="Arial" w:eastAsia="Arial" w:hAnsi="Arial"/>
          <w:sz w:val="16"/>
          <w:szCs w:val="16"/>
          <w:b w:val="1"/>
          <w:bCs w:val="1"/>
          <w:color w:val="auto"/>
        </w:rPr>
        <w:t>Chief Executive Officer</w:t>
      </w:r>
    </w:p>
    <w:p>
      <w:pPr>
        <w:spacing w:after="0" w:line="27" w:lineRule="exact"/>
        <w:rPr>
          <w:sz w:val="20"/>
          <w:szCs w:val="20"/>
          <w:color w:val="auto"/>
        </w:rPr>
      </w:pPr>
    </w:p>
    <w:p>
      <w:pPr>
        <w:jc w:val="center"/>
        <w:ind w:left="54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91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11" w:lineRule="exact"/>
        <w:rPr>
          <w:sz w:val="20"/>
          <w:szCs w:val="20"/>
          <w:color w:val="auto"/>
        </w:rPr>
      </w:pPr>
    </w:p>
    <w:p>
      <w:pPr>
        <w:ind w:left="460" w:hanging="455"/>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LegalZoom.com, Inc.</w:t>
      </w:r>
    </w:p>
    <w:p>
      <w:pPr>
        <w:spacing w:after="0" w:line="223" w:lineRule="exact"/>
        <w:rPr>
          <w:rFonts w:ascii="Arial" w:cs="Arial" w:eastAsia="Arial" w:hAnsi="Arial"/>
          <w:sz w:val="16"/>
          <w:szCs w:val="16"/>
          <w:color w:val="auto"/>
        </w:rPr>
      </w:pPr>
    </w:p>
    <w:p>
      <w:pPr>
        <w:ind w:left="480" w:right="80" w:hanging="475"/>
        <w:spacing w:after="0" w:line="304"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80" w:right="60" w:hanging="475"/>
        <w:spacing w:after="0" w:line="287" w:lineRule="auto"/>
        <w:tabs>
          <w:tab w:leader="none" w:pos="4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960" w:right="220" w:hanging="481"/>
        <w:spacing w:after="0" w:line="263" w:lineRule="auto"/>
        <w:tabs>
          <w:tab w:leader="none" w:pos="969"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960" w:right="160" w:hanging="481"/>
        <w:spacing w:after="0" w:line="263" w:lineRule="auto"/>
        <w:tabs>
          <w:tab w:leader="none" w:pos="956"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4" w:lineRule="exact"/>
        <w:rPr>
          <w:rFonts w:ascii="Arial" w:cs="Arial" w:eastAsia="Arial" w:hAnsi="Arial"/>
          <w:sz w:val="16"/>
          <w:szCs w:val="16"/>
          <w:color w:val="auto"/>
        </w:rPr>
      </w:pPr>
    </w:p>
    <w:p>
      <w:pPr>
        <w:jc w:val="both"/>
        <w:ind w:left="960" w:right="760" w:hanging="481"/>
        <w:spacing w:after="0" w:line="304" w:lineRule="auto"/>
        <w:tabs>
          <w:tab w:leader="none" w:pos="973" w:val="left"/>
        </w:tabs>
        <w:numPr>
          <w:ilvl w:val="1"/>
          <w:numId w:val="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960" w:right="80" w:hanging="481"/>
        <w:spacing w:after="0" w:line="263" w:lineRule="auto"/>
        <w:tabs>
          <w:tab w:leader="none" w:pos="956"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480" w:right="640" w:hanging="475"/>
        <w:spacing w:after="0" w:line="270" w:lineRule="auto"/>
        <w:tabs>
          <w:tab w:leader="none" w:pos="4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6"/>
          <w:szCs w:val="16"/>
          <w:color w:val="auto"/>
        </w:rPr>
      </w:pPr>
    </w:p>
    <w:p>
      <w:pPr>
        <w:ind w:left="960" w:right="20" w:hanging="481"/>
        <w:spacing w:after="0" w:line="287" w:lineRule="auto"/>
        <w:tabs>
          <w:tab w:leader="none" w:pos="969"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960" w:hanging="481"/>
        <w:spacing w:after="0" w:line="287" w:lineRule="auto"/>
        <w:tabs>
          <w:tab w:leader="none" w:pos="956"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340"/>
        <w:spacing w:after="0"/>
        <w:tabs>
          <w:tab w:leader="none" w:pos="5320" w:val="left"/>
          <w:tab w:leader="none" w:pos="766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16510</wp:posOffset>
            </wp:positionV>
            <wp:extent cx="31750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spacing w:after="0" w:line="18"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33"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pacing w:after="0" w:line="27" w:lineRule="exact"/>
        <w:rPr>
          <w:sz w:val="20"/>
          <w:szCs w:val="20"/>
          <w:color w:val="auto"/>
        </w:rPr>
      </w:pPr>
    </w:p>
    <w:p>
      <w:pPr>
        <w:jc w:val="center"/>
        <w:ind w:left="52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91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26" w:lineRule="exact"/>
        <w:rPr>
          <w:sz w:val="20"/>
          <w:szCs w:val="20"/>
          <w:color w:val="auto"/>
        </w:rPr>
      </w:pPr>
    </w:p>
    <w:p>
      <w:pPr>
        <w:jc w:val="both"/>
        <w:ind w:right="80"/>
        <w:spacing w:after="0" w:line="263"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 Wernikoff, Chief Executive Officer of LegalZoom.com, Inc. (the “Company”), and Noel Watson, Chief Financial Officer of the Company, each hereby certifies that, to the best of our knowledge:</w:t>
      </w:r>
    </w:p>
    <w:p>
      <w:pPr>
        <w:spacing w:after="0" w:line="172" w:lineRule="exact"/>
        <w:rPr>
          <w:sz w:val="20"/>
          <w:szCs w:val="20"/>
          <w:color w:val="auto"/>
        </w:rPr>
      </w:pPr>
    </w:p>
    <w:p>
      <w:pPr>
        <w:ind w:left="480" w:right="20" w:hanging="475"/>
        <w:spacing w:after="0" w:line="270" w:lineRule="auto"/>
        <w:tabs>
          <w:tab w:leader="none" w:pos="4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2022, to which this Certification is attached as Exhibit 32.1 (the “Periodic Report”), fully complies with the requirements of Section 13(a) or Section 15(d) of the Exchange Act; and</w:t>
      </w:r>
    </w:p>
    <w:p>
      <w:pPr>
        <w:spacing w:after="0" w:line="178" w:lineRule="exact"/>
        <w:rPr>
          <w:rFonts w:ascii="Arial" w:cs="Arial" w:eastAsia="Arial" w:hAnsi="Arial"/>
          <w:sz w:val="16"/>
          <w:szCs w:val="16"/>
          <w:color w:val="auto"/>
        </w:rPr>
      </w:pPr>
    </w:p>
    <w:p>
      <w:pPr>
        <w:ind w:right="140" w:firstLine="5"/>
        <w:spacing w:after="0" w:line="488" w:lineRule="auto"/>
        <w:tabs>
          <w:tab w:leader="none" w:pos="46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IN WITNESS WHEREOF, the undersigned have set their hands hereto as of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March 2023.</w:t>
      </w:r>
    </w:p>
    <w:p>
      <w:pPr>
        <w:ind w:left="5400"/>
        <w:spacing w:after="0"/>
        <w:rPr>
          <w:sz w:val="20"/>
          <w:szCs w:val="20"/>
          <w:color w:val="auto"/>
        </w:rPr>
      </w:pPr>
      <w:r>
        <w:rPr>
          <w:rFonts w:ascii="Arial" w:cs="Arial" w:eastAsia="Arial" w:hAnsi="Arial"/>
          <w:sz w:val="16"/>
          <w:szCs w:val="16"/>
          <w:color w:val="auto"/>
        </w:rPr>
        <w:t>LegalZoom.com, Inc.</w:t>
      </w:r>
    </w:p>
    <w:p>
      <w:pPr>
        <w:spacing w:after="0" w:line="277" w:lineRule="exact"/>
        <w:rPr>
          <w:sz w:val="20"/>
          <w:szCs w:val="20"/>
          <w:color w:val="auto"/>
        </w:rPr>
      </w:pPr>
    </w:p>
    <w:p>
      <w:pPr>
        <w:ind w:left="20"/>
        <w:spacing w:after="0"/>
        <w:tabs>
          <w:tab w:leader="none" w:pos="5380" w:val="left"/>
          <w:tab w:leader="none" w:pos="790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16510</wp:posOffset>
            </wp:positionV>
            <wp:extent cx="34175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Dan Wernikoff</w:t>
      </w:r>
    </w:p>
    <w:p>
      <w:pPr>
        <w:spacing w:after="0" w:line="33"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Executive Officer)</w:t>
      </w:r>
    </w:p>
    <w:p>
      <w:pPr>
        <w:spacing w:after="0" w:line="285" w:lineRule="exact"/>
        <w:rPr>
          <w:sz w:val="20"/>
          <w:szCs w:val="20"/>
          <w:color w:val="auto"/>
        </w:rPr>
      </w:pPr>
    </w:p>
    <w:p>
      <w:pPr>
        <w:ind w:left="20"/>
        <w:spacing w:after="0"/>
        <w:tabs>
          <w:tab w:leader="none" w:pos="5380" w:val="left"/>
          <w:tab w:leader="none" w:pos="796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16510</wp:posOffset>
            </wp:positionV>
            <wp:extent cx="34175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Noel Watson</w:t>
      </w:r>
    </w:p>
    <w:p>
      <w:pPr>
        <w:spacing w:after="0" w:line="33"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Financial Officer</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9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2"/>
    </w:lvl>
  </w:abstractNum>
  <w:abstractNum w:abstractNumId="17">
    <w:nsid w:val="684A481A"/>
    <w:multiLevelType w:val="hybridMultilevel"/>
    <w:lvl w:ilvl="0">
      <w:lvlJc w:val="left"/>
      <w:lvlText w:val="(%1)"/>
      <w:numFmt w:val="lowerRoman"/>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1)"/>
      <w:numFmt w:val="lowerRoman"/>
      <w:start w:val="2"/>
    </w:lvl>
  </w:abstractNum>
  <w:abstractNum w:abstractNumId="22">
    <w:nsid w:val="79A1DEAA"/>
    <w:multiLevelType w:val="hybridMultilevel"/>
    <w:lvl w:ilvl="0">
      <w:lvlJc w:val="left"/>
      <w:lvlText w:val="(%1)"/>
      <w:numFmt w:val="lowerRoman"/>
      <w:start w:val="2"/>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lowerLetter"/>
      <w:start w:val="1"/>
    </w:lvl>
    <w:lvl w:ilvl="1">
      <w:lvlJc w:val="left"/>
      <w:lvlText w:val="(%2)"/>
      <w:numFmt w:val="decimal"/>
      <w:start w:val="1"/>
    </w:lvl>
  </w:abstractNum>
  <w:abstractNum w:abstractNumId="28">
    <w:nsid w:val="4F4EF005"/>
    <w:multiLevelType w:val="hybridMultilevel"/>
    <w:lvl w:ilvl="0">
      <w:lvlJc w:val="left"/>
      <w:lvlText w:val="%1"/>
      <w:numFmt w:val="decimal"/>
      <w:start w:val="10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lowerRoman"/>
      <w:start w:val="2"/>
    </w:lvl>
  </w:abstractNum>
  <w:abstractNum w:abstractNumId="32">
    <w:nsid w:val="39386575"/>
    <w:multiLevelType w:val="hybridMultilevel"/>
    <w:lvl w:ilvl="0">
      <w:lvlJc w:val="left"/>
      <w:lvlText w:val="%1."/>
      <w:numFmt w:val="decimal"/>
      <w:start w:val="1"/>
    </w:lvl>
    <w:lvl w:ilvl="1">
      <w:lvlJc w:val="left"/>
      <w:lvlText w:val="(%2)"/>
      <w:numFmt w:val="lowerLetter"/>
      <w:start w:val="1"/>
    </w:lvl>
  </w:abstractNum>
  <w:abstractNum w:abstractNumId="33">
    <w:nsid w:val="1CF10FD8"/>
    <w:multiLevelType w:val="hybridMultilevel"/>
    <w:lvl w:ilvl="0">
      <w:lvlJc w:val="left"/>
      <w:lvlText w:val="%1."/>
      <w:numFmt w:val="decimal"/>
      <w:start w:val="2"/>
    </w:lvl>
    <w:lvl w:ilvl="1">
      <w:lvlJc w:val="left"/>
      <w:lvlText w:val="(%2)"/>
      <w:numFmt w:val="lowerLetter"/>
      <w:start w:val="1"/>
    </w:lvl>
  </w:abstractNum>
  <w:abstractNum w:abstractNumId="34">
    <w:nsid w:val="180115BE"/>
    <w:multiLevelType w:val="hybridMultilevel"/>
    <w:lvl w:ilvl="0">
      <w:lvlJc w:val="left"/>
      <w:lvlText w:val="(%1)"/>
      <w:numFmt w:val="lowerLetter"/>
      <w:start w:val="5"/>
    </w:lvl>
    <w:lvl w:ilvl="1">
      <w:lvlJc w:val="left"/>
      <w:lvlText w:val="(%2)"/>
      <w:numFmt w:val="lowerRoman"/>
      <w:start w:val="1"/>
    </w:lvl>
  </w:abstractNum>
  <w:abstractNum w:abstractNumId="35">
    <w:nsid w:val="235BA861"/>
    <w:multiLevelType w:val="hybridMultilevel"/>
    <w:lvl w:ilvl="0">
      <w:lvlJc w:val="left"/>
      <w:lvlText w:val="(%1)"/>
      <w:numFmt w:val="lowerRoman"/>
      <w:start w:val="4"/>
    </w:lvl>
  </w:abstractNum>
  <w:abstractNum w:abstractNumId="36">
    <w:nsid w:val="47398C89"/>
    <w:multiLevelType w:val="hybridMultilevel"/>
    <w:lvl w:ilvl="0">
      <w:lvlJc w:val="left"/>
      <w:lvlText w:val="%1"/>
      <w:numFmt w:val="decimal"/>
      <w:start w:val="1"/>
    </w:lvl>
    <w:lvl w:ilvl="1">
      <w:lvlJc w:val="left"/>
      <w:lvlText w:val="(%2)"/>
      <w:numFmt w:val="lowerRoman"/>
      <w:start w:val="6"/>
    </w:lvl>
  </w:abstractNum>
  <w:abstractNum w:abstractNumId="37">
    <w:nsid w:val="354FE9F9"/>
    <w:multiLevelType w:val="hybridMultilevel"/>
    <w:lvl w:ilvl="0">
      <w:lvlJc w:val="left"/>
      <w:lvlText w:val="%1."/>
      <w:numFmt w:val="decimal"/>
      <w:start w:val="4"/>
    </w:lvl>
    <w:lvl w:ilvl="1">
      <w:lvlJc w:val="left"/>
      <w:lvlText w:val="%2"/>
      <w:numFmt w:val="lowerRoman"/>
      <w:start w:val="1"/>
    </w:lvl>
  </w:abstractNum>
  <w:abstractNum w:abstractNumId="38">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
    <w:nsid w:val="741226B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40">
    <w:nsid w:val="D34B6A8"/>
    <w:multiLevelType w:val="hybridMultilevel"/>
    <w:lvl w:ilvl="0">
      <w:lvlJc w:val="left"/>
      <w:lvlText w:val="(%1)"/>
      <w:numFmt w:val="upperLetter"/>
      <w:start w:val="3"/>
    </w:lvl>
    <w:lvl w:ilvl="1">
      <w:lvlJc w:val="left"/>
      <w:lvlText w:val="(%2)"/>
      <w:numFmt w:val="lowerRoman"/>
      <w:start w:val="2"/>
    </w:lvl>
    <w:lvl w:ilvl="2">
      <w:lvlJc w:val="left"/>
      <w:lvlText w:val="(%3)"/>
      <w:numFmt w:val="upperLetter"/>
      <w:start w:val="1"/>
    </w:lvl>
  </w:abstractNum>
  <w:abstractNum w:abstractNumId="41">
    <w:nsid w:val="10233C99"/>
    <w:multiLevelType w:val="hybridMultilevel"/>
    <w:lvl w:ilvl="0">
      <w:lvlJc w:val="left"/>
      <w:lvlText w:val="(%1)"/>
      <w:numFmt w:val="upperLetter"/>
      <w:start w:val="3"/>
    </w:lvl>
    <w:lvl w:ilvl="1">
      <w:lvlJc w:val="left"/>
      <w:lvlText w:val="(%2)"/>
      <w:numFmt w:val="lowerRoman"/>
      <w:start w:val="3"/>
    </w:lvl>
    <w:lvl w:ilvl="2">
      <w:lvlJc w:val="left"/>
      <w:lvlText w:val="%3"/>
      <w:numFmt w:val="upperLetter"/>
      <w:start w:val="1"/>
    </w:lvl>
  </w:abstractNum>
  <w:abstractNum w:abstractNumId="42">
    <w:nsid w:val="3F6AB60F"/>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4"/>
    </w:lvl>
    <w:lvl w:ilvl="3">
      <w:lvlJc w:val="left"/>
      <w:lvlText w:val="(%4)"/>
      <w:numFmt w:val="decimal"/>
      <w:start w:val="29"/>
    </w:lvl>
    <w:lvl w:ilvl="4">
      <w:lvlJc w:val="left"/>
      <w:lvlText w:val="(%5)"/>
      <w:numFmt w:val="lowerLetter"/>
      <w:start w:val="5"/>
    </w:lvl>
  </w:abstractNum>
  <w:abstractNum w:abstractNumId="43">
    <w:nsid w:val="61574095"/>
    <w:multiLevelType w:val="hybridMultilevel"/>
    <w:lvl w:ilvl="0">
      <w:lvlJc w:val="left"/>
      <w:lvlText w:val="%1"/>
      <w:numFmt w:val="decimal"/>
      <w:start w:val="1"/>
    </w:lvl>
    <w:lvl w:ilvl="1">
      <w:lvlJc w:val="left"/>
      <w:lvlText w:val="(%2)"/>
      <w:numFmt w:val="lowerLetter"/>
      <w:start w:val="6"/>
    </w:lvl>
  </w:abstractNum>
  <w:abstractNum w:abstractNumId="44">
    <w:nsid w:val="7E0C57B1"/>
    <w:multiLevelType w:val="hybridMultilevel"/>
    <w:lvl w:ilvl="0">
      <w:lvlJc w:val="left"/>
      <w:lvlText w:val="%1."/>
      <w:numFmt w:val="decimal"/>
      <w:start w:val="5"/>
    </w:lvl>
    <w:lvl w:ilvl="1">
      <w:lvlJc w:val="left"/>
      <w:lvlText w:val="(%2)"/>
      <w:numFmt w:val="lowerLetter"/>
      <w:start w:val="1"/>
    </w:lvl>
  </w:abstractNum>
  <w:abstractNum w:abstractNumId="45">
    <w:nsid w:val="77AE35EB"/>
    <w:multiLevelType w:val="hybridMultilevel"/>
    <w:lvl w:ilvl="0">
      <w:lvlJc w:val="left"/>
      <w:lvlText w:val="%1"/>
      <w:numFmt w:val="upperLetter"/>
      <w:start w:val="1"/>
    </w:lvl>
    <w:lvl w:ilvl="1">
      <w:lvlJc w:val="left"/>
      <w:lvlText w:val="(%2)"/>
      <w:numFmt w:val="lowerLetter"/>
      <w:start w:val="2"/>
    </w:lvl>
  </w:abstractNum>
  <w:abstractNum w:abstractNumId="46">
    <w:nsid w:val="579BE4F1"/>
    <w:multiLevelType w:val="hybridMultilevel"/>
    <w:lvl w:ilvl="0">
      <w:lvlJc w:val="left"/>
      <w:lvlText w:val="(%1)"/>
      <w:numFmt w:val="upperLetter"/>
      <w:start w:val="2"/>
    </w:lvl>
    <w:lvl w:ilvl="1">
      <w:lvlJc w:val="left"/>
      <w:lvlText w:val="(%2)"/>
      <w:numFmt w:val="lowerLetter"/>
      <w:start w:val="3"/>
    </w:lvl>
  </w:abstractNum>
  <w:abstractNum w:abstractNumId="47">
    <w:nsid w:val="310C50B3"/>
    <w:multiLevelType w:val="hybridMultilevel"/>
    <w:lvl w:ilvl="0">
      <w:lvlJc w:val="left"/>
      <w:lvlText w:val="%1."/>
      <w:numFmt w:val="decimal"/>
      <w:start w:val="6"/>
    </w:lvl>
    <w:lvl w:ilvl="1">
      <w:lvlJc w:val="left"/>
      <w:lvlText w:val="(%2)"/>
      <w:numFmt w:val="lowerLetter"/>
      <w:start w:val="1"/>
    </w:lvl>
  </w:abstractNum>
  <w:abstractNum w:abstractNumId="48">
    <w:nsid w:val="5FF87E05"/>
    <w:multiLevelType w:val="hybridMultilevel"/>
    <w:lvl w:ilvl="0">
      <w:lvlJc w:val="left"/>
      <w:lvlText w:val="%1"/>
      <w:numFmt w:val="lowerLetter"/>
      <w:start w:val="1"/>
    </w:lvl>
    <w:lvl w:ilvl="1">
      <w:lvlJc w:val="left"/>
      <w:lvlText w:val="(%2)"/>
      <w:numFmt w:val="lowerLetter"/>
      <w:start w:val="3"/>
    </w:lvl>
  </w:abstractNum>
  <w:abstractNum w:abstractNumId="49">
    <w:nsid w:val="2F305DEF"/>
    <w:multiLevelType w:val="hybridMultilevel"/>
    <w:lvl w:ilvl="0">
      <w:lvlJc w:val="left"/>
      <w:lvlText w:val="(%1)"/>
      <w:numFmt w:val="lowerLetter"/>
      <w:start w:val="61"/>
    </w:lvl>
    <w:lvl w:ilvl="1">
      <w:lvlJc w:val="left"/>
      <w:lvlText w:val="%2"/>
      <w:numFmt w:val="lowerLetter"/>
      <w:start w:val="1"/>
    </w:lvl>
  </w:abstractNum>
  <w:abstractNum w:abstractNumId="50">
    <w:nsid w:val="25A70BF7"/>
    <w:multiLevelType w:val="hybridMultilevel"/>
    <w:lvl w:ilvl="0">
      <w:lvlJc w:val="left"/>
      <w:lvlText w:val="%1"/>
      <w:numFmt w:val="decimal"/>
      <w:start w:val="1"/>
    </w:lvl>
    <w:lvl w:ilvl="1">
      <w:lvlJc w:val="left"/>
      <w:lvlText w:val="(%2)"/>
      <w:numFmt w:val="lowerRoman"/>
      <w:start w:val="1"/>
    </w:lvl>
  </w:abstractNum>
  <w:abstractNum w:abstractNumId="51">
    <w:nsid w:val="1DBABF00"/>
    <w:multiLevelType w:val="hybridMultilevel"/>
    <w:lvl w:ilvl="0">
      <w:lvlJc w:val="left"/>
      <w:lvlText w:val="%1."/>
      <w:numFmt w:val="decimal"/>
      <w:start w:val="9"/>
    </w:lvl>
    <w:lvl w:ilvl="1">
      <w:lvlJc w:val="left"/>
      <w:lvlText w:val="%2"/>
      <w:numFmt w:val="lowerRoman"/>
      <w:start w:val="1"/>
    </w:lvl>
  </w:abstractNum>
  <w:abstractNum w:abstractNumId="52">
    <w:nsid w:val="4AD084E9"/>
    <w:multiLevelType w:val="hybridMultilevel"/>
    <w:lvl w:ilvl="0">
      <w:lvlJc w:val="left"/>
      <w:lvlText w:val="%1."/>
      <w:numFmt w:val="decimal"/>
      <w:start w:val="11"/>
    </w:lvl>
  </w:abstractNum>
  <w:abstractNum w:abstractNumId="53">
    <w:nsid w:val="1F48EAA1"/>
    <w:multiLevelType w:val="hybridMultilevel"/>
    <w:lvl w:ilvl="0">
      <w:lvlJc w:val="left"/>
      <w:lvlText w:val="%1."/>
      <w:numFmt w:val="decimal"/>
      <w:start w:val="15"/>
    </w:lvl>
    <w:lvl w:ilvl="1">
      <w:lvlJc w:val="left"/>
      <w:lvlText w:val="(%2)"/>
      <w:numFmt w:val="lowerLetter"/>
      <w:start w:val="1"/>
    </w:lvl>
  </w:abstractNum>
  <w:abstractNum w:abstractNumId="54">
    <w:nsid w:val="1381823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55">
    <w:nsid w:val="5DB70AE5"/>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56">
    <w:nsid w:val="100F8FCA"/>
    <w:multiLevelType w:val="hybridMultilevel"/>
    <w:lvl w:ilvl="0">
      <w:lvlJc w:val="left"/>
      <w:lvlText w:val="(%1)"/>
      <w:numFmt w:val="lowerLetter"/>
      <w:start w:val="3"/>
    </w:lvl>
    <w:lvl w:ilvl="1">
      <w:lvlJc w:val="left"/>
      <w:lvlText w:val="(%2)"/>
      <w:numFmt w:val="lowerLetter"/>
      <w:start w:val="9"/>
    </w:lvl>
  </w:abstractNum>
  <w:abstractNum w:abstractNumId="57">
    <w:nsid w:val="6590700B"/>
    <w:multiLevelType w:val="hybridMultilevel"/>
    <w:lvl w:ilvl="0">
      <w:lvlJc w:val="left"/>
      <w:lvlText w:val="(%1)"/>
      <w:numFmt w:val="lowerRoman"/>
      <w:start w:val="2"/>
    </w:lvl>
  </w:abstractNum>
  <w:abstractNum w:abstractNumId="58">
    <w:nsid w:val="15014ACB"/>
    <w:multiLevelType w:val="hybridMultilevel"/>
    <w:lvl w:ilvl="0">
      <w:lvlJc w:val="left"/>
      <w:lvlText w:val="(%1)"/>
      <w:numFmt w:val="lowerRoman"/>
      <w:start w:val="4"/>
    </w:lvl>
  </w:abstractNum>
  <w:abstractNum w:abstractNumId="59">
    <w:nsid w:val="5F5E7FD0"/>
    <w:multiLevelType w:val="hybridMultilevel"/>
    <w:lvl w:ilvl="0">
      <w:lvlJc w:val="left"/>
      <w:lvlText w:val="(%1)"/>
      <w:numFmt w:val="lowerLetter"/>
      <w:start w:val="4"/>
    </w:lvl>
  </w:abstractNum>
  <w:abstractNum w:abstractNumId="60">
    <w:nsid w:val="98A3148"/>
    <w:multiLevelType w:val="hybridMultilevel"/>
    <w:lvl w:ilvl="0">
      <w:lvlJc w:val="left"/>
      <w:lvlText w:val="%1"/>
      <w:numFmt w:val="decimal"/>
      <w:start w:val="1"/>
    </w:lvl>
    <w:lvl w:ilvl="1">
      <w:lvlJc w:val="left"/>
      <w:lvlText w:val="(%2)"/>
      <w:numFmt w:val="lowerRoman"/>
      <w:start w:val="1"/>
    </w:lvl>
  </w:abstractNum>
  <w:abstractNum w:abstractNumId="61">
    <w:nsid w:val="799D0247"/>
    <w:multiLevelType w:val="hybridMultilevel"/>
    <w:lvl w:ilvl="0">
      <w:lvlJc w:val="left"/>
      <w:lvlText w:val="%1."/>
      <w:numFmt w:val="decimal"/>
      <w:start w:val="18"/>
    </w:lvl>
    <w:lvl w:ilvl="1">
      <w:lvlJc w:val="left"/>
      <w:lvlText w:val="%2"/>
      <w:numFmt w:val="lowerRoman"/>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2"/>
    </w:lvl>
  </w:abstractNum>
  <w:abstractNum w:abstractNumId="64">
    <w:nsid w:val="168E121F"/>
    <w:multiLevelType w:val="hybridMultilevel"/>
    <w:lvl w:ilvl="0">
      <w:lvlJc w:val="left"/>
      <w:lvlText w:val="%1."/>
      <w:numFmt w:val="decimal"/>
      <w:start w:val="3"/>
    </w:lvl>
  </w:abstractNum>
  <w:abstractNum w:abstractNumId="65">
    <w:nsid w:val="1EBA5D23"/>
    <w:multiLevelType w:val="hybridMultilevel"/>
    <w:lvl w:ilvl="0">
      <w:lvlJc w:val="left"/>
      <w:lvlText w:val="2"/>
      <w:numFmt w:val="bullet"/>
      <w:start w:val="1"/>
    </w:lvl>
  </w:abstractNum>
  <w:abstractNum w:abstractNumId="66">
    <w:nsid w:val="661E3F1E"/>
    <w:multiLevelType w:val="hybridMultilevel"/>
    <w:lvl w:ilvl="0">
      <w:lvlJc w:val="left"/>
      <w:lvlText w:val="%1."/>
      <w:numFmt w:val="decimal"/>
      <w:start w:val="4"/>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decimal"/>
      <w:start w:val="1"/>
    </w:lvl>
    <w:lvl w:ilvl="1">
      <w:lvlJc w:val="left"/>
      <w:lvlText w:val="%2."/>
      <w:numFmt w:val="lowerLetter"/>
      <w:start w:val="2"/>
    </w:lvl>
  </w:abstractNum>
  <w:abstractNum w:abstractNumId="69">
    <w:nsid w:val="7BD3EE7B"/>
    <w:multiLevelType w:val="hybridMultilevel"/>
    <w:lvl w:ilvl="0">
      <w:lvlJc w:val="left"/>
      <w:lvlText w:val="%1."/>
      <w:numFmt w:val="decimal"/>
      <w:start w:val="5"/>
    </w:lvl>
    <w:lvl w:ilvl="1">
      <w:lvlJc w:val="left"/>
      <w:lvlText w:val="%2."/>
      <w:numFmt w:val="lowerLetter"/>
      <w:start w:val="1"/>
    </w:lvl>
  </w:abstractNum>
  <w:abstractNum w:abstractNumId="70">
    <w:nsid w:val="51D9C564"/>
    <w:multiLevelType w:val="hybridMultilevel"/>
    <w:lvl w:ilvl="0">
      <w:lvlJc w:val="left"/>
      <w:lvlText w:val="4"/>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5"/>
      <w:numFmt w:val="bullet"/>
      <w:start w:val="1"/>
    </w:lvl>
  </w:abstractNum>
  <w:abstractNum w:abstractNumId="73">
    <w:nsid w:val="11447B73"/>
    <w:multiLevelType w:val="hybridMultilevel"/>
    <w:lvl w:ilvl="0">
      <w:lvlJc w:val="left"/>
      <w:lvlText w:val="%1."/>
      <w:numFmt w:val="lowerLetter"/>
      <w:start w:val="2"/>
    </w:lvl>
  </w:abstractNum>
  <w:abstractNum w:abstractNumId="74">
    <w:nsid w:val="42963E5A"/>
    <w:multiLevelType w:val="hybridMultilevel"/>
    <w:lvl w:ilvl="0">
      <w:lvlJc w:val="left"/>
      <w:lvlText w:val="%1"/>
      <w:numFmt w:val="decimal"/>
      <w:start w:val="1"/>
    </w:lvl>
    <w:lvl w:ilvl="1">
      <w:lvlJc w:val="left"/>
      <w:lvlText w:val="%2."/>
      <w:numFmt w:val="lowerLetter"/>
      <w:start w:val="6"/>
    </w:lvl>
  </w:abstractNum>
  <w:abstractNum w:abstractNumId="75">
    <w:nsid w:val="A0382C5"/>
    <w:multiLevelType w:val="hybridMultilevel"/>
    <w:lvl w:ilvl="0">
      <w:lvlJc w:val="left"/>
      <w:lvlText w:val="%1."/>
      <w:numFmt w:val="decimal"/>
      <w:start w:val="6"/>
    </w:lvl>
    <w:lvl w:ilvl="1">
      <w:lvlJc w:val="left"/>
      <w:lvlText w:val="%2."/>
      <w:numFmt w:val="lowerLetter"/>
      <w:start w:val="1"/>
    </w:lvl>
  </w:abstractNum>
  <w:abstractNum w:abstractNumId="76">
    <w:nsid w:val="8F2B15E"/>
    <w:multiLevelType w:val="hybridMultilevel"/>
    <w:lvl w:ilvl="0">
      <w:lvlJc w:val="left"/>
      <w:lvlText w:val="%1."/>
      <w:numFmt w:val="lowerLetter"/>
      <w:start w:val="3"/>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7"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jpeg"/><Relationship Id="rId170" Type="http://schemas.openxmlformats.org/officeDocument/2006/relationships/image" Target="media/image142.jpeg"/><Relationship Id="rId171" Type="http://schemas.openxmlformats.org/officeDocument/2006/relationships/image" Target="media/image143.jpeg"/><Relationship Id="rId172" Type="http://schemas.openxmlformats.org/officeDocument/2006/relationships/image" Target="media/image144.jpeg"/><Relationship Id="rId173" Type="http://schemas.openxmlformats.org/officeDocument/2006/relationships/image" Target="media/image145.jpe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43" Type="http://schemas.openxmlformats.org/officeDocument/2006/relationships/hyperlink" Target="https://www.sec.gov/Archives/edgar/data/0001286139/000119312521207613/d65054dex31.htm" TargetMode="External"/><Relationship Id="rId144" Type="http://schemas.openxmlformats.org/officeDocument/2006/relationships/hyperlink" Target="https://www.sec.gov/Archives/edgar/data/1286139/000119312521194089/d146270dex34.htm" TargetMode="External"/><Relationship Id="rId145" Type="http://schemas.openxmlformats.org/officeDocument/2006/relationships/hyperlink" Target="https://www.sec.gov/Archives/edgar/data/0001286139/000119312521194089/d146270dex41.htm" TargetMode="External"/><Relationship Id="rId146" Type="http://schemas.openxmlformats.org/officeDocument/2006/relationships/hyperlink" Target="https://www.sec.gov/Archives/edgar/data/0001286139/000119312521194089/d146270dex42.htm" TargetMode="External"/><Relationship Id="rId147" Type="http://schemas.openxmlformats.org/officeDocument/2006/relationships/hyperlink" Target="https://www.sec.gov/Archives/edgar/data/0001286139/000119312521182939/d146270dex101.htm" TargetMode="External"/><Relationship Id="rId148" Type="http://schemas.openxmlformats.org/officeDocument/2006/relationships/hyperlink" Target="https://www.sec.gov/Archives/edgar/data/0001286139/000119312521194089/d146270dex102.htm" TargetMode="External"/><Relationship Id="rId149" Type="http://schemas.openxmlformats.org/officeDocument/2006/relationships/hyperlink" Target="https://www.sec.gov/Archives/edgar/data/0001286139/000119312521194089/d146270dex103.htm" TargetMode="External"/><Relationship Id="rId150" Type="http://schemas.openxmlformats.org/officeDocument/2006/relationships/hyperlink" Target="https://www.sec.gov/Archives/edgar/data/0001286139/000119312521182939/d146270dex104.htm" TargetMode="External"/><Relationship Id="rId151" Type="http://schemas.openxmlformats.org/officeDocument/2006/relationships/hyperlink" Target="https://www.sec.gov/Archives/edgar/data/1286139/000119312521194089/d146270dex105.htm" TargetMode="External"/><Relationship Id="rId152" Type="http://schemas.openxmlformats.org/officeDocument/2006/relationships/hyperlink" Target="https://www.sec.gov/Archives/edgar/data/1286139/000128613922000071/exhibit103amendmenttoemplo.htm" TargetMode="External"/><Relationship Id="rId153" Type="http://schemas.openxmlformats.org/officeDocument/2006/relationships/hyperlink" Target="https://www.sec.gov/Archives/edgar/data/0001286139/000119312521194089/d146270dex107.htm" TargetMode="External"/><Relationship Id="rId154" Type="http://schemas.openxmlformats.org/officeDocument/2006/relationships/hyperlink" Target="https://www.sec.gov/Archives/edgar/data/1286139/000128613922000048/ex109lzwatsonamendment-03x.htm" TargetMode="External"/><Relationship Id="rId155" Type="http://schemas.openxmlformats.org/officeDocument/2006/relationships/hyperlink" Target="https://www.sec.gov/Archives/edgar/data/1286139/000119312521194089/d146270dex106.htm" TargetMode="External"/><Relationship Id="rId156" Type="http://schemas.openxmlformats.org/officeDocument/2006/relationships/hyperlink" Target="https://www.sec.gov/Archives/edgar/data/1286139/000128613921000013/ex-103lzxemploymentagreeme.htm" TargetMode="External"/><Relationship Id="rId158" Type="http://schemas.openxmlformats.org/officeDocument/2006/relationships/hyperlink" Target="https://www.sec.gov/Archives/edgar/data/1286139/000128613922000048/ex1010lzradhakrishnasecond.htm" TargetMode="External"/><Relationship Id="rId159" Type="http://schemas.openxmlformats.org/officeDocument/2006/relationships/hyperlink" Target="https://www.sec.gov/Archives/edgar/data/1286139/000128613922000112/ex102employmentagreement-r.htm" TargetMode="External"/><Relationship Id="rId160" Type="http://schemas.openxmlformats.org/officeDocument/2006/relationships/hyperlink" Target="https://www.sec.gov/Archives/edgar/data/1286139/000128613922000112/ex103amendmenttoemployment.htm" TargetMode="External"/><Relationship Id="rId161" Type="http://schemas.openxmlformats.org/officeDocument/2006/relationships/hyperlink" Target="https://www.sec.gov/Archives/edgar/data/1286139/000128613922000112/ex104secondamendmenttoempl.htm" TargetMode="External"/><Relationship Id="rId162" Type="http://schemas.openxmlformats.org/officeDocument/2006/relationships/hyperlink" Target="https://www.sec.gov/Archives/edgar/data/1286139/000128613922000139/ex-101nonxemployeedirector.htm" TargetMode="External"/><Relationship Id="rId163" Type="http://schemas.openxmlformats.org/officeDocument/2006/relationships/hyperlink" Target="https://www.sec.gov/Archives/edgar/data/0001286139/000119312521194089/d146270dex1016.htm" TargetMode="External"/><Relationship Id="rId164" Type="http://schemas.openxmlformats.org/officeDocument/2006/relationships/hyperlink" Target="https://www.sec.gov/Archives/edgar/data/1286139/000128613921000013/ex-101lzamendedandresta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2023-03-01T21:47:37Z</dcterms:created>
  <dcterms:modified xsi:type="dcterms:W3CDTF">2023-03-01T21:47:37Z</dcterms:modified>
</cp:coreProperties>
</file>