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f93223de45f473c82f133b8a8835ba5_10">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7"/>
        </w:rPr>
      </w:pPr>
      <w:r>
        <w:rPr>
          <w:rFonts w:ascii="Work Sans;sans-serif" w:hAnsi="Work Sans;sans-serif"/>
          <w:b/>
          <w:color w:val="000000"/>
          <w:sz w:val="17"/>
        </w:rPr>
        <w:t>UNITED STATES</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SECURITIES AND EXCHANGE COMMISSION</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Washington, D.C. 20549</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 xml:space="preserve">FORM 10-Q </w:t>
      </w:r>
    </w:p>
    <w:p>
      <w:pPr>
        <w:pStyle w:val="TextBody"/>
        <w:bidi w:val="0"/>
        <w:spacing w:lineRule="auto" w:line="288" w:before="0" w:after="60"/>
        <w:ind w:left="0" w:right="0" w:firstLine="90"/>
        <w:jc w:val="left"/>
        <w:rPr>
          <w:rFonts w:ascii="Work Sans;sans-serif" w:hAnsi="Work Sans;sans-serif"/>
          <w:b/>
          <w:color w:val="000000"/>
          <w:sz w:val="17"/>
        </w:rPr>
      </w:pPr>
      <w:r>
        <w:rPr>
          <w:rFonts w:ascii="Work Sans;sans-serif" w:hAnsi="Work Sans;sans-serif"/>
          <w:b/>
          <w:color w:val="000000"/>
          <w:sz w:val="17"/>
        </w:rPr>
        <w:t>(Mark One)</w:t>
      </w:r>
    </w:p>
    <w:tbl>
      <w:tblPr>
        <w:tblW w:w="10122" w:type="dxa"/>
        <w:jc w:val="left"/>
        <w:tblInd w:w="0" w:type="dxa"/>
        <w:tblLayout w:type="fixed"/>
        <w:tblCellMar>
          <w:top w:w="28" w:type="dxa"/>
          <w:left w:w="28" w:type="dxa"/>
          <w:bottom w:w="28" w:type="dxa"/>
          <w:right w:w="28" w:type="dxa"/>
        </w:tblCellMar>
      </w:tblPr>
      <w:tblGrid>
        <w:gridCol w:w="124"/>
        <w:gridCol w:w="109"/>
        <w:gridCol w:w="109"/>
        <w:gridCol w:w="2862"/>
        <w:gridCol w:w="2862"/>
        <w:gridCol w:w="4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QUARTERLY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For the three months ended June 30, 2026</w:t>
      </w:r>
    </w:p>
    <w:p>
      <w:pPr>
        <w:pStyle w:val="TextBody"/>
        <w:bidi w:val="0"/>
        <w:spacing w:lineRule="auto" w:line="288" w:before="0" w:after="120"/>
        <w:ind w:left="0" w:right="0" w:firstLine="720"/>
        <w:jc w:val="left"/>
        <w:rPr>
          <w:rFonts w:ascii="Work Sans;sans-serif" w:hAnsi="Work Sans;sans-serif"/>
          <w:b/>
          <w:color w:val="000000"/>
          <w:sz w:val="17"/>
        </w:rPr>
      </w:pPr>
      <w:r>
        <w:rPr>
          <w:rFonts w:ascii="Work Sans;sans-serif" w:hAnsi="Work Sans;sans-serif"/>
          <w:b/>
          <w:color w:val="000000"/>
          <w:sz w:val="17"/>
        </w:rPr>
        <w:t>OR</w:t>
      </w:r>
    </w:p>
    <w:tbl>
      <w:tblPr>
        <w:tblW w:w="10151" w:type="dxa"/>
        <w:jc w:val="left"/>
        <w:tblInd w:w="0" w:type="dxa"/>
        <w:tblLayout w:type="fixed"/>
        <w:tblCellMar>
          <w:top w:w="28" w:type="dxa"/>
          <w:left w:w="28" w:type="dxa"/>
          <w:bottom w:w="28" w:type="dxa"/>
          <w:right w:w="28" w:type="dxa"/>
        </w:tblCellMar>
      </w:tblPr>
      <w:tblGrid>
        <w:gridCol w:w="124"/>
        <w:gridCol w:w="109"/>
        <w:gridCol w:w="109"/>
        <w:gridCol w:w="2872"/>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7"/>
              </w:rPr>
            </w:pPr>
            <w:r>
              <w:rPr>
                <w:rFonts w:ascii="Work Sans;sans-serif" w:hAnsi="Work Sans;sans-serif"/>
                <w:b/>
                <w:color w:val="000000"/>
                <w:sz w:val="17"/>
              </w:rPr>
              <w:t>TRANSITION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 xml:space="preserve">For the transition period from   to </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Commission file number 001-35618</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LegalZoom.com, Inc.</w:t>
      </w:r>
    </w:p>
    <w:p>
      <w:pPr>
        <w:pStyle w:val="TextBody"/>
        <w:bidi w:val="0"/>
        <w:spacing w:lineRule="auto" w:line="288" w:before="0" w:after="60"/>
        <w:jc w:val="center"/>
        <w:rPr>
          <w:rFonts w:ascii="Work Sans;sans-serif" w:hAnsi="Work Sans;sans-serif"/>
          <w:b/>
          <w:color w:val="000000"/>
          <w:sz w:val="17"/>
        </w:rPr>
      </w:pPr>
      <w:r>
        <w:rPr>
          <w:rFonts w:ascii="Work Sans;sans-serif" w:hAnsi="Work Sans;sans-serif"/>
          <w:b/>
          <w:color w:val="000000"/>
          <w:sz w:val="17"/>
        </w:rPr>
        <w:t>(Exact name of registrant as specified in its charter)</w:t>
      </w:r>
    </w:p>
    <w:p>
      <w:pPr>
        <w:pStyle w:val="TextBody"/>
        <w:bidi w:val="0"/>
        <w:spacing w:lineRule="auto" w:line="288" w:before="0" w:after="6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tbl>
      <w:tblPr>
        <w:tblW w:w="5593" w:type="dxa"/>
        <w:jc w:val="left"/>
        <w:tblInd w:w="0" w:type="dxa"/>
        <w:tblLayout w:type="fixed"/>
        <w:tblCellMar>
          <w:top w:w="28" w:type="dxa"/>
          <w:left w:w="28" w:type="dxa"/>
          <w:bottom w:w="28" w:type="dxa"/>
          <w:right w:w="28" w:type="dxa"/>
        </w:tblCellMar>
      </w:tblPr>
      <w:tblGrid>
        <w:gridCol w:w="950"/>
        <w:gridCol w:w="834"/>
        <w:gridCol w:w="840"/>
        <w:gridCol w:w="869"/>
        <w:gridCol w:w="869"/>
        <w:gridCol w:w="1231"/>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7"/>
              </w:rPr>
            </w:pPr>
            <w:r>
              <w:rPr>
                <w:rFonts w:ascii="Work Sans;sans-serif" w:hAnsi="Work Sans;sans-serif"/>
                <w:b/>
                <w:color w:val="000000"/>
                <w:sz w:val="17"/>
              </w:rPr>
              <w:t>Delaware</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7"/>
              </w:rPr>
            </w:pPr>
            <w:r>
              <w:rPr>
                <w:rFonts w:ascii="Open Sans;sans-serif" w:hAnsi="Open Sans;sans-serif"/>
                <w:b/>
                <w:color w:val="000000"/>
                <w:sz w:val="17"/>
              </w:rPr>
              <w:t>95-4752856</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7"/>
              </w:rPr>
            </w:pPr>
            <w:r>
              <w:rPr>
                <w:rFonts w:ascii="Work Sans;sans-serif" w:hAnsi="Work Sans;sans-serif"/>
                <w:b w:val="false"/>
                <w:color w:val="000000"/>
                <w:sz w:val="17"/>
              </w:rPr>
              <w:t>(State or other jurisdiction of</w:t>
            </w:r>
          </w:p>
          <w:p>
            <w:pPr>
              <w:pStyle w:val="TableContents"/>
              <w:bidi w:val="0"/>
              <w:spacing w:lineRule="auto" w:line="288" w:before="40" w:after="40"/>
              <w:jc w:val="center"/>
              <w:rPr>
                <w:rFonts w:ascii="Work Sans;sans-serif" w:hAnsi="Work Sans;sans-serif"/>
                <w:b w:val="false"/>
                <w:color w:val="000000"/>
                <w:sz w:val="17"/>
              </w:rPr>
            </w:pPr>
            <w:r>
              <w:rPr>
                <w:rFonts w:ascii="Work Sans;sans-serif" w:hAnsi="Work Sans;sans-serif"/>
                <w:b w:val="false"/>
                <w:color w:val="000000"/>
                <w:sz w:val="17"/>
              </w:rPr>
              <w:t>incorporation or organization)</w:t>
            </w:r>
          </w:p>
        </w:tc>
        <w:tc>
          <w:tcPr>
            <w:tcW w:w="296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7"/>
              </w:rPr>
            </w:pPr>
            <w:r>
              <w:rPr>
                <w:rFonts w:ascii="Work Sans;sans-serif" w:hAnsi="Work Sans;sans-serif"/>
                <w:b w:val="false"/>
                <w:color w:val="000000"/>
                <w:sz w:val="17"/>
              </w:rPr>
              <w:t>(I.R.S. Employer Identification No.)</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7"/>
              </w:rPr>
            </w:pPr>
            <w:r>
              <w:rPr>
                <w:rFonts w:ascii="Open Sans;sans-serif" w:hAnsi="Open Sans;sans-serif"/>
                <w:b/>
                <w:color w:val="000000"/>
                <w:sz w:val="17"/>
              </w:rPr>
              <w:t>954 Villa Street,</w:t>
            </w:r>
          </w:p>
          <w:p>
            <w:pPr>
              <w:pStyle w:val="TableContents"/>
              <w:bidi w:val="0"/>
              <w:spacing w:lineRule="auto" w:line="240" w:before="0" w:after="0"/>
              <w:jc w:val="center"/>
              <w:rPr>
                <w:rFonts w:ascii="Open Sans;sans-serif" w:hAnsi="Open Sans;sans-serif"/>
                <w:b/>
                <w:color w:val="000000"/>
                <w:sz w:val="17"/>
              </w:rPr>
            </w:pPr>
            <w:r>
              <w:rPr>
                <w:rFonts w:ascii="Open Sans;sans-serif" w:hAnsi="Open Sans;sans-serif"/>
                <w:b/>
                <w:color w:val="000000"/>
                <w:sz w:val="17"/>
              </w:rPr>
              <w:t>Mountain View, California 94041</w:t>
            </w:r>
          </w:p>
        </w:tc>
      </w:tr>
      <w:tr>
        <w:trPr/>
        <w:tc>
          <w:tcPr>
            <w:tcW w:w="55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7"/>
              </w:rPr>
            </w:pPr>
            <w:r>
              <w:rPr>
                <w:rFonts w:ascii="Work Sans;sans-serif" w:hAnsi="Work Sans;sans-serif"/>
                <w:b w:val="false"/>
                <w:color w:val="000000"/>
                <w:sz w:val="17"/>
              </w:rPr>
              <w:t>(Address of Principal Executive Offices, including Zip code)</w:t>
            </w:r>
          </w:p>
        </w:tc>
      </w:tr>
    </w:tbl>
    <w:p>
      <w:pPr>
        <w:pStyle w:val="TextBody"/>
        <w:bidi w:val="0"/>
        <w:spacing w:lineRule="auto" w:line="288" w:before="80" w:after="60"/>
        <w:jc w:val="center"/>
        <w:rPr>
          <w:rFonts w:ascii="Work Sans;sans-serif" w:hAnsi="Work Sans;sans-serif"/>
          <w:b/>
          <w:color w:val="000000"/>
          <w:sz w:val="17"/>
        </w:rPr>
      </w:pPr>
      <w:r>
        <w:rPr>
          <w:rFonts w:ascii="Work Sans;sans-serif" w:hAnsi="Work Sans;sans-serif"/>
          <w:b/>
          <w:color w:val="000000"/>
          <w:sz w:val="17"/>
        </w:rPr>
        <w:t>(323) 962-8600</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(Registrant's telephone number, including area code)</w:t>
      </w:r>
    </w:p>
    <w:tbl>
      <w:tblPr>
        <w:tblW w:w="7077" w:type="dxa"/>
        <w:jc w:val="center"/>
        <w:tblInd w:w="0" w:type="dxa"/>
        <w:tblLayout w:type="fixed"/>
        <w:tblCellMar>
          <w:top w:w="28" w:type="dxa"/>
          <w:left w:w="28" w:type="dxa"/>
          <w:bottom w:w="28" w:type="dxa"/>
          <w:right w:w="28" w:type="dxa"/>
        </w:tblCellMar>
      </w:tblPr>
      <w:tblGrid>
        <w:gridCol w:w="843"/>
        <w:gridCol w:w="741"/>
        <w:gridCol w:w="741"/>
        <w:gridCol w:w="741"/>
        <w:gridCol w:w="741"/>
        <w:gridCol w:w="741"/>
        <w:gridCol w:w="741"/>
        <w:gridCol w:w="741"/>
        <w:gridCol w:w="1047"/>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4752" w:type="dxa"/>
            <w:gridSpan w:val="6"/>
            <w:tcBorders/>
          </w:tcPr>
          <w:p>
            <w:pPr>
              <w:pStyle w:val="TableContents"/>
              <w:bidi w:val="0"/>
              <w:spacing w:before="0" w:after="283"/>
              <w:jc w:val="left"/>
              <w:rPr>
                <w:sz w:val="4"/>
                <w:szCs w:val="4"/>
              </w:rPr>
            </w:pPr>
            <w:r>
              <w:rPr>
                <w:sz w:val="4"/>
                <w:szCs w:val="4"/>
              </w:rPr>
            </w:r>
          </w:p>
        </w:tc>
      </w:tr>
      <w:tr>
        <w:trPr/>
        <w:tc>
          <w:tcPr>
            <w:tcW w:w="70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7"/>
              </w:rPr>
            </w:pPr>
            <w:r>
              <w:rPr>
                <w:rFonts w:ascii="Open Sans;sans-serif" w:hAnsi="Open Sans;sans-serif"/>
                <w:b w:val="false"/>
                <w:color w:val="000000"/>
                <w:sz w:val="17"/>
              </w:rPr>
              <w:t>(Former name, former address and former fiscal year, if changed since last report)</w:t>
            </w:r>
          </w:p>
        </w:tc>
      </w:tr>
    </w:tbl>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Securities registered pursuant to Section 12(b) of the Act:</w:t>
      </w:r>
    </w:p>
    <w:tbl>
      <w:tblPr>
        <w:tblW w:w="9237" w:type="dxa"/>
        <w:jc w:val="left"/>
        <w:tblInd w:w="0" w:type="dxa"/>
        <w:tblLayout w:type="fixed"/>
        <w:tblCellMar>
          <w:top w:w="28" w:type="dxa"/>
          <w:left w:w="28" w:type="dxa"/>
          <w:bottom w:w="28" w:type="dxa"/>
          <w:right w:w="28" w:type="dxa"/>
        </w:tblCellMar>
      </w:tblPr>
      <w:tblGrid>
        <w:gridCol w:w="1353"/>
        <w:gridCol w:w="1187"/>
        <w:gridCol w:w="1194"/>
        <w:gridCol w:w="544"/>
        <w:gridCol w:w="544"/>
        <w:gridCol w:w="546"/>
        <w:gridCol w:w="1133"/>
        <w:gridCol w:w="1133"/>
        <w:gridCol w:w="1603"/>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Title of each class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Common Stock, par value $0.001 per share</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LZ</w:t>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7"/>
              </w:rPr>
            </w:pPr>
            <w:r>
              <w:rPr>
                <w:rFonts w:ascii="Open Sans;sans-serif" w:hAnsi="Open Sans;sans-serif"/>
                <w:b w:val="false"/>
                <w:color w:val="000000"/>
                <w:sz w:val="17"/>
              </w:rPr>
              <w:t>The Nasdaq Global Select Market</w:t>
            </w:r>
          </w:p>
        </w:tc>
      </w:tr>
    </w:tbl>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80" w:after="60"/>
        <w:jc w:val="both"/>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08"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Work Sans;sans-serif" w:hAnsi="Work Sans;sans-serif"/>
                <w:b w:val="false"/>
                <w:color w:val="000000"/>
                <w:sz w:val="17"/>
              </w:rPr>
            </w:pPr>
            <w:r>
              <w:rPr>
                <w:rFonts w:ascii="Work Sans;sans-serif" w:hAnsi="Work Sans;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bl>
    <w:p>
      <w:pPr>
        <w:pStyle w:val="TextBody"/>
        <w:bidi w:val="0"/>
        <w:spacing w:lineRule="auto" w:line="288" w:before="20" w:after="60"/>
        <w:jc w:val="left"/>
        <w:rPr>
          <w:rFonts w:ascii="Work Sans;sans-serif" w:hAnsi="Work Sans;sans-serif"/>
          <w:b w:val="false"/>
          <w:color w:val="000000"/>
          <w:sz w:val="17"/>
        </w:rPr>
      </w:pPr>
      <w:r>
        <w:rPr>
          <w:rFonts w:ascii="Work Sans;sans-serif" w:hAnsi="Work Sans;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shell company (as defined in Rule 12b-2 of the Exchange Act). Yes   ☐   No  ☒</w:t>
      </w:r>
    </w:p>
    <w:p>
      <w:pPr>
        <w:pStyle w:val="TextBody"/>
        <w:bidi w:val="0"/>
        <w:spacing w:lineRule="auto" w:line="288" w:before="80" w:after="283"/>
        <w:jc w:val="left"/>
        <w:rPr/>
      </w:pPr>
      <w:r>
        <w:rPr>
          <w:rFonts w:ascii="Work Sans;sans-serif" w:hAnsi="Work Sans;sans-serif"/>
          <w:b w:val="false"/>
          <w:color w:val="000000"/>
          <w:sz w:val="17"/>
        </w:rPr>
        <w:t>As of July 31, 2026, the registrant had 171,264,812 shares of common stock, $0.001 par value per share, outstanding</w:t>
      </w:r>
      <w:r>
        <w:rPr>
          <w:rFonts w:ascii="Work Sans;sans-serif" w:hAnsi="Work Sans;sans-serif"/>
          <w:b/>
          <w:color w:val="000000"/>
          <w:sz w:val="17"/>
          <w:shd w:fill="FFFFFF" w:val="clear"/>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business strategy, plans, market growth and our objectives for future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any factors contained in our subsequent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II, Item 1A, “Risk Factors” in this Quarterly Report on Form 10-Q prior to making an investment in our common stock. These risks include, but are not limited to,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substantially on our customers expanding their use of our platform, including our transactional customers converting to subscribers and our subscribers renewing their subscriptions with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3350"/>
                <wp:effectExtent l="0" t="0" r="0" b="0"/>
                <wp:wrapNone/>
                <wp:docPr id="1" name="Frame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v:textbox>
                <w10:wrap type="none"/>
              </v:rect>
            </w:pict>
          </mc:Fallback>
        </mc:AlternateContent>
      </w:r>
    </w:p>
    <w:p>
      <w:pPr>
        <w:pStyle w:val="TextBody"/>
        <w:bidi w:val="0"/>
        <w:spacing w:lineRule="auto" w:line="288" w:before="0" w:after="0"/>
        <w:jc w:val="left"/>
        <w:rPr/>
      </w:pPr>
      <w:hyperlink w:anchor="i4f93223de45f473c82f133b8a8835ba5_10">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are incorporating generative artificial intelligence into some of our offerings, which may present compliance risks and reputational risks.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reliance on third-party providers could adversely affect our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Any future acquisitions or investments may divert management’s attention, result in additional dilution to our stockholders or adversely affect our operating results.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 Party Information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includes market data and certain other statistical information and estimates that are based on reports and other publications from independent third party sources, as well as management's own good faith estimates and analyses. We believe these third 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3350"/>
                <wp:effectExtent l="0" t="0" r="0" b="0"/>
                <wp:wrapNone/>
                <wp:docPr id="2"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v:textbox>
                <w10:wrap type="none"/>
              </v:rect>
            </w:pict>
          </mc:Fallback>
        </mc:AlternateContent>
      </w:r>
    </w:p>
    <w:p>
      <w:pPr>
        <w:pStyle w:val="TextBody"/>
        <w:bidi w:val="0"/>
        <w:spacing w:lineRule="auto" w:line="288" w:before="0" w:after="0"/>
        <w:jc w:val="left"/>
        <w:rPr/>
      </w:pPr>
      <w:hyperlink w:anchor="i4f93223de45f473c82f133b8a8835ba5_10">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21"/>
        <w:gridCol w:w="281"/>
        <w:gridCol w:w="283"/>
        <w:gridCol w:w="2911"/>
        <w:gridCol w:w="2906"/>
        <w:gridCol w:w="2914"/>
        <w:gridCol w:w="171"/>
        <w:gridCol w:w="171"/>
        <w:gridCol w:w="24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3">
              <w:r>
                <w:rPr>
                  <w:rStyle w:val="InternetLink"/>
                  <w:rFonts w:ascii="Work Sans;sans-serif" w:hAnsi="Work Sans;sans-serif"/>
                  <w:b/>
                  <w:color w:val="0000FF"/>
                  <w:sz w:val="18"/>
                  <w:u w:val="single"/>
                </w:rPr>
                <w:t>Part I</w:t>
              </w:r>
            </w:hyperlink>
          </w:p>
        </w:tc>
        <w:tc>
          <w:tcPr>
            <w:tcW w:w="8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3">
              <w:r>
                <w:rPr>
                  <w:rStyle w:val="InternetLink"/>
                  <w:rFonts w:ascii="Work Sans;sans-serif" w:hAnsi="Work Sans;sans-serif"/>
                  <w:b w:val="false"/>
                  <w:color w:val="0000FF"/>
                  <w:sz w:val="18"/>
                  <w:u w:val="single"/>
                </w:rPr>
                <w:t>FINANCIAL INFORMATION</w:t>
              </w:r>
            </w:hyperlink>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6">
              <w:r>
                <w:rPr>
                  <w:rStyle w:val="InternetLink"/>
                  <w:rFonts w:ascii="Work Sans;sans-serif" w:hAnsi="Work Sans;sans-serif"/>
                  <w:b w:val="false"/>
                  <w:color w:val="0000FF"/>
                  <w:sz w:val="18"/>
                  <w:u w:val="single"/>
                </w:rPr>
                <w:t xml:space="preserve">Item 1. </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6">
              <w:r>
                <w:rPr>
                  <w:rStyle w:val="InternetLink"/>
                  <w:rFonts w:ascii="Work Sans;sans-serif" w:hAnsi="Work Sans;sans-serif"/>
                  <w:b w:val="false"/>
                  <w:color w:val="0000FF"/>
                  <w:sz w:val="18"/>
                  <w:u w:val="single"/>
                </w:rPr>
                <w:t>Condensed Consolidated Financial Statements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6">
              <w:r>
                <w:rPr>
                  <w:rStyle w:val="InternetLink"/>
                  <w:rFonts w:ascii="Work Sans;sans-serif" w:hAnsi="Work Sans;sans-serif"/>
                  <w:b w:val="false"/>
                  <w:color w:val="0000FF"/>
                  <w:sz w:val="18"/>
                  <w:u w:val="single"/>
                </w:rPr>
                <w:t>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9">
              <w:r>
                <w:rPr>
                  <w:rStyle w:val="InternetLink"/>
                  <w:rFonts w:ascii="Work Sans;sans-serif" w:hAnsi="Work Sans;sans-serif"/>
                  <w:b w:val="false"/>
                  <w:color w:val="0000FF"/>
                  <w:sz w:val="18"/>
                  <w:u w:val="single"/>
                </w:rPr>
                <w:t>Condensed Consolidated Balance Sheets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9">
              <w:r>
                <w:rPr>
                  <w:rStyle w:val="InternetLink"/>
                  <w:rFonts w:ascii="Work Sans;sans-serif" w:hAnsi="Work Sans;sans-serif"/>
                  <w:b w:val="false"/>
                  <w:color w:val="0000FF"/>
                  <w:sz w:val="18"/>
                  <w:u w:val="single"/>
                </w:rPr>
                <w:t>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22">
              <w:r>
                <w:rPr>
                  <w:rStyle w:val="InternetLink"/>
                  <w:rFonts w:ascii="Work Sans;sans-serif" w:hAnsi="Work Sans;sans-serif"/>
                  <w:b w:val="false"/>
                  <w:color w:val="0000FF"/>
                  <w:sz w:val="18"/>
                  <w:u w:val="single"/>
                </w:rPr>
                <w:t>Condensed Consolidated Statements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22">
              <w:r>
                <w:rPr>
                  <w:rStyle w:val="InternetLink"/>
                  <w:rFonts w:ascii="Work Sans;sans-serif" w:hAnsi="Work Sans;sans-serif"/>
                  <w:b w:val="false"/>
                  <w:color w:val="0000FF"/>
                  <w:sz w:val="18"/>
                  <w:u w:val="single"/>
                </w:rPr>
                <w:t>3</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25">
              <w:r>
                <w:rPr>
                  <w:rStyle w:val="InternetLink"/>
                  <w:rFonts w:ascii="Work Sans;sans-serif" w:hAnsi="Work Sans;sans-serif"/>
                  <w:b w:val="false"/>
                  <w:color w:val="0000FF"/>
                  <w:sz w:val="18"/>
                  <w:u w:val="single"/>
                </w:rPr>
                <w:t>Condensed Consolidated Statements of Comprehensive Income (Loss)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25">
              <w:r>
                <w:rPr>
                  <w:rStyle w:val="InternetLink"/>
                  <w:rFonts w:ascii="Work Sans;sans-serif" w:hAnsi="Work Sans;sans-serif"/>
                  <w:b w:val="false"/>
                  <w:color w:val="0000FF"/>
                  <w:sz w:val="18"/>
                  <w:u w:val="single"/>
                </w:rPr>
                <w:t>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f93223de45f473c82f133b8a8835ba5_28">
              <w:r>
                <w:rPr>
                  <w:rStyle w:val="InternetLink"/>
                  <w:rFonts w:ascii="Work Sans;sans-serif" w:hAnsi="Work Sans;sans-serif"/>
                  <w:b w:val="false"/>
                  <w:color w:val="0000FF"/>
                  <w:sz w:val="18"/>
                  <w:u w:val="single"/>
                </w:rPr>
                <w:t>Condensed Consolidated Statements of</w:t>
              </w:r>
            </w:hyperlink>
            <w:r>
              <w:rPr>
                <w:color w:val="000000"/>
              </w:rPr>
              <w:t xml:space="preserve"> </w:t>
            </w:r>
            <w:hyperlink w:anchor="i4f93223de45f473c82f133b8a8835ba5_28">
              <w:r>
                <w:rPr>
                  <w:rStyle w:val="InternetLink"/>
                  <w:rFonts w:ascii="Work Sans;sans-serif" w:hAnsi="Work Sans;sans-serif"/>
                  <w:b w:val="false"/>
                  <w:color w:val="0000FF"/>
                  <w:sz w:val="18"/>
                  <w:u w:val="single"/>
                </w:rPr>
                <w:t>Stockholders’ Equity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28">
              <w:r>
                <w:rPr>
                  <w:rStyle w:val="InternetLink"/>
                  <w:rFonts w:ascii="Work Sans;sans-serif" w:hAnsi="Work Sans;sans-serif"/>
                  <w:b w:val="false"/>
                  <w:color w:val="0000FF"/>
                  <w:sz w:val="18"/>
                  <w:u w:val="single"/>
                </w:rPr>
                <w:t>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31">
              <w:r>
                <w:rPr>
                  <w:rStyle w:val="InternetLink"/>
                  <w:rFonts w:ascii="Work Sans;sans-serif" w:hAnsi="Work Sans;sans-serif"/>
                  <w:b w:val="false"/>
                  <w:color w:val="0000FF"/>
                  <w:sz w:val="18"/>
                  <w:u w:val="single"/>
                </w:rPr>
                <w:t>Condensed Consolidated Statements of Cash Flows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31">
              <w:r>
                <w:rPr>
                  <w:rStyle w:val="InternetLink"/>
                  <w:rFonts w:ascii="Work Sans;sans-serif" w:hAnsi="Work Sans;sans-serif"/>
                  <w:b w:val="false"/>
                  <w:color w:val="0000FF"/>
                  <w:sz w:val="18"/>
                  <w:u w:val="single"/>
                </w:rPr>
                <w:t>7</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34">
              <w:r>
                <w:rPr>
                  <w:rStyle w:val="InternetLink"/>
                  <w:rFonts w:ascii="Work Sans;sans-serif" w:hAnsi="Work Sans;sans-serif"/>
                  <w:b w:val="false"/>
                  <w:color w:val="0000FF"/>
                  <w:sz w:val="18"/>
                  <w:u w:val="single"/>
                </w:rPr>
                <w:t>Notes to Condensed Consolidated Financial Statements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34">
              <w:r>
                <w:rPr>
                  <w:rStyle w:val="InternetLink"/>
                  <w:rFonts w:ascii="Work Sans;sans-serif" w:hAnsi="Work Sans;sans-serif"/>
                  <w:b w:val="false"/>
                  <w:color w:val="0000FF"/>
                  <w:sz w:val="18"/>
                  <w:u w:val="single"/>
                </w:rPr>
                <w:t>9</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91">
              <w:r>
                <w:rPr>
                  <w:rStyle w:val="InternetLink"/>
                  <w:rFonts w:ascii="Work Sans;sans-serif" w:hAnsi="Work Sans;sans-serif"/>
                  <w:b w:val="false"/>
                  <w:color w:val="0000FF"/>
                  <w:sz w:val="18"/>
                  <w:u w:val="single"/>
                </w:rPr>
                <w:t>Item 2.</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91">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91">
              <w:r>
                <w:rPr>
                  <w:rStyle w:val="InternetLink"/>
                  <w:rFonts w:ascii="Work Sans;sans-serif" w:hAnsi="Work Sans;sans-serif"/>
                  <w:b w:val="false"/>
                  <w:color w:val="0000FF"/>
                  <w:sz w:val="18"/>
                  <w:u w:val="single"/>
                </w:rPr>
                <w:t>21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30">
              <w:r>
                <w:rPr>
                  <w:rStyle w:val="InternetLink"/>
                  <w:rFonts w:ascii="Work Sans;sans-serif" w:hAnsi="Work Sans;sans-serif"/>
                  <w:b w:val="false"/>
                  <w:color w:val="0000FF"/>
                  <w:sz w:val="18"/>
                  <w:u w:val="single"/>
                </w:rPr>
                <w:t>Item 3.</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30">
              <w:r>
                <w:rPr>
                  <w:rStyle w:val="InternetLink"/>
                  <w:rFonts w:ascii="Work Sans;sans-serif" w:hAnsi="Work Sans;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30">
              <w:r>
                <w:rPr>
                  <w:rStyle w:val="InternetLink"/>
                  <w:rFonts w:ascii="Work Sans;sans-serif" w:hAnsi="Work Sans;sans-serif"/>
                  <w:b w:val="false"/>
                  <w:color w:val="0000FF"/>
                  <w:sz w:val="18"/>
                  <w:u w:val="single"/>
                </w:rPr>
                <w:t>38</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33">
              <w:r>
                <w:rPr>
                  <w:rStyle w:val="InternetLink"/>
                  <w:rFonts w:ascii="Work Sans;sans-serif" w:hAnsi="Work Sans;sans-serif"/>
                  <w:b w:val="false"/>
                  <w:color w:val="0000FF"/>
                  <w:sz w:val="18"/>
                  <w:u w:val="single"/>
                </w:rPr>
                <w:t>Item 4.</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33">
              <w:r>
                <w:rPr>
                  <w:rStyle w:val="InternetLink"/>
                  <w:rFonts w:ascii="Work Sans;sans-serif" w:hAnsi="Work Sans;sans-serif"/>
                  <w:b w:val="false"/>
                  <w:color w:val="0000FF"/>
                  <w:sz w:val="18"/>
                  <w:u w:val="single"/>
                </w:rPr>
                <w:t>Controls and Procedures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33">
              <w:r>
                <w:rPr>
                  <w:rStyle w:val="InternetLink"/>
                  <w:rFonts w:ascii="Work Sans;sans-serif" w:hAnsi="Work Sans;sans-serif"/>
                  <w:b w:val="false"/>
                  <w:color w:val="0000FF"/>
                  <w:sz w:val="18"/>
                  <w:u w:val="single"/>
                </w:rPr>
                <w:t>39</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39">
              <w:r>
                <w:rPr>
                  <w:rStyle w:val="InternetLink"/>
                  <w:rFonts w:ascii="Work Sans;sans-serif" w:hAnsi="Work Sans;sans-serif"/>
                  <w:b/>
                  <w:color w:val="0000FF"/>
                  <w:sz w:val="18"/>
                  <w:u w:val="single"/>
                </w:rPr>
                <w:t>Part II</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39">
              <w:r>
                <w:rPr>
                  <w:rStyle w:val="InternetLink"/>
                  <w:rFonts w:ascii="Work Sans;sans-serif" w:hAnsi="Work Sans;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42">
              <w:r>
                <w:rPr>
                  <w:rStyle w:val="InternetLink"/>
                  <w:rFonts w:ascii="Work Sans;sans-serif" w:hAnsi="Work Sans;sans-serif"/>
                  <w:b w:val="false"/>
                  <w:color w:val="0000FF"/>
                  <w:sz w:val="18"/>
                  <w:u w:val="single"/>
                </w:rPr>
                <w:t>Item 1.</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42">
              <w:r>
                <w:rPr>
                  <w:rStyle w:val="InternetLink"/>
                  <w:rFonts w:ascii="Work Sans;sans-serif" w:hAnsi="Work Sans;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42">
              <w:r>
                <w:rPr>
                  <w:rStyle w:val="InternetLink"/>
                  <w:rFonts w:ascii="Work Sans;sans-serif" w:hAnsi="Work Sans;sans-serif"/>
                  <w:b w:val="false"/>
                  <w:color w:val="0000FF"/>
                  <w:sz w:val="18"/>
                  <w:u w:val="single"/>
                </w:rPr>
                <w:t>40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45">
              <w:r>
                <w:rPr>
                  <w:rStyle w:val="InternetLink"/>
                  <w:rFonts w:ascii="Work Sans;sans-serif" w:hAnsi="Work Sans;sans-serif"/>
                  <w:b w:val="false"/>
                  <w:color w:val="0000FF"/>
                  <w:sz w:val="18"/>
                  <w:u w:val="single"/>
                </w:rPr>
                <w:t>Item 1A</w:t>
              </w:r>
            </w:hyperlink>
            <w:r>
              <w:rPr>
                <w:rFonts w:ascii="Work Sans;sans-serif" w:hAnsi="Work Sans;sans-serif"/>
                <w:b w:val="false"/>
                <w:color w:val="000000"/>
                <w:sz w:val="18"/>
              </w:rPr>
              <w:t>.</w:t>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45">
              <w:r>
                <w:rPr>
                  <w:rStyle w:val="InternetLink"/>
                  <w:rFonts w:ascii="Work Sans;sans-serif" w:hAnsi="Work Sans;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45">
              <w:r>
                <w:rPr>
                  <w:rStyle w:val="InternetLink"/>
                  <w:rFonts w:ascii="Work Sans;sans-serif" w:hAnsi="Work Sans;sans-serif"/>
                  <w:b w:val="false"/>
                  <w:color w:val="0000FF"/>
                  <w:sz w:val="18"/>
                  <w:u w:val="single"/>
                </w:rPr>
                <w:t>40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48">
              <w:r>
                <w:rPr>
                  <w:rStyle w:val="InternetLink"/>
                  <w:rFonts w:ascii="Work Sans;sans-serif" w:hAnsi="Work Sans;sans-serif"/>
                  <w:b w:val="false"/>
                  <w:color w:val="0000FF"/>
                  <w:sz w:val="18"/>
                  <w:u w:val="single"/>
                </w:rPr>
                <w:t>Item 2.</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48">
              <w:r>
                <w:rPr>
                  <w:rStyle w:val="InternetLink"/>
                  <w:rFonts w:ascii="Work Sans;sans-serif" w:hAnsi="Work Sans;sans-serif"/>
                  <w:b w:val="false"/>
                  <w:color w:val="0000FF"/>
                  <w:sz w:val="18"/>
                  <w:u w:val="single"/>
                </w:rPr>
                <w:t>Unregistered Sales of Equity Securities, Use of Proceeds, and Issuer Purchases of Equity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48">
              <w:r>
                <w:rPr>
                  <w:rStyle w:val="InternetLink"/>
                  <w:rFonts w:ascii="Work Sans;sans-serif" w:hAnsi="Work Sans;sans-serif"/>
                  <w:b w:val="false"/>
                  <w:color w:val="0000FF"/>
                  <w:sz w:val="18"/>
                  <w:u w:val="single"/>
                </w:rPr>
                <w:t>61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51">
              <w:r>
                <w:rPr>
                  <w:rStyle w:val="InternetLink"/>
                  <w:rFonts w:ascii="Work Sans;sans-serif" w:hAnsi="Work Sans;sans-serif"/>
                  <w:b w:val="false"/>
                  <w:color w:val="0000FF"/>
                  <w:sz w:val="18"/>
                  <w:u w:val="single"/>
                </w:rPr>
                <w:t>Item 3.</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51">
              <w:r>
                <w:rPr>
                  <w:rStyle w:val="InternetLink"/>
                  <w:rFonts w:ascii="Work Sans;sans-serif" w:hAnsi="Work Sans;sans-serif"/>
                  <w:b w:val="false"/>
                  <w:color w:val="0000FF"/>
                  <w:sz w:val="18"/>
                  <w:u w:val="single"/>
                </w:rPr>
                <w:t>Defaults Upon Senior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51">
              <w:r>
                <w:rPr>
                  <w:rStyle w:val="InternetLink"/>
                  <w:rFonts w:ascii="Work Sans;sans-serif" w:hAnsi="Work Sans;sans-serif"/>
                  <w:b w:val="false"/>
                  <w:color w:val="0000FF"/>
                  <w:sz w:val="18"/>
                  <w:u w:val="single"/>
                </w:rPr>
                <w:t>61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54">
              <w:r>
                <w:rPr>
                  <w:rStyle w:val="InternetLink"/>
                  <w:rFonts w:ascii="Work Sans;sans-serif" w:hAnsi="Work Sans;sans-serif"/>
                  <w:b w:val="false"/>
                  <w:color w:val="0000FF"/>
                  <w:sz w:val="18"/>
                  <w:u w:val="single"/>
                </w:rPr>
                <w:t>Item 4.</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54">
              <w:r>
                <w:rPr>
                  <w:rStyle w:val="InternetLink"/>
                  <w:rFonts w:ascii="Work Sans;sans-serif" w:hAnsi="Work Sans;sans-serif"/>
                  <w:b w:val="false"/>
                  <w:color w:val="0000FF"/>
                  <w:sz w:val="18"/>
                  <w:u w:val="single"/>
                </w:rPr>
                <w:t>Mine Safety Disclosures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54">
              <w:r>
                <w:rPr>
                  <w:rStyle w:val="InternetLink"/>
                  <w:rFonts w:ascii="Work Sans;sans-serif" w:hAnsi="Work Sans;sans-serif"/>
                  <w:b w:val="false"/>
                  <w:color w:val="0000FF"/>
                  <w:sz w:val="18"/>
                  <w:u w:val="single"/>
                </w:rPr>
                <w:t>61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57">
              <w:r>
                <w:rPr>
                  <w:rStyle w:val="InternetLink"/>
                  <w:rFonts w:ascii="Work Sans;sans-serif" w:hAnsi="Work Sans;sans-serif"/>
                  <w:b w:val="false"/>
                  <w:color w:val="0000FF"/>
                  <w:sz w:val="18"/>
                  <w:u w:val="single"/>
                </w:rPr>
                <w:t>Item 5.</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57">
              <w:r>
                <w:rPr>
                  <w:rStyle w:val="InternetLink"/>
                  <w:rFonts w:ascii="Work Sans;sans-serif" w:hAnsi="Work Sans;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57">
              <w:r>
                <w:rPr>
                  <w:rStyle w:val="InternetLink"/>
                  <w:rFonts w:ascii="Work Sans;sans-serif" w:hAnsi="Work Sans;sans-serif"/>
                  <w:b w:val="false"/>
                  <w:color w:val="0000FF"/>
                  <w:sz w:val="18"/>
                  <w:u w:val="single"/>
                </w:rPr>
                <w:t>61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3223de45f473c82f133b8a8835ba5_163">
              <w:r>
                <w:rPr>
                  <w:rStyle w:val="InternetLink"/>
                  <w:rFonts w:ascii="Work Sans;sans-serif" w:hAnsi="Work Sans;sans-serif"/>
                  <w:b w:val="false"/>
                  <w:color w:val="0000FF"/>
                  <w:sz w:val="18"/>
                  <w:u w:val="single"/>
                </w:rPr>
                <w:t>Item 6.</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63">
              <w:r>
                <w:rPr>
                  <w:rStyle w:val="InternetLink"/>
                  <w:rFonts w:ascii="Work Sans;sans-serif" w:hAnsi="Work Sans;sans-serif"/>
                  <w:b w:val="false"/>
                  <w:color w:val="0000FF"/>
                  <w:sz w:val="18"/>
                  <w:u w:val="single"/>
                </w:rPr>
                <w:t>Exhibits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63">
              <w:r>
                <w:rPr>
                  <w:rStyle w:val="InternetLink"/>
                  <w:rFonts w:ascii="Work Sans;sans-serif" w:hAnsi="Work Sans;sans-serif"/>
                  <w:b w:val="false"/>
                  <w:color w:val="0000FF"/>
                  <w:sz w:val="18"/>
                  <w:u w:val="single"/>
                </w:rPr>
                <w:t>62</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f93223de45f473c82f133b8a8835ba5_166">
              <w:r>
                <w:rPr>
                  <w:rStyle w:val="InternetLink"/>
                  <w:rFonts w:ascii="Work Sans;sans-serif" w:hAnsi="Work Sans;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f93223de45f473c82f133b8a8835ba5_166">
              <w:r>
                <w:rPr>
                  <w:rStyle w:val="InternetLink"/>
                  <w:rFonts w:ascii="Work Sans;sans-serif" w:hAnsi="Work Sans;sans-serif"/>
                  <w:b w:val="false"/>
                  <w:color w:val="0000FF"/>
                  <w:sz w:val="18"/>
                  <w:u w:val="single"/>
                </w:rPr>
                <w:t>63</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4f93223de45f473c82f133b8a8835ba5_10">
        <w:r>
          <w:rPr>
            <w:rStyle w:val="InternetLink"/>
            <w:rFonts w:ascii="Work Sans;sans-serif" w:hAnsi="Work Sans;sans-serif"/>
            <w:b w:val="false"/>
            <w:color w:val="0000FF"/>
            <w:sz w:val="18"/>
            <w:u w:val="single"/>
          </w:rPr>
          <w:t>Table of Contents</w:t>
        </w:r>
      </w:hyperlink>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2717"/>
        <w:gridCol w:w="2119"/>
        <w:gridCol w:w="2087"/>
        <w:gridCol w:w="237"/>
        <w:gridCol w:w="996"/>
        <w:gridCol w:w="114"/>
        <w:gridCol w:w="109"/>
        <w:gridCol w:w="109"/>
        <w:gridCol w:w="109"/>
        <w:gridCol w:w="273"/>
        <w:gridCol w:w="1144"/>
        <w:gridCol w:w="191"/>
      </w:tblGrid>
      <w:tr>
        <w:trPr/>
        <w:tc>
          <w:tcPr>
            <w:tcW w:w="271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2025</w:t>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203,100 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receivable, net of allowances of $3,300 and $2,281, respectively</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25,187 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212,173 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241,923 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58,045 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lease right-of-use assets </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466,359 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27,167 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56,055 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83,361 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221,180 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203,653 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318,113 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318,519 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339,203 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339,640 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 (Note 6)</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June 30, 2026 and December 31, 2025, none issued or outstanding at June 30, 2026 and December 31, 2025</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shares authorized; 167,451 shares and 177,624 shares issued and outstanding at June 30, 2026 and December 31, 2025, respectively</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1,344,473 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1,305,936 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(1,217,855)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(1,134,414)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stockholders’ equity</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171,882 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 xml:space="preserve">Total liabilities and stockholders’ equity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466,359 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6"/>
        <w:gridCol w:w="1013"/>
        <w:gridCol w:w="1007"/>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17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133,958 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130,958 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235,795 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175,568 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178,837 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171,641 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177,627 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182,694 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Comprehensive Income (Loss)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038"/>
        <w:gridCol w:w="1311"/>
        <w:gridCol w:w="1191"/>
        <w:gridCol w:w="114"/>
        <w:gridCol w:w="114"/>
        <w:gridCol w:w="114"/>
        <w:gridCol w:w="238"/>
        <w:gridCol w:w="746"/>
        <w:gridCol w:w="114"/>
        <w:gridCol w:w="114"/>
        <w:gridCol w:w="114"/>
        <w:gridCol w:w="114"/>
        <w:gridCol w:w="238"/>
        <w:gridCol w:w="601"/>
        <w:gridCol w:w="114"/>
        <w:gridCol w:w="109"/>
        <w:gridCol w:w="109"/>
        <w:gridCol w:w="109"/>
        <w:gridCol w:w="238"/>
        <w:gridCol w:w="746"/>
        <w:gridCol w:w="114"/>
        <w:gridCol w:w="114"/>
        <w:gridCol w:w="114"/>
        <w:gridCol w:w="114"/>
        <w:gridCol w:w="238"/>
        <w:gridCol w:w="746"/>
        <w:gridCol w:w="179"/>
      </w:tblGrid>
      <w:tr>
        <w:trPr/>
        <w:tc>
          <w:tcPr>
            <w:tcW w:w="203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 (loss), net of tax:</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security due to unrealized gains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Reclassification adjustment for net gain on available-for-sale debt securities included in net income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comprehensive income (loss)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5,278 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902" w:type="dxa"/>
        <w:jc w:val="center"/>
        <w:tblInd w:w="0" w:type="dxa"/>
        <w:tblLayout w:type="fixed"/>
        <w:tblCellMar>
          <w:top w:w="28" w:type="dxa"/>
          <w:left w:w="28" w:type="dxa"/>
          <w:bottom w:w="28" w:type="dxa"/>
          <w:right w:w="28" w:type="dxa"/>
        </w:tblCellMar>
      </w:tblPr>
      <w:tblGrid>
        <w:gridCol w:w="765"/>
        <w:gridCol w:w="330"/>
        <w:gridCol w:w="331"/>
        <w:gridCol w:w="109"/>
        <w:gridCol w:w="109"/>
        <w:gridCol w:w="109"/>
        <w:gridCol w:w="413"/>
        <w:gridCol w:w="413"/>
        <w:gridCol w:w="246"/>
        <w:gridCol w:w="113"/>
        <w:gridCol w:w="113"/>
        <w:gridCol w:w="113"/>
        <w:gridCol w:w="223"/>
        <w:gridCol w:w="495"/>
        <w:gridCol w:w="123"/>
        <w:gridCol w:w="109"/>
        <w:gridCol w:w="109"/>
        <w:gridCol w:w="109"/>
        <w:gridCol w:w="211"/>
        <w:gridCol w:w="976"/>
        <w:gridCol w:w="109"/>
        <w:gridCol w:w="109"/>
        <w:gridCol w:w="109"/>
        <w:gridCol w:w="109"/>
        <w:gridCol w:w="211"/>
        <w:gridCol w:w="1001"/>
        <w:gridCol w:w="109"/>
        <w:gridCol w:w="109"/>
        <w:gridCol w:w="109"/>
        <w:gridCol w:w="109"/>
        <w:gridCol w:w="410"/>
        <w:gridCol w:w="907"/>
        <w:gridCol w:w="214"/>
        <w:gridCol w:w="109"/>
        <w:gridCol w:w="109"/>
        <w:gridCol w:w="109"/>
        <w:gridCol w:w="255"/>
        <w:gridCol w:w="999"/>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6"/>
              </w:rPr>
            </w:pPr>
            <w:r>
              <w:rPr>
                <w:rFonts w:ascii="Work Sans;sans-serif" w:hAnsi="Work Sans;sans-serif"/>
                <w:b/>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Total</w:t>
              <w:br/>
              <w:t>Stockholders’</w:t>
              <w:br/>
              <w:t>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177,624 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1,305,936 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(1,134,414)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171,882 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Issuance of common stock upon vesting of restricted stock unit awards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(4,887)</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22,523 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(43,467)</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 repurchase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(356)</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93 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1,104 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173,402 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1,323,587 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(1,177,128)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274 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146,908 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178 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502 </w:t>
            </w:r>
          </w:p>
        </w:tc>
        <w:tc>
          <w:tcPr>
            <w:tcW w:w="1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unit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(763)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(4,572)</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24,957 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(7,298)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(45,543)</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 repurchase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(374)</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5,183 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167,451 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1,344,473 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(1,217,855)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369 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127,156 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tbl>
      <w:tblPr>
        <w:tblW w:w="10902" w:type="dxa"/>
        <w:jc w:val="center"/>
        <w:tblInd w:w="0" w:type="dxa"/>
        <w:tblLayout w:type="fixed"/>
        <w:tblCellMar>
          <w:top w:w="28" w:type="dxa"/>
          <w:left w:w="28" w:type="dxa"/>
          <w:bottom w:w="28" w:type="dxa"/>
          <w:right w:w="28" w:type="dxa"/>
        </w:tblCellMar>
      </w:tblPr>
      <w:tblGrid>
        <w:gridCol w:w="765"/>
        <w:gridCol w:w="330"/>
        <w:gridCol w:w="331"/>
        <w:gridCol w:w="109"/>
        <w:gridCol w:w="109"/>
        <w:gridCol w:w="109"/>
        <w:gridCol w:w="413"/>
        <w:gridCol w:w="413"/>
        <w:gridCol w:w="246"/>
        <w:gridCol w:w="113"/>
        <w:gridCol w:w="113"/>
        <w:gridCol w:w="113"/>
        <w:gridCol w:w="223"/>
        <w:gridCol w:w="495"/>
        <w:gridCol w:w="123"/>
        <w:gridCol w:w="109"/>
        <w:gridCol w:w="109"/>
        <w:gridCol w:w="109"/>
        <w:gridCol w:w="211"/>
        <w:gridCol w:w="976"/>
        <w:gridCol w:w="109"/>
        <w:gridCol w:w="109"/>
        <w:gridCol w:w="109"/>
        <w:gridCol w:w="109"/>
        <w:gridCol w:w="211"/>
        <w:gridCol w:w="1001"/>
        <w:gridCol w:w="109"/>
        <w:gridCol w:w="109"/>
        <w:gridCol w:w="109"/>
        <w:gridCol w:w="109"/>
        <w:gridCol w:w="410"/>
        <w:gridCol w:w="907"/>
        <w:gridCol w:w="214"/>
        <w:gridCol w:w="109"/>
        <w:gridCol w:w="109"/>
        <w:gridCol w:w="109"/>
        <w:gridCol w:w="255"/>
        <w:gridCol w:w="999"/>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6"/>
              </w:rPr>
            </w:pPr>
            <w:r>
              <w:rPr>
                <w:rFonts w:ascii="Work Sans;sans-serif" w:hAnsi="Work Sans;sans-serif"/>
                <w:b/>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Total</w:t>
              <w:br/>
              <w:t>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173,619 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1,161,538 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(1,069,317)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93,257 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4,473 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43,547 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unit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(5,942)</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31,096 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80 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20,047 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5,127 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181,177 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1,250,279 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(1,064,190)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187,212 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 and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151 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1,117 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unit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(5,230)</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32,218 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(20,419)</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 repurchase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(580)</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(266)</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180,081 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181 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1,278,383 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(1,084,873)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361 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194,052 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9940" w:type="dxa"/>
        <w:jc w:val="center"/>
        <w:tblInd w:w="0" w:type="dxa"/>
        <w:tblLayout w:type="fixed"/>
        <w:tblCellMar>
          <w:top w:w="28" w:type="dxa"/>
          <w:left w:w="28" w:type="dxa"/>
          <w:bottom w:w="28" w:type="dxa"/>
          <w:right w:w="28" w:type="dxa"/>
        </w:tblCellMar>
      </w:tblPr>
      <w:tblGrid>
        <w:gridCol w:w="2517"/>
        <w:gridCol w:w="2210"/>
        <w:gridCol w:w="2218"/>
        <w:gridCol w:w="109"/>
        <w:gridCol w:w="109"/>
        <w:gridCol w:w="109"/>
        <w:gridCol w:w="211"/>
        <w:gridCol w:w="828"/>
        <w:gridCol w:w="109"/>
        <w:gridCol w:w="109"/>
        <w:gridCol w:w="109"/>
        <w:gridCol w:w="109"/>
        <w:gridCol w:w="211"/>
        <w:gridCol w:w="828"/>
        <w:gridCol w:w="154"/>
      </w:tblGrid>
      <w:tr>
        <w:trPr/>
        <w:tc>
          <w:tcPr>
            <w:tcW w:w="251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Six Months Ended June 30,</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2025</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Change in fair value of other equity 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Unrealized foreign exchange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Gain on sale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Gain on sale of available-for-sale debt 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Changes in operating assets and liabilities, net of effects of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sale of available-for-sale debt 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(16,908)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(26,818)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Payment of deferred consideration from business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issuance of stock under 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Repayment of capital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 repurchase costs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Shares surrendered for settlement of minimum statutory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(110,465)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Effect of exchange rate changes on 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74,971 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Cash and cash equivalents, at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Cash and cash equivalents,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167,227 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217,035 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Non-cash operating,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3"/>
        <w:gridCol w:w="2361"/>
        <w:gridCol w:w="2368"/>
        <w:gridCol w:w="109"/>
        <w:gridCol w:w="109"/>
        <w:gridCol w:w="109"/>
        <w:gridCol w:w="236"/>
        <w:gridCol w:w="522"/>
        <w:gridCol w:w="121"/>
        <w:gridCol w:w="121"/>
        <w:gridCol w:w="121"/>
        <w:gridCol w:w="121"/>
        <w:gridCol w:w="236"/>
        <w:gridCol w:w="807"/>
        <w:gridCol w:w="181"/>
      </w:tblGrid>
      <w:tr>
        <w:trPr/>
        <w:tc>
          <w:tcPr>
            <w:tcW w:w="268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Six Months Ended June 30,</w:t>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270"/>
              <w:jc w:val="center"/>
              <w:rPr>
                <w:rFonts w:ascii="Work Sans;sans-serif" w:hAnsi="Work Sans;sans-serif"/>
                <w:b/>
                <w:color w:val="000000"/>
                <w:sz w:val="16"/>
              </w:rPr>
            </w:pPr>
            <w:r>
              <w:rPr>
                <w:rFonts w:ascii="Work Sans;sans-serif" w:hAnsi="Work Sans;sans-serif"/>
                <w:b/>
                <w:color w:val="000000"/>
                <w:sz w:val="16"/>
              </w:rPr>
              <w:t>2025</w:t>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Acquisition-related deferred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13,058 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Accrued stock repurchase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for business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20,048 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Purchase of property and equipment included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Right-of-use assets obtained in exchange of operating lease liabilities (excluding right-of-use assets acquired as part of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Supplemental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paid during the period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Interest on deferred consideration for business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LegalZoom.com, Inc.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Our ongoing business management services include virtual mail, legal forms, bookkeeping and estate planning services, among others. We operate across all 50 states and in over 3,000 counties in the U.S. With over two decades of experience and millions of customers served, LegalZoom helps individuals and small businesses navigate legal needs with confidence.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Summary of Significant Accounting Policies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unaudited condensed consolidated financial statements is set forth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accompanying unaudited condensed consolidated financial statements are presented in accordance with accounting principles generally accepted in the United States of America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our Annual Report on Form 10-K for the year ended December 31, 2025. The December 31, 2025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six months ended June 30, 2026 from those disclosed in the audited consolidated financial statements for the year ended December 31, 2025 and the related notes, except as noted below under </w:t>
      </w:r>
      <w:r>
        <w:rPr>
          <w:rFonts w:ascii="Work Sans;sans-serif" w:hAnsi="Work Sans;sans-serif"/>
          <w:b w:val="false"/>
          <w:i/>
          <w:color w:val="000000"/>
          <w:sz w:val="18"/>
        </w:rPr>
        <w:t>Recently Adopted Accounting Pronouncements</w:t>
      </w:r>
      <w:r>
        <w:rPr>
          <w:rFonts w:ascii="Work Sans;sans-serif" w:hAnsi="Work Sans;sans-serif"/>
          <w:b w:val="false"/>
          <w:color w:val="000000"/>
          <w:sz w:val="18"/>
        </w:rPr>
        <w: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operating results for the three and six months ended June 30, 2026 are not necessarily indicative of the results expected for the full year ending December 31, 2026.</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unaudited condensed consolidated financial statements in conformity with GAAP requires estimates and assumptions that affect the reported amounts of assets and liabilities, revenue and expenses, and related disclosures of contingent liabilities in the unaudited condensed consolidated financial statements and accompanying notes. Estimates are used for, however not limited to, revenue recognition, sales allowances and expected credit loss allowances, other equity security, recoverability of long-lived assets and goodwill, income taxes, commitments and contingencies, valuation of assets and liabilities acquired in business combinations,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 xml:space="preserve">Significant Accounting Policies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Significant accounting policies are detailed in Note 2. Summary of Significant Accounting Policies of our Annual Report on Form 10-K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Chief Executive Officer, as the Chief Operating Decision Maker (the “CODM”), organizes our company, manages resource allocations, and measures performance on the basis of our one operating segment. Refer to Note 12 to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outside of the U.S., based on the location of the customer, represented less than 1% of our revenue for the three and six months ended June 30, 2026 and 2025. Long-lived tangible assets located outside the U.S. represented approximately 11.1% of total tangible long-lived assets as of June 30, 2026. Long-lived tangible assets located outside the U.S. were immaterial as of December 31, 2025.</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U.S. banks with funds insured by the Federal Deposit Insurance Corporation (the “FDIC”). Our bank accounts may, at times, exceed the FDIC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TextBody"/>
        <w:bidi w:val="0"/>
        <w:spacing w:lineRule="auto" w:line="288" w:before="120" w:after="120"/>
        <w:ind w:left="0" w:right="0" w:firstLine="450"/>
        <w:jc w:val="left"/>
        <w:rPr/>
      </w:pPr>
      <w:r>
        <w:rPr>
          <w:rFonts w:ascii="Work Sans;sans-serif" w:hAnsi="Work Sans;sans-serif"/>
          <w:b w:val="false"/>
          <w:color w:val="000000"/>
          <w:sz w:val="18"/>
        </w:rPr>
        <w:t>Due to a large and diverse customer base, no individual customer represented more t</w:t>
      </w:r>
      <w:r>
        <w:rPr>
          <w:rFonts w:ascii="Work Sans;sans-serif" w:hAnsi="Work Sans;sans-serif"/>
          <w:b w:val="false"/>
          <w:color w:val="000000"/>
          <w:sz w:val="18"/>
          <w:shd w:fill="FFFFFF" w:val="clear"/>
        </w:rPr>
        <w:t xml:space="preserve">han </w:t>
      </w:r>
      <w:r>
        <w:rPr>
          <w:rFonts w:ascii="Work Sans;sans-serif" w:hAnsi="Work Sans;sans-serif"/>
          <w:b w:val="false"/>
          <w:color w:val="000000"/>
          <w:sz w:val="18"/>
        </w:rPr>
        <w:t>10%</w:t>
      </w:r>
      <w:r>
        <w:rPr>
          <w:color w:val="000000"/>
          <w:shd w:fill="FFFFFF" w:val="clear"/>
        </w:rPr>
        <w:t xml:space="preserve"> </w:t>
      </w:r>
      <w:r>
        <w:rPr>
          <w:rFonts w:ascii="Work Sans;sans-serif" w:hAnsi="Work Sans;sans-serif"/>
          <w:b w:val="false"/>
          <w:color w:val="000000"/>
          <w:sz w:val="18"/>
          <w:shd w:fill="FFFFFF" w:val="clear"/>
        </w:rPr>
        <w:t>of our total r</w:t>
      </w:r>
      <w:r>
        <w:rPr>
          <w:rFonts w:ascii="Work Sans;sans-serif" w:hAnsi="Work Sans;sans-serif"/>
          <w:b w:val="false"/>
          <w:color w:val="000000"/>
          <w:sz w:val="18"/>
        </w:rPr>
        <w:t>evenue for the three and six months ended June 30, 2026 and 2025. At June 30, 2026 and December 31, 2025, there was one partner with an outstanding balance of 10% or more of our total accounts receivable balance.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accounts receivable balances, which are not collateralized and do not bear interest, primarily consist of amounts receivable from our credit and debit card merchant processors, customer receivables, and fees due from third parties for services purchased by our customers from such third parties. We reduce our accounts receivable for sales allowances and a reserve for potentially uncollectible receivables. We determine the amount of the allowances based on various factors, including historical collection experience, the age of our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June 30, 2026 and December 31, 2025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hold an equity investment in LawPath, Pty Ltd (“LawPath”), an Australian proprietary limited company that provides an online legal platform to individuals and small and medium sized businesses. The carrying amount of our investment in LawPath was $4.7 million at June 30, 2026 and December 31, 2025.</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Transaction revenue also includes the transaction price allocated to transaction based services and products bundled in certain arrangements. We also earn fees from third-party providers in connection with lead generation activities, where referred customers purchased services that are transactional in nature.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eSignature services, and software-as-a-service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subscription based services in certain bundled arrangements, including free trials for our subscription services, and is net of promotional discounts, cancellations, sales allowances and credit reserves and payments to third 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unaudited condensed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transaction and subscription revenue is as follows (in thousands):</w:t>
      </w:r>
    </w:p>
    <w:tbl>
      <w:tblPr>
        <w:tblW w:w="8262" w:type="dxa"/>
        <w:jc w:val="left"/>
        <w:tblInd w:w="0" w:type="dxa"/>
        <w:tblLayout w:type="fixed"/>
        <w:tblCellMar>
          <w:top w:w="28" w:type="dxa"/>
          <w:left w:w="28" w:type="dxa"/>
          <w:bottom w:w="28" w:type="dxa"/>
          <w:right w:w="28" w:type="dxa"/>
        </w:tblCellMar>
      </w:tblPr>
      <w:tblGrid>
        <w:gridCol w:w="488"/>
        <w:gridCol w:w="429"/>
        <w:gridCol w:w="432"/>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2024, the Financial Accounting Standards Board (“FASB”) issued Accounting Standards Update (“ASU”) 2024-04, </w:t>
      </w:r>
      <w:r>
        <w:rPr>
          <w:rFonts w:ascii="Work Sans;sans-serif" w:hAnsi="Work Sans;sans-serif"/>
          <w:b w:val="false"/>
          <w:i/>
          <w:color w:val="000000"/>
          <w:sz w:val="18"/>
        </w:rPr>
        <w:t>Debt—Debt with Conversion and Other Options (Subtopic 470-20): Induced Conversions of Convertible Debt Instruments</w:t>
      </w:r>
      <w:r>
        <w:rPr>
          <w:rFonts w:ascii="Work Sans;sans-serif" w:hAnsi="Work Sans;sans-serif"/>
          <w:b w:val="false"/>
          <w:color w:val="000000"/>
          <w:sz w:val="18"/>
        </w:rPr>
        <w:t>, which clarifies the requirements for determining whether certain settlements of convertible debt instruments should be accounted for as an induced conversion. ASU 2024-04 was effective for annual reporting periods beginning after December 15, 2025, and interim reporting periods within those annual reporting periods. Early adoption was permitted as of the beginning of a reporting period if the entity had also adopted ASU 2020-06 for that period. Entities may apply the new guidance prospectively to settlements of convertible debt instruments that take place during annual reporting periods (and interim reporting periods within those annual reporting periods) beginning after the effective date of ASU 2024-04. Retrospective application may be elected as of the beginning of the first comparative reporting period in which the entity has also applied ASU 2020-06. We adopted ASU 2024-04 as of January 1, 2026. The adoption of this accounting standard did not have a material impact to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July 2025, the FASB issued ASU 2025-05, </w:t>
      </w:r>
      <w:r>
        <w:rPr>
          <w:rFonts w:ascii="Work Sans;sans-serif" w:hAnsi="Work Sans;sans-serif"/>
          <w:b w:val="false"/>
          <w:i/>
          <w:color w:val="000000"/>
          <w:sz w:val="18"/>
        </w:rPr>
        <w:t>Financial Instruments—Credit Losses (Topic 326): Measurement of Credit Losses for Accounts Receivable and Contract Assets,</w:t>
      </w:r>
      <w:r>
        <w:rPr>
          <w:color w:val="000000"/>
        </w:rPr>
        <w:t xml:space="preserve"> </w:t>
      </w:r>
      <w:r>
        <w:rPr>
          <w:rFonts w:ascii="Work Sans;sans-serif" w:hAnsi="Work Sans;sans-serif"/>
          <w:b w:val="false"/>
          <w:color w:val="000000"/>
          <w:sz w:val="18"/>
        </w:rPr>
        <w:t>which provides a practical expedient for calculating current expected credit losses for current accounts receivables and current contract assets by assuming that the current conditions as of the balance sheet date will not change for the remaining life of the asset. The accounting standard was effective for interim and annual reporting periods beginning after December 15, 2025 and is to be applied on a prospective basis. We adopted ASU 2025-05 as of January 1, 2026. The adoption of this accounting standard did not have a material impact to our unaudited condensed consolidated financial statements.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Accounting Pronouncements Not Yet Adopted</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2024, the FASB issued ASU 2024-03, </w:t>
      </w:r>
      <w:r>
        <w:rPr>
          <w:rFonts w:ascii="Work Sans;sans-serif" w:hAnsi="Work Sans;sans-serif"/>
          <w:b w:val="false"/>
          <w:i/>
          <w:color w:val="000000"/>
          <w:sz w:val="18"/>
        </w:rPr>
        <w:t>Income Statement—Reporting Comprehensive Income—Expense Disaggregation Disclosures (Subtopic 220-40): Disaggregation of Income Statement Expenses</w:t>
      </w:r>
      <w:r>
        <w:rPr>
          <w:rFonts w:ascii="Work Sans;sans-serif" w:hAnsi="Work Sans;sans-serif"/>
          <w:b w:val="false"/>
          <w:color w:val="000000"/>
          <w:sz w:val="18"/>
        </w:rPr>
        <w:t xml:space="preserve">, which requires public business entities to disaggregate certain expense captions into specific categories in disclosures within the notes to the financial statements. As further clarified by ASU 2025-01, </w:t>
      </w:r>
      <w:r>
        <w:rPr>
          <w:rFonts w:ascii="Work Sans;sans-serif" w:hAnsi="Work Sans;sans-serif"/>
          <w:b w:val="false"/>
          <w:i/>
          <w:color w:val="000000"/>
          <w:sz w:val="18"/>
        </w:rPr>
        <w:t xml:space="preserve">Income Statement—Reporting Comprehensive Income—Expense Disaggregation Disclosures (Subtopic 220-40), </w:t>
      </w:r>
      <w:r>
        <w:rPr>
          <w:rFonts w:ascii="Work Sans;sans-serif" w:hAnsi="Work Sans;sans-serif"/>
          <w:b w:val="false"/>
          <w:color w:val="000000"/>
          <w:sz w:val="18"/>
        </w:rPr>
        <w:t>issued by FASB in January 2025, this accounting standard is effective for fiscal years beginning after December 15, 2026, and interim periods within fiscal years beginning after December 15, 2027. The amendments in ASU 2024-03 should be applied either prospectively or retrospectively to any or all prior periods presented in the financial statements, and early adoption is permitted. We are currently evaluating the impact of the adoption to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2025, the FASB issued ASU 2025-06, </w:t>
      </w:r>
      <w:r>
        <w:rPr>
          <w:rFonts w:ascii="Work Sans;sans-serif" w:hAnsi="Work Sans;sans-serif"/>
          <w:b w:val="false"/>
          <w:i/>
          <w:color w:val="000000"/>
          <w:sz w:val="18"/>
        </w:rPr>
        <w:t xml:space="preserve">Intangibles - Goodwill and Other - Internal-Use Software (Subtopic 350-40): Targeted Improvements to the Accounting for Internal-Use Software, </w:t>
      </w:r>
      <w:r>
        <w:rPr>
          <w:rFonts w:ascii="Work Sans;sans-serif" w:hAnsi="Work Sans;sans-serif"/>
          <w:b w:val="false"/>
          <w:color w:val="000000"/>
          <w:sz w:val="18"/>
        </w:rPr>
        <w:t>to remove all references to software development stages and to require capitalizing software costs when management has authorized and committed to funding a software project and it is probable that the project will be completed and that the software will be used to perform the function intended. The accounting standard is effective for annual reporting periods beginning after December 15, 2027 and interim reporting periods within those annual reporting periods with early adoption permitted at the beginning of an annual reporting period. Adoption of ASU 2025-06 can use a prospective, modified retrospective or retrospective transition. We are currently evaluating the impact of the adoption to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December 2025, the FASB issued ASU 2025-11, </w:t>
      </w:r>
      <w:r>
        <w:rPr>
          <w:rFonts w:ascii="Work Sans;sans-serif" w:hAnsi="Work Sans;sans-serif"/>
          <w:b w:val="false"/>
          <w:i/>
          <w:color w:val="000000"/>
          <w:sz w:val="18"/>
        </w:rPr>
        <w:t>Interim Reporting (Topic 270): Narrow-Scope Improvements,</w:t>
      </w:r>
      <w:r>
        <w:rPr>
          <w:color w:val="000000"/>
        </w:rPr>
        <w:t xml:space="preserve"> </w:t>
      </w:r>
      <w:r>
        <w:rPr>
          <w:rFonts w:ascii="Work Sans;sans-serif" w:hAnsi="Work Sans;sans-serif"/>
          <w:b w:val="false"/>
          <w:color w:val="000000"/>
          <w:sz w:val="18"/>
        </w:rPr>
        <w:t xml:space="preserve">to make targeted, narrow-scope improvements to the interim reporting guidance in Topic 270 to clarify application and improve consistency in practice. The amendments create a comprehensive list of required interim disclosures and introduce a disclosure principle requiring entities to disclose, in interim periods, any event or change since the previous year-end that has a material effect on the entity. The accounting standard is effective for interim reporting periods within annual reporting periods beginning after December 15, 2027 with early adoption is permitted. The adoption of ASU 2025-11 can use a prospective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retrospective transition. We are currently evaluating the impact of the adoption to our unaudited condensed consolidated financial statements.</w:t>
      </w:r>
    </w:p>
    <w:p>
      <w:pPr>
        <w:pStyle w:val="TextBody"/>
        <w:bidi w:val="0"/>
        <w:spacing w:lineRule="auto" w:line="288" w:before="120" w:after="283"/>
        <w:ind w:left="0" w:right="0" w:firstLine="450"/>
        <w:jc w:val="left"/>
        <w:rPr/>
      </w:pPr>
      <w:r>
        <w:rPr>
          <w:rFonts w:ascii="Work Sans;sans-serif" w:hAnsi="Work Sans;sans-serif"/>
          <w:b w:val="false"/>
          <w:color w:val="000000"/>
          <w:sz w:val="18"/>
        </w:rPr>
        <w:t xml:space="preserve">In December 2025, the FASB issued ASU No. 2025-12, </w:t>
      </w:r>
      <w:r>
        <w:rPr>
          <w:rFonts w:ascii="Work Sans;sans-serif" w:hAnsi="Work Sans;sans-serif"/>
          <w:b w:val="false"/>
          <w:i/>
          <w:color w:val="000000"/>
          <w:sz w:val="18"/>
        </w:rPr>
        <w:t xml:space="preserve">Codification Improvements </w:t>
      </w:r>
      <w:r>
        <w:rPr>
          <w:rFonts w:ascii="Work Sans;sans-serif" w:hAnsi="Work Sans;sans-serif"/>
          <w:b w:val="false"/>
          <w:color w:val="000000"/>
          <w:sz w:val="18"/>
        </w:rPr>
        <w:t>including various items that represent changes to clarify, correct, or make minor improvements to various codifications. The accounting standard is effective for interim reporting periods within annual reporting periods beginning after December 15, 2026 with early adoption is permitted. The adoption method of this ASU may vary on an issue-by-issue basis. We are currently evaluating the impact of the adoption to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1439"/>
        <w:gridCol w:w="1236"/>
        <w:gridCol w:w="1240"/>
        <w:gridCol w:w="114"/>
        <w:gridCol w:w="114"/>
        <w:gridCol w:w="114"/>
        <w:gridCol w:w="238"/>
        <w:gridCol w:w="746"/>
        <w:gridCol w:w="114"/>
        <w:gridCol w:w="114"/>
        <w:gridCol w:w="114"/>
        <w:gridCol w:w="114"/>
        <w:gridCol w:w="238"/>
        <w:gridCol w:w="746"/>
        <w:gridCol w:w="114"/>
        <w:gridCol w:w="109"/>
        <w:gridCol w:w="109"/>
        <w:gridCol w:w="109"/>
        <w:gridCol w:w="243"/>
        <w:gridCol w:w="759"/>
        <w:gridCol w:w="117"/>
        <w:gridCol w:w="117"/>
        <w:gridCol w:w="117"/>
        <w:gridCol w:w="117"/>
        <w:gridCol w:w="243"/>
        <w:gridCol w:w="759"/>
        <w:gridCol w:w="117"/>
        <w:gridCol w:w="109"/>
        <w:gridCol w:w="109"/>
        <w:gridCol w:w="109"/>
        <w:gridCol w:w="167"/>
      </w:tblGrid>
      <w:tr>
        <w:trPr/>
        <w:tc>
          <w:tcPr>
            <w:tcW w:w="14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Add: allowance recognized as a reduction of revenue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Add: allowance for credit losses recognized in general and administrative expense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receivables from partners that are considered uncertain or no longer collectible.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8722" w:type="dxa"/>
        <w:jc w:val="left"/>
        <w:tblInd w:w="0" w:type="dxa"/>
        <w:tblLayout w:type="fixed"/>
        <w:tblCellMar>
          <w:top w:w="28" w:type="dxa"/>
          <w:left w:w="28" w:type="dxa"/>
          <w:bottom w:w="28" w:type="dxa"/>
          <w:right w:w="28" w:type="dxa"/>
        </w:tblCellMar>
      </w:tblPr>
      <w:tblGrid>
        <w:gridCol w:w="1631"/>
        <w:gridCol w:w="1433"/>
        <w:gridCol w:w="1435"/>
        <w:gridCol w:w="109"/>
        <w:gridCol w:w="109"/>
        <w:gridCol w:w="109"/>
        <w:gridCol w:w="286"/>
        <w:gridCol w:w="1046"/>
        <w:gridCol w:w="138"/>
        <w:gridCol w:w="109"/>
        <w:gridCol w:w="109"/>
        <w:gridCol w:w="109"/>
        <w:gridCol w:w="393"/>
        <w:gridCol w:w="1438"/>
        <w:gridCol w:w="268"/>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10,741 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10,165 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2,415 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1,449 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3,251 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25,187 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18,234 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9082" w:type="dxa"/>
        <w:jc w:val="left"/>
        <w:tblInd w:w="0" w:type="dxa"/>
        <w:tblLayout w:type="fixed"/>
        <w:tblCellMar>
          <w:top w:w="28" w:type="dxa"/>
          <w:left w:w="28" w:type="dxa"/>
          <w:bottom w:w="28" w:type="dxa"/>
          <w:right w:w="28" w:type="dxa"/>
        </w:tblCellMar>
      </w:tblPr>
      <w:tblGrid>
        <w:gridCol w:w="1760"/>
        <w:gridCol w:w="1547"/>
        <w:gridCol w:w="1552"/>
        <w:gridCol w:w="109"/>
        <w:gridCol w:w="109"/>
        <w:gridCol w:w="109"/>
        <w:gridCol w:w="286"/>
        <w:gridCol w:w="1046"/>
        <w:gridCol w:w="138"/>
        <w:gridCol w:w="109"/>
        <w:gridCol w:w="109"/>
        <w:gridCol w:w="109"/>
        <w:gridCol w:w="393"/>
        <w:gridCol w:w="1438"/>
        <w:gridCol w:w="268"/>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32,785 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17,444 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2,551 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3,126 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10,409 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consideration relating to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12,627 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56,055 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83,361 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Deferred revenue as of June 30, 2026 and December 31, 2025 was $221.4 million and $203.9 million, respectively. Revenue recognized in the three months ended June 30, 2026 and 2025 that was included in deferred revenue as of March 31, 2026 and 2025 was $109.0 million and $99.3 million, respectively. Revenue recognized in the six months ended June 30, 2026 and 2025 that was included in deferred revenue as of December 31, 2025 and 2024 was $160.4 million and $136.5 million, respectively.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the estimated timing of revenue recognition, as our contracts with customers that have a duration of more than one year are immaterial.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1286"/>
        <w:gridCol w:w="1128"/>
        <w:gridCol w:w="1121"/>
        <w:gridCol w:w="112"/>
        <w:gridCol w:w="112"/>
        <w:gridCol w:w="112"/>
        <w:gridCol w:w="232"/>
        <w:gridCol w:w="853"/>
        <w:gridCol w:w="112"/>
        <w:gridCol w:w="112"/>
        <w:gridCol w:w="112"/>
        <w:gridCol w:w="112"/>
        <w:gridCol w:w="232"/>
        <w:gridCol w:w="853"/>
        <w:gridCol w:w="112"/>
        <w:gridCol w:w="109"/>
        <w:gridCol w:w="109"/>
        <w:gridCol w:w="109"/>
        <w:gridCol w:w="237"/>
        <w:gridCol w:w="870"/>
        <w:gridCol w:w="114"/>
        <w:gridCol w:w="114"/>
        <w:gridCol w:w="114"/>
        <w:gridCol w:w="114"/>
        <w:gridCol w:w="237"/>
        <w:gridCol w:w="870"/>
        <w:gridCol w:w="114"/>
        <w:gridCol w:w="109"/>
        <w:gridCol w:w="109"/>
        <w:gridCol w:w="109"/>
        <w:gridCol w:w="166"/>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Acquisition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Formation Nation, Inc.</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February 10, 2025, we acquired all of the outstanding equity interests of Formation Nation, Inc., a Nevada-based small business services company with a range of legal and business solutions, in exchange for a total consideration of $83.2 million consisting of cash, net working capital adjustments and equity consideration comprising 2,205,445 restricted shares of our common stock. Approximately $12.5 million of the consideration was initially deferred to satisfy any necessary adjustments, including without limitation, indemnification claims related to general representations and warranties, any net working capital adjustments and deferred change in control bonuses. The Company paid $13.1 million for the deferred consideration in cash, inclusive of $0.6 million of accrued interest, during the six months ended June 30, 2026 upon the expiration of the 12-month holdback period, net of any amounts withheld to satisfy all unsatisfied or disputed claims for indemnification and net working capital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5. Long-term Debt</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July 2, 2021, we entered into an amended and restated credit and guaranty agreement (the “Revolving Facility”) providing for revolving borrowings of up to $150.0 million with an availability period of five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Under the Revolving Facility, we can use up to $20.0 million in letters of credit and up to $10.0 million in borrowings on same-day notice, referred to as swingline loans. On May 5, 2023, we entered into an amendment to the Revolving Facility to replace the LIBOR interest rate benchmark with the Secured Overnight Financing Rate (“SOFR”) benchmark, with a 0.10% credit spread adjustment to the SOFR benchmark (“Adjusted Term SOFR”) for all available interest periods, provided that if the Adjusted Term SOFR is less than zero, the Adjusted Term SOFR shall be deemed to be zero. Other than the foregoing, the remaining terms of the Revolving Facility remained unchanged.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14, 2025, we entered into a second amendment to the Revolving Facility (as amended, the “Amended Revolving Facility”), which reduced the revolving loan commitment from $150.0 million to $100.0 million and extended the maturity date from July 2, 2026 to July 14, 2030. The terms of available letters of credit and swingline loans remained unchanged. In addition, the Amended Revolving Facility added additional reductions to the existing interest rate margins and the commitment fee upon achieving a total net lien leverage ratio of 1.00 to 1.00 and also removes the 0.10% credit spread adjustment to the SOFR benchmark for all available interest periods. As a result of the Amended Revolving Facility, we incurred $0.8 million of incremental deferred issuance costs. Those costs were capitalized in other assets in the unaudited condensed consolidated balance sheets and are amortized straight-line over the term of Amended Revolving Facility. In connection with the Amended Revolving Facility, we performed an extinguishment versus modification assessment on a lender-by-lender basis resulting in the write-off of an insignificant amount of unamortized debt issuance costs under Revolving Facility.</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Borrowings under the Amended Revolving Facility bear interest at a rate per annum equal to either (a) the Term SOFR plus a margin ranging from 2.00% to 1.25% or (b) a margin ranging from 1.00% to 0.25% plus the highest of (i) the administrative agent’s prime rate, (ii) the Federal Funds rate plus 0.50% or (iii) one-month Term SOFR plus 1%. The interest rate margins under the Amended Revolving Facility are subject to a reduction of 0.25% upon achieving total net first lien leverage ratios of 3.50 to 1.00 and further reductions of 0.25% each upon achieving total net first lien leverage ratios of 2.50 to 1.00 and 1.00 to 1.00, respectively. We are required to pay a commitment fee in respect of unutilized commitments under the Amended Revolving Facility. The commitment fee is, initially, 0.35% per annum. The commitment fee is subject to a reduction of 0.10% if the total net first lien leverage ratio does not exceed 3.50 to 1.00 and an additional 0.05% reduction upon achieving a total first lien leverage ratio of 1.00 to 1.00. We are also required to pay customary letter of credit fees and agency fees. We have the option to voluntarily repay outstanding loans under the Amended Revolving Facility at any time without premium or penalty, other than customary “breakage” costs with respect to SOFR loans. There is no scheduled amortization under the Amended Revolving Facility. Any principal amount outstanding is due and payable in full at maturity on July 14, 2030. Obligations under the Amended Revolving Facility are guaranteed by our existing and future direct and indirect material wholly-owned domestic subsidiaries, subject to certain exceptions. The Amended Revolving Facility is secured by a first-priority security interest in substantially all of our assets,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requires compliance with a total net first lien leverage ratio not to exceed 4.50 to 1.00 (the “Financial Covenant”). The Financial Covenant will be tested at quarter-end only if the total principal amount of all revolving loans, swingline loans and drawn letters of credit that have not been reimbursed exceeds 35% of the total commitments under the Amended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June 30, 2026 and December 31, 2025, we had no amounts outstanding under our Amended Revolving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6.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 party service provider agreements provide that we will indemnify, hold harmless, and reimburse the indemnified parties on a case-by-case basis for losses suffered or incurred by the indemnified parties in connection with any claim by any third party as a result of our website, advertising, marketing, payment processing, collection or customer service activities. The maximum potential amount of future payments we could be required to make under these indemnification provisions is indeterminable.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7. Stockholders’ Equity</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stock repurchase program authorizing repurchases of our common stock with no fixed expiration. In February 2026, our board of directors approved a $100.0 million increase in our stock repurchase program, bringing the aggregate amount authorized to $415.0 million. Under this program, we are authorized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repurchase any particular amount of common stock and may be modified, suspended or terminated at any time at the discretion of our board of directors. Shares repurchased under our stock repurchase program are purchased for immediate retirement.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three months ended June 30, 2026, we repurchased a total of 7.3 million shares of our common stock through open market purchases and Rule 10b5-1 plans at an average per share price of $6.24 for a total repurchase of $45.5 million, including broker commissions. During the six months ended June 30, 2026, we repurchased a total of 12.6 million shares of our common stock through open market purchases and Rule 10b5-1 plans at an average per share price of $7.05 for a total repurchase of $89.0 million, including broker commissions. The repurchases were recorded as a reduction to stockholders’ equity in the unaudited condensed consolidated balance sheets. Approximately $80.4 million remained available for future repurchases of our common stock under the stock repurchase program as of June 30, 2026.</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Inflation Reduction Act of 2022, enacted in August 2022, imposed a 1% non-deductible excise tax on net repurchases of shares by domestic corporations whose stock is traded on an established securities market. Consequently, this excise tax is applicable to shares of stock repurchased pursuant to our stock repurchase program beginning in 2023 and represents a cost of the repurchases of our common stock. We have recognized an excise tax liability of $0.7 million as of June 30, 2026 because the fair market value of the stock repurchases exceeded the fair market value of the stock issuances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unaudited condensed consolidated statements of operations and balance sheets (in thousands):</w:t>
      </w:r>
    </w:p>
    <w:tbl>
      <w:tblPr>
        <w:tblW w:w="10205" w:type="dxa"/>
        <w:jc w:val="left"/>
        <w:tblInd w:w="0" w:type="dxa"/>
        <w:tblLayout w:type="fixed"/>
        <w:tblCellMar>
          <w:top w:w="28" w:type="dxa"/>
          <w:left w:w="28" w:type="dxa"/>
          <w:bottom w:w="28" w:type="dxa"/>
          <w:right w:w="28" w:type="dxa"/>
        </w:tblCellMar>
      </w:tblPr>
      <w:tblGrid>
        <w:gridCol w:w="1430"/>
        <w:gridCol w:w="947"/>
        <w:gridCol w:w="801"/>
        <w:gridCol w:w="111"/>
        <w:gridCol w:w="111"/>
        <w:gridCol w:w="111"/>
        <w:gridCol w:w="230"/>
        <w:gridCol w:w="844"/>
        <w:gridCol w:w="111"/>
        <w:gridCol w:w="111"/>
        <w:gridCol w:w="111"/>
        <w:gridCol w:w="111"/>
        <w:gridCol w:w="230"/>
        <w:gridCol w:w="844"/>
        <w:gridCol w:w="111"/>
        <w:gridCol w:w="109"/>
        <w:gridCol w:w="109"/>
        <w:gridCol w:w="109"/>
        <w:gridCol w:w="233"/>
        <w:gridCol w:w="855"/>
        <w:gridCol w:w="112"/>
        <w:gridCol w:w="112"/>
        <w:gridCol w:w="112"/>
        <w:gridCol w:w="112"/>
        <w:gridCol w:w="233"/>
        <w:gridCol w:w="855"/>
        <w:gridCol w:w="112"/>
        <w:gridCol w:w="109"/>
        <w:gridCol w:w="109"/>
        <w:gridCol w:w="109"/>
        <w:gridCol w:w="109"/>
        <w:gridCol w:w="109"/>
        <w:gridCol w:w="109"/>
        <w:gridCol w:w="109"/>
        <w:gridCol w:w="165"/>
      </w:tblGrid>
      <w:tr>
        <w:trPr/>
        <w:tc>
          <w:tcPr>
            <w:tcW w:w="143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5"/>
            <w:tcBorders/>
          </w:tcPr>
          <w:p>
            <w:pPr>
              <w:pStyle w:val="TableContents"/>
              <w:bidi w:val="0"/>
              <w:spacing w:before="0" w:after="283"/>
              <w:jc w:val="left"/>
              <w:rPr>
                <w:sz w:val="4"/>
                <w:szCs w:val="4"/>
              </w:rPr>
            </w:pPr>
            <w:r>
              <w:rPr>
                <w:sz w:val="4"/>
                <w:szCs w:val="4"/>
              </w:rPr>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14,612 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20,029 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40,734 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44,910 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60,394 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32,218 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47,480 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Restricted Stock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three and six months ended June 30, 2026, we granted 0.8 million and 10.7 million restricted stock units (“RSUs”), respectively, with a total grant date fair value of $4.7 million and $70.9 million, respectively, to various employees. RSUs are measured based on the fair market value of the underlying stock on the date of grant and recognized as expense over the requisite service period.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Performance Stock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three months ended March 31, 2026, we granted 3.6 million performance stock units (“2026 PSUs”) to members of the senior leadership team. During the three months ended June 30, 2026, we granted 1.7 million 2026 PSUs to a member of the senior leadership team. The 2026 PSUs granted during the six months ended June 30, 2026 consist of two performance components: revenue and total shareholder return (“TSR”). The number of shares ultimately issuable under each component of the 2026 PSUs is based on the Company’s achievement relative to certain performance targets, continuous employment over the requisite service period as well as certification of results by the compensation committee of the board of directors following each applicable performance period.</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revenue component of the 2026 PSUs represents 60% of the target award and achievement is measured based on the Company’s year-over-year revenue growth relative to pre-determined targets for three one-year performance periods ending on each of December 31, 2026, December 31, 2027, and December 31, 2028. Each annual performance period represents one-third of the awards that may be earned under the revenue component. The number of 2026 PSUs earned for each annual period may range from 0% to 300% of the number of awards allocated to each annual performance period. The grant-date fair value of the revenue component is based on the closing price of the Company’s common stock on the date of grant. Compensation expense for the revenue component is recognized over the requisite service period when achievement of the applicable performance condition is considered probable. The grant date fair value of the revenue component for grants issued during the three months ended March 31, 2026 and June 30, 2026 amounted to approximately $14.6 million and $6.0 million, respectively, both assuming achievement at 100% of target.</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TSR component represents 40% of the target award and achievement is measured based on the Company’s TSR percentile against a pre-determined peer set over two performance periods, each beginning January 1, 2026 and ending December 31, 2027 and December 31, 2028. Each performance period represents 50% of the awards that may be earned pursuant to the TSR component. The number of 2026 PSUs earned for each performance period may range from 0% to 400% of the number of awards allocated to each performance period. The grant-date fair value of the TSR component is estimated using a Monte Carlo simulation model as vesting depends on a market condition. Compensation expense for the TSR component is recognized over the longer of the requisite or derived service period regardless of whether the market condition is ultimately achieved. The Company estimated the weighted-average fair value of the TSR component for grants issued during the three months ended March 31, 2026 and June 30, 2026 to be approximately $17.9 million and $5.8 million, respectively. The assumptions to the Monte Carlo simulation used to calculate the grant date fair value of the TSR component is as follows:</w:t>
      </w:r>
    </w:p>
    <w:p>
      <w:pPr>
        <w:pStyle w:val="TextBody"/>
        <w:bidi w:val="0"/>
        <w:spacing w:before="0" w:after="0"/>
        <w:jc w:val="left"/>
        <w:rPr/>
      </w:pPr>
      <w:r>
        <w:rPr/>
      </w:r>
    </w:p>
    <w:tbl>
      <w:tblPr>
        <w:tblW w:w="595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676"/>
        <w:gridCol w:w="676"/>
        <w:gridCol w:w="1978"/>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Three Months Ended March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2026</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3.6 </w:t>
            </w:r>
          </w:p>
        </w:tc>
        <w:tc>
          <w:tcPr>
            <w:tcW w:w="1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54.2 </w:t>
            </w:r>
          </w:p>
        </w:tc>
        <w:tc>
          <w:tcPr>
            <w:tcW w:w="1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7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639"/>
        <w:gridCol w:w="639"/>
        <w:gridCol w:w="1871"/>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2026</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4.1 </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54.7 </w:t>
            </w:r>
          </w:p>
        </w:tc>
        <w:tc>
          <w:tcPr>
            <w:tcW w:w="1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recognized $3.2 million and $4.1 million in stock-based compensation expense during the three and six months ended June 30, 2026, respectively, related to the 2026 PSUs. In addition, we recognized $3.9 million and $13.4 million in stock-based compensation expense during the three months ended June 30, 2026 and 2025, respectively, and $9.3 million and $26.7 million in stock-based compensation expense during the six months ended June 30, 2026 and 2025, respectively, related to performance stock units (“PSUs”) with a market-based condition that were granted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Income Taxes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recorded a provision for income taxes of $7.0 million and $9.7 million for the three and six months ended June 30, 2026, respectively. We recorded a benefit for income taxes of $0.3 million and a provision of $5.2 million for the three and six months ended June 30, 2025, respectively. The effective tax rate for the three months ended June 30, 2026 and 2025 was 57% and 51%, respectively. The effective tax rate for the six months ended June 30, 2026 and 2025 was 61% and 52%, respectively. The difference from the federal statutory rate of 21% is primarily due to the recognition of significant non-deductible stock-based compensation and other discrete adjustments.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unrecognized tax benefits were $17.6 million and $16.8 million as of June 30, 2026 and December 31, 2025, respectively. The gross unrecognized tax benefits, if recognized by us, will result in a reduction of approximately $17.1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taxation and file income tax returns in the U.S. federal, state, and foreign jurisdictions. The federal income tax returns for the years 2022 and forward and state income tax returns for the tax years 2008 and forward remain open to examination. We are under examination for tax year 2023 and one state which are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Net Income (loss) Per Share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income (loss)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1593"/>
        <w:gridCol w:w="1158"/>
        <w:gridCol w:w="1109"/>
        <w:gridCol w:w="109"/>
        <w:gridCol w:w="109"/>
        <w:gridCol w:w="109"/>
        <w:gridCol w:w="259"/>
        <w:gridCol w:w="781"/>
        <w:gridCol w:w="120"/>
        <w:gridCol w:w="120"/>
        <w:gridCol w:w="120"/>
        <w:gridCol w:w="120"/>
        <w:gridCol w:w="302"/>
        <w:gridCol w:w="701"/>
        <w:gridCol w:w="120"/>
        <w:gridCol w:w="109"/>
        <w:gridCol w:w="109"/>
        <w:gridCol w:w="109"/>
        <w:gridCol w:w="248"/>
        <w:gridCol w:w="745"/>
        <w:gridCol w:w="114"/>
        <w:gridCol w:w="114"/>
        <w:gridCol w:w="114"/>
        <w:gridCol w:w="114"/>
        <w:gridCol w:w="248"/>
        <w:gridCol w:w="745"/>
        <w:gridCol w:w="114"/>
        <w:gridCol w:w="109"/>
        <w:gridCol w:w="109"/>
        <w:gridCol w:w="109"/>
        <w:gridCol w:w="165"/>
      </w:tblGrid>
      <w:tr>
        <w:trPr/>
        <w:tc>
          <w:tcPr>
            <w:tcW w:w="159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178,837 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RSU and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171,641 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177,627 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1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(loss) per share because they are anti-dilutive (in thousands):</w:t>
      </w:r>
    </w:p>
    <w:tbl>
      <w:tblPr>
        <w:tblW w:w="10205" w:type="dxa"/>
        <w:jc w:val="left"/>
        <w:tblInd w:w="0" w:type="dxa"/>
        <w:tblLayout w:type="fixed"/>
        <w:tblCellMar>
          <w:top w:w="28" w:type="dxa"/>
          <w:left w:w="28" w:type="dxa"/>
          <w:bottom w:w="28" w:type="dxa"/>
          <w:right w:w="28" w:type="dxa"/>
        </w:tblCellMar>
      </w:tblPr>
      <w:tblGrid>
        <w:gridCol w:w="1150"/>
        <w:gridCol w:w="1008"/>
        <w:gridCol w:w="1011"/>
        <w:gridCol w:w="246"/>
        <w:gridCol w:w="246"/>
        <w:gridCol w:w="246"/>
        <w:gridCol w:w="258"/>
        <w:gridCol w:w="258"/>
        <w:gridCol w:w="257"/>
        <w:gridCol w:w="246"/>
        <w:gridCol w:w="246"/>
        <w:gridCol w:w="246"/>
        <w:gridCol w:w="258"/>
        <w:gridCol w:w="258"/>
        <w:gridCol w:w="257"/>
        <w:gridCol w:w="109"/>
        <w:gridCol w:w="109"/>
        <w:gridCol w:w="109"/>
        <w:gridCol w:w="315"/>
        <w:gridCol w:w="315"/>
        <w:gridCol w:w="301"/>
        <w:gridCol w:w="299"/>
        <w:gridCol w:w="299"/>
        <w:gridCol w:w="299"/>
        <w:gridCol w:w="315"/>
        <w:gridCol w:w="315"/>
        <w:gridCol w:w="301"/>
        <w:gridCol w:w="109"/>
        <w:gridCol w:w="109"/>
        <w:gridCol w:w="109"/>
        <w:gridCol w:w="109"/>
        <w:gridCol w:w="109"/>
        <w:gridCol w:w="109"/>
        <w:gridCol w:w="109"/>
        <w:gridCol w:w="165"/>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6"/>
            <w:tcBorders/>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4,990</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4,990</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RSU and PSUs</w:t>
            </w:r>
            <w:r>
              <w:rPr>
                <w:rFonts w:ascii="Work Sans;sans-serif" w:hAnsi="Work Sans;sans-serif"/>
                <w:b w:val="false"/>
                <w:color w:val="000000"/>
                <w:sz w:val="12"/>
              </w:rPr>
              <w:t>(1)</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33,312</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24,314</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21,907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286</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38,449</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29,590</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br/>
        <w:t>(1) For the three and six months ended June 30, 2026, anti-dilutive PSUs include the 2026 PSUs reflected at 100% of target, as well as PSUs granted in July 2024 and November 2024 reflected at 200% and 275% of target, respectively. For the three and six months ended June 30, 2025, anti-dilutive PSUs include PSUs granted in July 2024 and November 2024 reflected at 200% and 325% of target, respectively; PSUs granted in April 2025 were reflected at 400% of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11. Fair Value Measurements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Level 1 — Quoted prices in active markets for identical assets and liabilities.</w:t>
      </w:r>
    </w:p>
    <w:p>
      <w:pPr>
        <w:pStyle w:val="TextBody"/>
        <w:bidi w:val="0"/>
        <w:spacing w:lineRule="auto" w:line="288" w:before="120" w:after="120"/>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pStyle w:val="TextBody"/>
        <w:bidi w:val="0"/>
        <w:spacing w:lineRule="auto" w:line="288" w:before="120" w:after="120"/>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3 — Unobservable inputs that are supported by little or no market activity and that are significant to the fair value of the assets or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June 30, 2026 and December 31, 2025, our financial assets recorded at fair value on a recurring basis consist of cash equivalents. The cash equivalents consist of money market funds valued using quoted prices in active markets, which represents Level 1 inputs in the fair value hierarchy.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5612" w:type="dxa"/>
        <w:jc w:val="left"/>
        <w:tblInd w:w="0" w:type="dxa"/>
        <w:tblLayout w:type="fixed"/>
        <w:tblCellMar>
          <w:top w:w="28" w:type="dxa"/>
          <w:left w:w="28" w:type="dxa"/>
          <w:bottom w:w="28" w:type="dxa"/>
          <w:right w:w="28" w:type="dxa"/>
        </w:tblCellMar>
      </w:tblPr>
      <w:tblGrid>
        <w:gridCol w:w="716"/>
        <w:gridCol w:w="631"/>
        <w:gridCol w:w="633"/>
        <w:gridCol w:w="226"/>
        <w:gridCol w:w="946"/>
        <w:gridCol w:w="109"/>
        <w:gridCol w:w="109"/>
        <w:gridCol w:w="109"/>
        <w:gridCol w:w="109"/>
        <w:gridCol w:w="251"/>
        <w:gridCol w:w="452"/>
        <w:gridCol w:w="123"/>
        <w:gridCol w:w="109"/>
        <w:gridCol w:w="109"/>
        <w:gridCol w:w="109"/>
        <w:gridCol w:w="250"/>
        <w:gridCol w:w="449"/>
        <w:gridCol w:w="172"/>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June 30,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tbl>
      <w:tblPr>
        <w:tblW w:w="5612" w:type="dxa"/>
        <w:jc w:val="left"/>
        <w:tblInd w:w="0" w:type="dxa"/>
        <w:tblLayout w:type="fixed"/>
        <w:tblCellMar>
          <w:top w:w="28" w:type="dxa"/>
          <w:left w:w="28" w:type="dxa"/>
          <w:bottom w:w="28" w:type="dxa"/>
          <w:right w:w="28" w:type="dxa"/>
        </w:tblCellMar>
      </w:tblPr>
      <w:tblGrid>
        <w:gridCol w:w="716"/>
        <w:gridCol w:w="631"/>
        <w:gridCol w:w="633"/>
        <w:gridCol w:w="226"/>
        <w:gridCol w:w="946"/>
        <w:gridCol w:w="109"/>
        <w:gridCol w:w="109"/>
        <w:gridCol w:w="109"/>
        <w:gridCol w:w="109"/>
        <w:gridCol w:w="251"/>
        <w:gridCol w:w="452"/>
        <w:gridCol w:w="123"/>
        <w:gridCol w:w="109"/>
        <w:gridCol w:w="109"/>
        <w:gridCol w:w="109"/>
        <w:gridCol w:w="250"/>
        <w:gridCol w:w="449"/>
        <w:gridCol w:w="172"/>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As of December 31,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180,778 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12. Segment Information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Our Chief Executive Officer, as the CODM, organizes our company, manages resource allocations, and measures performance on the basis of one operating segment on a consolidated basis. The accounting policies of our operating segment are the same as those described in Note 2, </w:t>
      </w:r>
      <w:r>
        <w:rPr>
          <w:rFonts w:ascii="Work Sans;sans-serif" w:hAnsi="Work Sans;sans-serif"/>
          <w:b w:val="false"/>
          <w:i/>
          <w:color w:val="000000"/>
          <w:sz w:val="18"/>
        </w:rPr>
        <w:t>Summary of Significant Accounting Policies</w:t>
      </w:r>
      <w:r>
        <w:rPr>
          <w:rFonts w:ascii="Work Sans;sans-serif" w:hAnsi="Work Sans;sans-serif"/>
          <w:b w:val="false"/>
          <w:color w:val="000000"/>
          <w:sz w:val="18"/>
        </w:rPr>
        <w:t xml:space="preserve">. The CODM assesses performance for the segment and decides how to allocate resources based on net income that also is reported on the accompanying unaudited condensed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operations as consolidated net income. The measure of segment assets is reported on the unaudited condensed consolidated balance sheets as total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CODM uses net income (loss) to evaluate income generated from segment assets in making key operating and segment resource allocation decisions, such as investments in new product development. Net income (loss) is also used to monitor budget versus actual results.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Our one reportable segment provides an online platform for business formation in the U.S. and, as described in Note 2, </w:t>
      </w:r>
      <w:r>
        <w:rPr>
          <w:rFonts w:ascii="Work Sans;sans-serif" w:hAnsi="Work Sans;sans-serif"/>
          <w:b w:val="false"/>
          <w:i/>
          <w:color w:val="000000"/>
          <w:sz w:val="18"/>
        </w:rPr>
        <w:t>Summary of Significant Accounting Policies,</w:t>
      </w:r>
      <w:r>
        <w:rPr>
          <w:color w:val="000000"/>
        </w:rPr>
        <w:t xml:space="preserve"> </w:t>
      </w:r>
      <w:r>
        <w:rPr>
          <w:rFonts w:ascii="Work Sans;sans-serif" w:hAnsi="Work Sans;sans-serif"/>
          <w:b w:val="false"/>
          <w:color w:val="000000"/>
          <w:sz w:val="18"/>
        </w:rPr>
        <w:t>generates revenue from customized legal document services and subscriptions offered to our customers. Revenue outside of the U.S., based on the location of the customer, represented less than 1% of our revenue for the three and six months ended June 30, 2026 and 2025. Long-lived tangible assets located outside the U.S. represented approximately 11.1% of total long-lived tangible assets as of June 30, 2026. Long-lived tangible assets located outside the U.S. were immaterial as of December 31,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financial information by reportable segment regularly provided to the CODM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7"/>
        <w:gridCol w:w="1121"/>
        <w:gridCol w:w="1123"/>
        <w:gridCol w:w="235"/>
        <w:gridCol w:w="862"/>
        <w:gridCol w:w="113"/>
        <w:gridCol w:w="113"/>
        <w:gridCol w:w="113"/>
        <w:gridCol w:w="113"/>
        <w:gridCol w:w="235"/>
        <w:gridCol w:w="862"/>
        <w:gridCol w:w="113"/>
        <w:gridCol w:w="109"/>
        <w:gridCol w:w="109"/>
        <w:gridCol w:w="109"/>
        <w:gridCol w:w="226"/>
        <w:gridCol w:w="946"/>
        <w:gridCol w:w="109"/>
        <w:gridCol w:w="109"/>
        <w:gridCol w:w="109"/>
        <w:gridCol w:w="109"/>
        <w:gridCol w:w="226"/>
        <w:gridCol w:w="946"/>
        <w:gridCol w:w="109"/>
        <w:gridCol w:w="109"/>
        <w:gridCol w:w="109"/>
        <w:gridCol w:w="109"/>
        <w:gridCol w:w="162"/>
      </w:tblGrid>
      <w:tr>
        <w:trPr/>
        <w:tc>
          <w:tcPr>
            <w:tcW w:w="149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Transaction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72,611 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Subscription revenue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133,399 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Filings fees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26,505 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27,319 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cost of revenue, excluding depreciation, amortization and stock-based compensation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33,288 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Customer acquisition marketing</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52,639 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46,713 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sales and marketing, excluding depreciation, amortization and stock-based compensation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 excluding depreciation, amortization and stock-based compensation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 excluding depreciation, amortization, stock-based compensation, and restructuring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Restructuring</w:t>
            </w:r>
            <w:r>
              <w:rPr>
                <w:rFonts w:ascii="Work Sans;sans-serif" w:hAnsi="Work Sans;sans-serif"/>
                <w:b w:val="false"/>
                <w:color w:val="000000"/>
                <w:sz w:val="12"/>
              </w:rPr>
              <w:t>(1)</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Other segment items</w:t>
            </w:r>
            <w:r>
              <w:rPr>
                <w:rFonts w:ascii="Work Sans;sans-serif" w:hAnsi="Work Sans;sans-serif"/>
                <w:b w:val="false"/>
                <w:color w:val="000000"/>
                <w:sz w:val="12"/>
              </w:rPr>
              <w:t>(2)</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Segment net income (loss)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Reconciliation of profit or loss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Adjustments and reconciling items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Consolidated net income (loss)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rFonts w:ascii="Work Sans;sans-serif" w:hAnsi="Work Sans;sans-serif"/>
          <w:b w:val="false"/>
          <w:color w:val="000000"/>
          <w:sz w:val="16"/>
        </w:rPr>
        <w:t xml:space="preserve">(1) </w:t>
      </w:r>
      <w:r>
        <w:rPr>
          <w:rFonts w:ascii="Work Sans;sans-serif" w:hAnsi="Work Sans;sans-serif"/>
          <w:b w:val="false"/>
          <w:color w:val="000000"/>
          <w:sz w:val="18"/>
        </w:rPr>
        <w:t>For 2026 and 2025, restructuring costs related to the reduction of our global headcount.</w:t>
      </w:r>
    </w:p>
    <w:p>
      <w:pPr>
        <w:pStyle w:val="TextBody"/>
        <w:bidi w:val="0"/>
        <w:spacing w:lineRule="auto" w:line="288" w:before="0" w:after="0"/>
        <w:jc w:val="left"/>
        <w:rPr/>
      </w:pPr>
      <w:r>
        <w:rPr>
          <w:rFonts w:ascii="Work Sans;sans-serif" w:hAnsi="Work Sans;sans-serif"/>
          <w:b w:val="false"/>
          <w:color w:val="000000"/>
          <w:sz w:val="16"/>
        </w:rPr>
        <w:t xml:space="preserve">(2) </w:t>
      </w:r>
      <w:r>
        <w:rPr>
          <w:rFonts w:ascii="Work Sans;sans-serif" w:hAnsi="Work Sans;sans-serif"/>
          <w:b w:val="false"/>
          <w:color w:val="000000"/>
          <w:sz w:val="18"/>
        </w:rPr>
        <w:t>Other segment items included in segment net income primarily consist of foreign currency gains or losses related to our intercompany loans which were denominated in British Pound Sterling and included in other (expense) income, net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13. Subsequent Event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August 2026, management approved a restructuring plan as a part of the Company’s ongoing organizational evolution towards becoming a more agile, AI-native company with a simpler operating structure. As a result of this restructuring plan, we expect to incur approximately $6.0 million in restructuring and related costs, consisting primarily of one-time severance and employee termination benefit costs. We expect to recognize substantially all of the costs during the third quarter of 2026 and we expect the plan to be complete by the year ending December 31, 2026. Restructuring and related costs associated with the restructuring plan are subject to assumptions and the actual costs incurred may differ from our estimates.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Management's Discussion and Analysis of Financial Condition and Results of Operations</w:t>
      </w:r>
    </w:p>
    <w:p>
      <w:pPr>
        <w:pStyle w:val="TextBody"/>
        <w:bidi w:val="0"/>
        <w:spacing w:lineRule="auto" w:line="288" w:before="24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2025 Annual Report on Form 10-K filed with the Securities and Exchange Commission (the “SEC”) on February 23, 2026 and our other filings with the SEC.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Our ongoing business management services include virtual mail, legal forms, bookkeeping and estate planning services, among others. We operate across all 50 states and in over 3,000 counties in the U.S. With over two decades of experience and millions of customers served, LegalZoom helps individuals and small businesses navigate legal needs with confidence.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Developments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 August 2026, we committed to a restructuring plan that will reduce the size of our workforce by approximately 13%. This restructuring plan was made as part of our ongoing organizational evolution towards becoming a more agile, AI-native company with a simpler operating structure. We expect to incur approximately $6.0 million in restructuring charges and related costs, which consist primarily of severance and termination benefits offered to the impacted employees. We expect substantially all of these charges to be cash expenditures and we expect to incur substantially all of these charges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Our share of small and medium-sized businesses (SMBs)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Business formations act as an entrance point for many customers to the LegalZoom ecosystem, where they then often purchase a mix of transaction and subscription offerings alongside and after the initial formation transaction. However, changes that Google is making, including changes in search algorithms and the prioritization of AI-generated summaries within the search experience, as well as the ways in which Google chooses to enforce its policy regarding the advertisement of federal filings, are reshaping how potential customers find and engage with LegalZoom. We have seen these changes result in a reduction in organic traffic and a higher emphasis on paid search, and we expect these customer acquisition dynamics to continue to evolve. In response, we are continuing to optimize our go-to-market and customer acquisition strategy, including by diversifying our marketing investments across media channels and increasing our level of brand marketing, which may result in an increase in our marketing costs. We are also expanding beyond traditional search through strategic partnerships and collaborations, including with AI platforms and other emerging channels. Over time, we expect partnership-driven and AI-platform channels to represent a greater share of customer acquisition, and we are investing accordingly. As a result, our operating results depend on the continuation of new business formations in the U.S. and even more so, on our ability to attract new and existing businesses to our platform via various acquisition channels.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enhance customer lifetime value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Our future performance depends on our ability to integrate new products and services into our LegalZoom ecosystem and to increase recurring revenue through subscription offerings. We are continuing to optimize our subscription business, including by testing various commercialization and pricing strategies for our offerings and introducing new, higher value, full-service do-it-for-me (“DIFM”) subscription offerings, including our business manager (formerly concierge) suite of offerings. As a result, we have experienced and we expect to continue to experience increased volatility across our key business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integrate augmented legal expertise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We believe that the future of legal and small business services involves a combination of scaling AI while strategically integrating our human-in-the-loop offerings to provide the judgment and trust that customers need. These offerings have two layers: experts (which includes our business managers and our independent network of attorneys) and service (which includes our virtual mail and registered agent providers). The extent to which we are able to combine AI with our human expertise in order to increase the consumption of our higher-value offerings will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unaudited condensed consolidated financial statements, we regularly monitor the financial and operating metrics below to evaluate the growth of our business, measure the effectiveness of our marketing efforts, identify trends, formulate financial forecasts and make strategic decisions. Except with respect to annual small business retention rate, Formation Nation, Inc. (“Formation Nation”) has been included in the key business metrics below starting on February 10, 2025, the date we acquired Formation Nation.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(“LLC”), incorporation, not-for-profit and doing business as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three and six months ended June 30, 2026 and 2025:</w:t>
      </w:r>
    </w:p>
    <w:tbl>
      <w:tblPr>
        <w:tblW w:w="10015" w:type="dxa"/>
        <w:jc w:val="left"/>
        <w:tblInd w:w="0" w:type="dxa"/>
        <w:tblLayout w:type="fixed"/>
        <w:tblCellMar>
          <w:top w:w="28" w:type="dxa"/>
          <w:left w:w="28" w:type="dxa"/>
          <w:bottom w:w="28" w:type="dxa"/>
          <w:right w:w="28" w:type="dxa"/>
        </w:tblCellMar>
      </w:tblPr>
      <w:tblGrid>
        <w:gridCol w:w="1063"/>
        <w:gridCol w:w="937"/>
        <w:gridCol w:w="940"/>
        <w:gridCol w:w="109"/>
        <w:gridCol w:w="109"/>
        <w:gridCol w:w="109"/>
        <w:gridCol w:w="345"/>
        <w:gridCol w:w="345"/>
        <w:gridCol w:w="345"/>
        <w:gridCol w:w="345"/>
        <w:gridCol w:w="345"/>
        <w:gridCol w:w="345"/>
        <w:gridCol w:w="345"/>
        <w:gridCol w:w="345"/>
        <w:gridCol w:w="345"/>
        <w:gridCol w:w="109"/>
        <w:gridCol w:w="109"/>
        <w:gridCol w:w="109"/>
        <w:gridCol w:w="315"/>
        <w:gridCol w:w="315"/>
        <w:gridCol w:w="315"/>
        <w:gridCol w:w="315"/>
        <w:gridCol w:w="315"/>
        <w:gridCol w:w="315"/>
        <w:gridCol w:w="315"/>
        <w:gridCol w:w="315"/>
        <w:gridCol w:w="315"/>
        <w:gridCol w:w="109"/>
        <w:gridCol w:w="109"/>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During the three months ended </w:t>
      </w:r>
      <w:r>
        <w:rPr>
          <w:rFonts w:ascii="Work Sans;sans-serif" w:hAnsi="Work Sans;sans-serif"/>
          <w:b w:val="false"/>
          <w:color w:val="000000"/>
          <w:sz w:val="18"/>
          <w:shd w:fill="FFFFFF" w:val="clear"/>
        </w:rPr>
        <w:t>June 30, 2026, we experienced a</w:t>
      </w:r>
      <w:r>
        <w:rPr>
          <w:color w:val="000000"/>
        </w:rPr>
        <w:t xml:space="preserve"> </w:t>
      </w:r>
      <w:r>
        <w:rPr>
          <w:rFonts w:ascii="Work Sans;sans-serif" w:hAnsi="Work Sans;sans-serif"/>
          <w:b w:val="false"/>
          <w:color w:val="000000"/>
          <w:sz w:val="18"/>
        </w:rPr>
        <w:t>5% decrease in business formation transactions compared to the three</w:t>
      </w:r>
      <w:r>
        <w:rPr>
          <w:color w:val="000000"/>
          <w:shd w:fill="FFFFFF" w:val="clear"/>
        </w:rPr>
        <w:t xml:space="preserve"> </w:t>
      </w:r>
      <w:r>
        <w:rPr>
          <w:rFonts w:ascii="Work Sans;sans-serif" w:hAnsi="Work Sans;sans-serif"/>
          <w:b w:val="false"/>
          <w:color w:val="000000"/>
          <w:sz w:val="18"/>
          <w:shd w:fill="FFFFFF" w:val="clear"/>
        </w:rPr>
        <w:t>months ended June 30, 2025 primarily due to the impact of changing customer acquisition dynamics partially offset by an increase in business formations driven by strategic partnerships.</w:t>
      </w:r>
    </w:p>
    <w:p>
      <w:pPr>
        <w:pStyle w:val="TextBody"/>
        <w:bidi w:val="0"/>
        <w:spacing w:lineRule="auto" w:line="288" w:before="0" w:after="0"/>
        <w:ind w:left="0" w:right="0" w:firstLine="450"/>
        <w:jc w:val="left"/>
        <w:rPr/>
      </w:pPr>
      <w:r>
        <w:rPr>
          <w:rFonts w:ascii="Work Sans;sans-serif" w:hAnsi="Work Sans;sans-serif"/>
          <w:b w:val="false"/>
          <w:color w:val="000000"/>
          <w:sz w:val="18"/>
        </w:rPr>
        <w:t xml:space="preserve">During the six months ended </w:t>
      </w:r>
      <w:r>
        <w:rPr>
          <w:rFonts w:ascii="Work Sans;sans-serif" w:hAnsi="Work Sans;sans-serif"/>
          <w:b w:val="false"/>
          <w:color w:val="000000"/>
          <w:sz w:val="18"/>
          <w:shd w:fill="FFFFFF" w:val="clear"/>
        </w:rPr>
        <w:t>June 30, 2026</w:t>
      </w:r>
      <w:r>
        <w:rPr>
          <w:rFonts w:ascii="Work Sans;sans-serif" w:hAnsi="Work Sans;sans-serif"/>
          <w:b w:val="false"/>
          <w:color w:val="000000"/>
          <w:sz w:val="18"/>
        </w:rPr>
        <w:t xml:space="preserve">, we experienced a 2% increase in business formation transactions compared to the six months ended </w:t>
      </w:r>
      <w:r>
        <w:rPr>
          <w:rFonts w:ascii="Work Sans;sans-serif" w:hAnsi="Work Sans;sans-serif"/>
          <w:b w:val="false"/>
          <w:color w:val="000000"/>
          <w:sz w:val="18"/>
          <w:shd w:fill="FFFFFF" w:val="clear"/>
        </w:rPr>
        <w:t>June 30, 2025</w:t>
      </w:r>
      <w:r>
        <w:rPr>
          <w:color w:val="000000"/>
        </w:rPr>
        <w:t xml:space="preserve"> </w:t>
      </w:r>
      <w:r>
        <w:rPr>
          <w:rFonts w:ascii="Work Sans;sans-serif" w:hAnsi="Work Sans;sans-serif"/>
          <w:b w:val="false"/>
          <w:color w:val="000000"/>
          <w:sz w:val="18"/>
        </w:rPr>
        <w:t>primarily due to the inclusion of a full six months of business formations from Formation Nation, which we acquired on February 10, 2025, and an increase in business formations driven by strategic partnerships, partially offset by the impact of changing customer acquisition dynamics.</w:t>
      </w:r>
    </w:p>
    <w:p>
      <w:pPr>
        <w:pStyle w:val="TextBody"/>
        <w:bidi w:val="0"/>
        <w:spacing w:lineRule="auto" w:line="288" w:before="240" w:after="120"/>
        <w:jc w:val="left"/>
        <w:rPr>
          <w:rFonts w:ascii="Work Sans;sans-serif" w:hAnsi="Work Sans;sans-serif"/>
          <w:b/>
          <w:i/>
          <w:color w:val="000000"/>
          <w:sz w:val="18"/>
          <w:shd w:fill="FFFFFF" w:val="clear"/>
        </w:rPr>
      </w:pPr>
      <w:r>
        <w:rPr>
          <w:rFonts w:ascii="Work Sans;sans-serif" w:hAnsi="Work Sans;sans-serif"/>
          <w:b/>
          <w:i/>
          <w:color w:val="000000"/>
          <w:sz w:val="18"/>
          <w:shd w:fill="FFFFFF" w:val="clear"/>
        </w:rPr>
        <w:t>Number of transactions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considering that our customers generally begin their LegalZoom journey with a transaction, creating the foundation for generating subsequent subscription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three and six months ended June 30, 2026 and 2025:</w:t>
      </w:r>
    </w:p>
    <w:tbl>
      <w:tblPr>
        <w:tblW w:w="9325"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345"/>
        <w:gridCol w:w="345"/>
        <w:gridCol w:w="345"/>
        <w:gridCol w:w="345"/>
        <w:gridCol w:w="345"/>
        <w:gridCol w:w="345"/>
        <w:gridCol w:w="345"/>
        <w:gridCol w:w="345"/>
        <w:gridCol w:w="345"/>
        <w:gridCol w:w="109"/>
        <w:gridCol w:w="109"/>
        <w:gridCol w:w="109"/>
        <w:gridCol w:w="315"/>
        <w:gridCol w:w="315"/>
        <w:gridCol w:w="315"/>
        <w:gridCol w:w="315"/>
        <w:gridCol w:w="315"/>
        <w:gridCol w:w="315"/>
        <w:gridCol w:w="315"/>
        <w:gridCol w:w="315"/>
        <w:gridCol w:w="315"/>
        <w:gridCol w:w="109"/>
        <w:gridCol w:w="109"/>
        <w:gridCol w:w="109"/>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656 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 1% increase in the number of transactions during the three months ended June 30, 2026 compared to the three months ended June 30, 2025, primarily due to an increase in Annual Report filings within our compliance offerings as a result of filing automation, partially offset by the decrease in business formations.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 6% increase in the number of transactions during the six months ended June 30, 2026 compared to the six months ended June 30, 2025 primarily due to an increase in Annual Report filings within our compliance offerings as a result of filing automation and an increase in business formations, partially offset by a decrease in beneficial ownership information report filings following a Financial Crimes Enforcement Network (“FinCEN”) ruling on March 21, 2025 that eliminated this filing requirement for U.S. companies.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three and six months ended June 30, 2026 and 2025:</w:t>
      </w:r>
    </w:p>
    <w:tbl>
      <w:tblPr>
        <w:tblW w:w="9003"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342"/>
        <w:gridCol w:w="797"/>
        <w:gridCol w:w="165"/>
        <w:gridCol w:w="165"/>
        <w:gridCol w:w="165"/>
        <w:gridCol w:w="165"/>
        <w:gridCol w:w="342"/>
        <w:gridCol w:w="797"/>
        <w:gridCol w:w="165"/>
        <w:gridCol w:w="109"/>
        <w:gridCol w:w="109"/>
        <w:gridCol w:w="109"/>
        <w:gridCol w:w="312"/>
        <w:gridCol w:w="728"/>
        <w:gridCol w:w="150"/>
        <w:gridCol w:w="150"/>
        <w:gridCol w:w="150"/>
        <w:gridCol w:w="150"/>
        <w:gridCol w:w="312"/>
        <w:gridCol w:w="728"/>
        <w:gridCol w:w="150"/>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Average order value decreased 2% for the three months ended June 30, 2026 compared to the three months ended June 30, 2025 primarily due to changes in the products comprising our bundled small business offerings, which resulted in an increased allocation of order value shifting to subscription products. This decrease was partially offset by an increase in higher value consumer and IP-related offerings.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Average order value increased 1% for the six months ended June 30, 2026 compared to the six months ended June 30, 2025 primarily driven by an increase in higher value consumer and IP-related offerings. This increase was partially offset by changes in the products comprising our bundled small business offerings, which resulted in an increased allocation of order value shifting to subscription products.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continue to innovate our product line-up, including by testing varying price points for our products and evaluating our commercialization strategy, we believe the number of subscription units, when viewed together with the number of business formations during a particular period, provides insight into the effectiveness of our efforts to drive growth in our subscription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Subscriptions typically range from 30 days to one year in duration and the vast majority of our new subscriptions originate from business formation orders and have an annual term. Our customers can have multiple subscriptions at the end of a period.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June 30, 2026 and 2025:</w:t>
      </w:r>
    </w:p>
    <w:tbl>
      <w:tblPr>
        <w:tblW w:w="5444" w:type="dxa"/>
        <w:jc w:val="left"/>
        <w:tblInd w:w="0" w:type="dxa"/>
        <w:tblLayout w:type="fixed"/>
        <w:tblCellMar>
          <w:top w:w="28" w:type="dxa"/>
          <w:left w:w="28" w:type="dxa"/>
          <w:bottom w:w="28" w:type="dxa"/>
          <w:right w:w="28" w:type="dxa"/>
        </w:tblCellMar>
      </w:tblPr>
      <w:tblGrid>
        <w:gridCol w:w="1000"/>
        <w:gridCol w:w="877"/>
        <w:gridCol w:w="883"/>
        <w:gridCol w:w="109"/>
        <w:gridCol w:w="109"/>
        <w:gridCol w:w="109"/>
        <w:gridCol w:w="353"/>
        <w:gridCol w:w="353"/>
        <w:gridCol w:w="196"/>
        <w:gridCol w:w="162"/>
        <w:gridCol w:w="162"/>
        <w:gridCol w:w="162"/>
        <w:gridCol w:w="353"/>
        <w:gridCol w:w="353"/>
        <w:gridCol w:w="263"/>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3% decrease in subscription units from June 30, 2025 to June 30, 2026 due to a decrease in forms and eSignature subscriptions as well as accounting solutions and a decrease in registered agent subscriptions, partially offset by an increase in legal advisory subscriptions from the bundling of this subscription into certain business formation offerings, as well as increases in compliance subscriptions and virtual mail subscriptions.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a sequential basis, the number of subscription units decreased 1% as of June 30, 2026 compared to March 31, 2026.</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240" w:after="120"/>
        <w:ind w:left="0" w:right="0" w:firstLine="450"/>
        <w:jc w:val="left"/>
        <w:rPr/>
      </w:pPr>
      <w:r>
        <w:rPr>
          <w:rFonts w:ascii="Work Sans;sans-serif" w:hAnsi="Work Sans;sans-serif"/>
          <w:b w:val="false"/>
          <w:color w:val="000000"/>
          <w:sz w:val="18"/>
        </w:rPr>
        <w:t>We define average revenue per subscription unit (“ARPU”) as of a given date as subscription revenue for the twelve-month period ended on such date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Work Sans;sans-serif" w:hAnsi="Work Sans;sans-serif"/>
          <w:b w:val="false"/>
          <w:color w:val="000000"/>
          <w:sz w:val="22"/>
        </w:rPr>
        <w:t xml:space="preserve">.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June 30, 2026 and 2025:</w:t>
      </w:r>
    </w:p>
    <w:tbl>
      <w:tblPr>
        <w:tblW w:w="5693" w:type="dxa"/>
        <w:jc w:val="left"/>
        <w:tblInd w:w="0" w:type="dxa"/>
        <w:tblLayout w:type="fixed"/>
        <w:tblCellMar>
          <w:top w:w="28" w:type="dxa"/>
          <w:left w:w="28" w:type="dxa"/>
          <w:bottom w:w="28" w:type="dxa"/>
          <w:right w:w="28" w:type="dxa"/>
        </w:tblCellMar>
      </w:tblPr>
      <w:tblGrid>
        <w:gridCol w:w="1304"/>
        <w:gridCol w:w="1144"/>
        <w:gridCol w:w="1151"/>
        <w:gridCol w:w="226"/>
        <w:gridCol w:w="526"/>
        <w:gridCol w:w="109"/>
        <w:gridCol w:w="109"/>
        <w:gridCol w:w="109"/>
        <w:gridCol w:w="109"/>
        <w:gridCol w:w="226"/>
        <w:gridCol w:w="52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June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ARPU increased 5% as of June 30, 2026 compared to June 30, 2025 benefiting from pricing initiatives on our registered agent subscriptions, partially offset by a shift in mix towards our lower priced subscription offerings, including forms and eSignature and accounting solutions, due to the bundling of these products into certain business formation offerings.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ARPU as of June 30, 2026 increased 3% compared to March 31, 2026.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our tax solution, our virtual mail, forms and eSignature solutions and our small business legal advisory plan, and exclude subscriptions from our enterprise customers, our prior operations in the U.K., Formation Nation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June 30, 2026 was approximately 57% which was impacted by lower retaining subscriptions bundled into our formation offerings.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generate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We also earn fees from third-party providers in connection with lead generation activities, where referred customers purchased services that are transactional in nature.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bundled free trials for our subscription services and is net of promotional discounts, cancellations, sales allowances and credit reserves and payments to third party service providers such as legal plan law firms.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unaudited condensed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color w:val="000000"/>
          <w:sz w:val="18"/>
        </w:rPr>
        <w:t>See the section titled “</w:t>
      </w:r>
      <w:r>
        <w:rPr>
          <w:rFonts w:ascii="Work Sans;sans-serif" w:hAnsi="Work Sans;sans-serif"/>
          <w:b w:val="false"/>
          <w:i/>
          <w:color w:val="000000"/>
          <w:sz w:val="18"/>
        </w:rPr>
        <w:t>Management’s Discussion and Analysis of Financial Condition and Results of Operations—Critical Accounting Estimates—Revenue Recognition</w:t>
      </w:r>
      <w:r>
        <w:rPr>
          <w:color w:val="000000"/>
        </w:rPr>
        <w:t xml:space="preserve">” </w:t>
      </w:r>
      <w:r>
        <w:rPr>
          <w:rFonts w:ascii="Work Sans;sans-serif" w:hAnsi="Work Sans;sans-serif"/>
          <w:b w:val="false"/>
          <w:color w:val="000000"/>
          <w:sz w:val="18"/>
        </w:rPr>
        <w:t>in our 2025 Annual Report on Form 10-K for a description of the accounting policies related to revenue recognition, including arrangements that contain multiple deliverables.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or revenue less cost of revenue, and gross margin, or gross profit as a percentage of revenue, have been and will continue to be affected by various factors, primarily the mix between transaction and subscription revenue. Our gross margin expansion is also expected to be driven by automation improvements and digitization efforts. Further, our acquisitions of other companies have negatively impacted our gross margin in the past, and any such future acquisitions could have a similar effect. Our gross margin could fluctuate from period to period due to fulfillment rates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gain on sale of assets held for sale.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search engine marketing, television and social media costs. Marketing and advertising costs to promote our services are expensed in the period incurred. Media production costs are expensed the first time the advertisement is 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Customer acquisition media spend has historically been highest in the first quarter of the year to align with business formation seasonality. We expect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technology and development expenses to decrease as a percentage of our revenue as we continue to invest in process efficiency initiatives, which includes the use of AI,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expect our general and administrative expenses to decrease as a percentage of our revenue over the longer term. However, our general and administrative expenses may fluctuate as a percentage of our revenue from period-to-period due to the timing and extent of the foregoing expenses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Gain on sale of assets held for sale</w:t>
      </w:r>
    </w:p>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Gain on sale of assets held for sale </w:t>
      </w:r>
      <w:r>
        <w:rPr>
          <w:rFonts w:ascii="Work Sans;sans-serif" w:hAnsi="Work Sans;sans-serif"/>
          <w:b w:val="false"/>
          <w:color w:val="000000"/>
          <w:sz w:val="18"/>
          <w:shd w:fill="FFFFFF" w:val="clear"/>
        </w:rPr>
        <w:t xml:space="preserve">relates to the sale of our operational headquarters on </w:t>
      </w:r>
      <w:r>
        <w:rPr>
          <w:rFonts w:ascii="Work Sans;sans-serif" w:hAnsi="Work Sans;sans-serif"/>
          <w:b w:val="false"/>
          <w:color w:val="000000"/>
          <w:sz w:val="18"/>
        </w:rPr>
        <w:t>March 31, 2025.</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Interest expense consists primarily of amortization of debt issuance costs related to our amended and restated credit and guaranty agreement (as amended, the “Amended Revolving Facility”) as well as interest incurred on the deferred cash consideration associated with the acquisition of Formation Nation.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expense to remain insignificant in the near term as we have no outstanding indebtedness. However, we would incur interest expense in the longer term should we borrow on our Amended Revolving Facility or incur other indebtedness.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income consists primarily of interest income generated from our investment in money market funds.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Other (expense) income, net consists of realized and unrealized foreign currency gains and losses.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(benefit from) income taxes consists of current and deferred federal, state and foreign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account for income taxes in accordance with Accounting Standard Codification 740, </w:t>
      </w:r>
      <w:r>
        <w:rPr>
          <w:rFonts w:ascii="Work Sans;sans-serif" w:hAnsi="Work Sans;sans-serif"/>
          <w:b w:val="false"/>
          <w:i/>
          <w:color w:val="000000"/>
          <w:sz w:val="18"/>
        </w:rPr>
        <w:t>Income Ta</w:t>
      </w:r>
      <w:r>
        <w:rPr>
          <w:rFonts w:ascii="Work Sans;sans-serif" w:hAnsi="Work Sans;sans-serif"/>
          <w:b w:val="false"/>
          <w:color w:val="000000"/>
          <w:sz w:val="18"/>
        </w:rPr>
        <w:t xml:space="preserve">xes, which requires an estimate of the annual effective tax rate for the full year to be applied to the interim period, taking into account year-to-date amounts and projected results for the full year. Our effective tax rate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our unaudited condensed consolidated statement of operations data for each of the periods indicated. The period-to-period comparison of financial results should not be considered as a prediction or indicative of our future results:</w:t>
      </w:r>
    </w:p>
    <w:tbl>
      <w:tblPr>
        <w:tblW w:w="10205" w:type="dxa"/>
        <w:jc w:val="left"/>
        <w:tblInd w:w="0" w:type="dxa"/>
        <w:tblLayout w:type="fixed"/>
        <w:tblCellMar>
          <w:top w:w="28" w:type="dxa"/>
          <w:left w:w="28" w:type="dxa"/>
          <w:bottom w:w="28" w:type="dxa"/>
          <w:right w:w="28" w:type="dxa"/>
        </w:tblCellMar>
      </w:tblPr>
      <w:tblGrid>
        <w:gridCol w:w="1278"/>
        <w:gridCol w:w="1004"/>
        <w:gridCol w:w="10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155"/>
      </w:tblGrid>
      <w:tr>
        <w:trPr/>
        <w:tc>
          <w:tcPr>
            <w:tcW w:w="127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482" w:type="dxa"/>
            <w:gridSpan w:val="4"/>
            <w:tcBorders/>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313"/>
        <w:gridCol w:w="1097"/>
        <w:gridCol w:w="1099"/>
        <w:gridCol w:w="112"/>
        <w:gridCol w:w="112"/>
        <w:gridCol w:w="112"/>
        <w:gridCol w:w="233"/>
        <w:gridCol w:w="857"/>
        <w:gridCol w:w="112"/>
        <w:gridCol w:w="112"/>
        <w:gridCol w:w="112"/>
        <w:gridCol w:w="112"/>
        <w:gridCol w:w="233"/>
        <w:gridCol w:w="857"/>
        <w:gridCol w:w="112"/>
        <w:gridCol w:w="109"/>
        <w:gridCol w:w="109"/>
        <w:gridCol w:w="109"/>
        <w:gridCol w:w="238"/>
        <w:gridCol w:w="876"/>
        <w:gridCol w:w="115"/>
        <w:gridCol w:w="115"/>
        <w:gridCol w:w="115"/>
        <w:gridCol w:w="115"/>
        <w:gridCol w:w="238"/>
        <w:gridCol w:w="876"/>
        <w:gridCol w:w="115"/>
        <w:gridCol w:w="109"/>
        <w:gridCol w:w="109"/>
        <w:gridCol w:w="109"/>
        <w:gridCol w:w="163"/>
      </w:tblGrid>
      <w:tr>
        <w:trPr/>
        <w:tc>
          <w:tcPr>
            <w:tcW w:w="131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490"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40,734 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30,638 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44,910 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60,394 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decreased for the three and six months ended June 30, 2026 compared to the three and six months ended June 30, 2025, primarily due to lower expense from performance stock units (“PSUs”), including certain awards with market conditions granted in prior periods, as well as lower expense from time-based restricted stock units (“RSUs”). See Note 8 to our unaudited condensed consolidated financial statements and Note 14 to our consolidated financial statements included in our 2025 Annual Report on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10205" w:type="dxa"/>
        <w:jc w:val="center"/>
        <w:tblInd w:w="0" w:type="dxa"/>
        <w:tblLayout w:type="fixed"/>
        <w:tblCellMar>
          <w:top w:w="28" w:type="dxa"/>
          <w:left w:w="28" w:type="dxa"/>
          <w:bottom w:w="28" w:type="dxa"/>
          <w:right w:w="28" w:type="dxa"/>
        </w:tblCellMar>
      </w:tblPr>
      <w:tblGrid>
        <w:gridCol w:w="1148"/>
        <w:gridCol w:w="1007"/>
        <w:gridCol w:w="988"/>
        <w:gridCol w:w="111"/>
        <w:gridCol w:w="111"/>
        <w:gridCol w:w="111"/>
        <w:gridCol w:w="231"/>
        <w:gridCol w:w="848"/>
        <w:gridCol w:w="111"/>
        <w:gridCol w:w="111"/>
        <w:gridCol w:w="111"/>
        <w:gridCol w:w="111"/>
        <w:gridCol w:w="231"/>
        <w:gridCol w:w="848"/>
        <w:gridCol w:w="111"/>
        <w:gridCol w:w="109"/>
        <w:gridCol w:w="109"/>
        <w:gridCol w:w="109"/>
        <w:gridCol w:w="235"/>
        <w:gridCol w:w="862"/>
        <w:gridCol w:w="113"/>
        <w:gridCol w:w="113"/>
        <w:gridCol w:w="113"/>
        <w:gridCol w:w="113"/>
        <w:gridCol w:w="235"/>
        <w:gridCol w:w="862"/>
        <w:gridCol w:w="113"/>
        <w:gridCol w:w="109"/>
        <w:gridCol w:w="109"/>
        <w:gridCol w:w="109"/>
        <w:gridCol w:w="109"/>
        <w:gridCol w:w="109"/>
        <w:gridCol w:w="109"/>
        <w:gridCol w:w="109"/>
        <w:gridCol w:w="167"/>
      </w:tblGrid>
      <w:tr>
        <w:trPr/>
        <w:tc>
          <w:tcPr>
            <w:tcW w:w="114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gridSpan w:val="5"/>
            <w:tcBorders/>
          </w:tcPr>
          <w:p>
            <w:pPr>
              <w:pStyle w:val="TableContents"/>
              <w:bidi w:val="0"/>
              <w:spacing w:before="0" w:after="283"/>
              <w:jc w:val="left"/>
              <w:rPr>
                <w:sz w:val="4"/>
                <w:szCs w:val="4"/>
              </w:rPr>
            </w:pPr>
            <w:r>
              <w:rPr>
                <w:sz w:val="4"/>
                <w:szCs w:val="4"/>
              </w:rPr>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930" w:type="dxa"/>
            <w:gridSpan w:val="8"/>
            <w:tcBorders/>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22,411 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Three Months Ended June 30, 2026 and 2025</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846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60"/>
        <w:gridCol w:w="1095"/>
        <w:gridCol w:w="125"/>
        <w:gridCol w:w="125"/>
        <w:gridCol w:w="125"/>
        <w:gridCol w:w="125"/>
        <w:gridCol w:w="260"/>
        <w:gridCol w:w="1095"/>
        <w:gridCol w:w="129"/>
        <w:gridCol w:w="109"/>
        <w:gridCol w:w="109"/>
        <w:gridCol w:w="109"/>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72,611 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133,399 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for the three months ended June 30, 2026 compared to the three months ended June 30, 2025 was driven by continued growth in subscription revenue. Subscription revenue represented 65% and 62% of total revenue for the three months ended June 30, 2026 and 2025, respectively. Transaction revenue represented 35% and 38% of total revenue for the three months ended June 30, 2026 and 2025,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revenue decreased 1% year-over-year for the three months ended June 30, 2026 due to a decrease in revenue from small business transactions, partially offset by higher consumer and IP-related revenue.</w:t>
      </w:r>
    </w:p>
    <w:p>
      <w:pPr>
        <w:pStyle w:val="TextBody"/>
        <w:bidi w:val="0"/>
        <w:spacing w:lineRule="auto" w:line="288" w:before="0" w:after="0"/>
        <w:ind w:left="0" w:right="0" w:firstLine="450"/>
        <w:jc w:val="left"/>
        <w:rPr/>
      </w:pPr>
      <w:r>
        <w:rPr>
          <w:rFonts w:ascii="Work Sans;sans-serif" w:hAnsi="Work Sans;sans-serif"/>
          <w:b w:val="false"/>
          <w:color w:val="000000"/>
          <w:sz w:val="18"/>
          <w:shd w:fill="FFFFFF" w:val="clear"/>
        </w:rPr>
        <w:t xml:space="preserve">Subscription revenue increased </w:t>
      </w:r>
      <w:r>
        <w:rPr>
          <w:rFonts w:ascii="Work Sans;sans-serif" w:hAnsi="Work Sans;sans-serif"/>
          <w:b w:val="false"/>
          <w:color w:val="000000"/>
          <w:sz w:val="18"/>
        </w:rPr>
        <w:t>11%</w:t>
      </w:r>
      <w:r>
        <w:rPr>
          <w:color w:val="000000"/>
          <w:shd w:fill="FFFFFF" w:val="clear"/>
        </w:rPr>
        <w:t xml:space="preserve"> </w:t>
      </w:r>
      <w:r>
        <w:rPr>
          <w:rFonts w:ascii="Work Sans;sans-serif" w:hAnsi="Work Sans;sans-serif"/>
          <w:b w:val="false"/>
          <w:color w:val="000000"/>
          <w:sz w:val="18"/>
          <w:shd w:fill="FFFFFF" w:val="clear"/>
        </w:rPr>
        <w:t xml:space="preserve">year-over-year for the </w:t>
      </w:r>
      <w:r>
        <w:rPr>
          <w:rFonts w:ascii="Work Sans;sans-serif" w:hAnsi="Work Sans;sans-serif"/>
          <w:b w:val="false"/>
          <w:color w:val="000000"/>
          <w:sz w:val="18"/>
        </w:rPr>
        <w:t>three months ended June 30, 2026</w:t>
      </w:r>
      <w:r>
        <w:rPr>
          <w:color w:val="000000"/>
          <w:shd w:fill="FFFFFF" w:val="clear"/>
        </w:rPr>
        <w:t xml:space="preserve"> </w:t>
      </w:r>
      <w:r>
        <w:rPr>
          <w:rFonts w:ascii="Work Sans;sans-serif" w:hAnsi="Work Sans;sans-serif"/>
          <w:b w:val="false"/>
          <w:color w:val="000000"/>
          <w:sz w:val="18"/>
          <w:shd w:fill="FFFFFF" w:val="clear"/>
        </w:rPr>
        <w:t xml:space="preserve">primarily due to a </w:t>
      </w:r>
      <w:r>
        <w:rPr>
          <w:rFonts w:ascii="Work Sans;sans-serif" w:hAnsi="Work Sans;sans-serif"/>
          <w:b w:val="false"/>
          <w:color w:val="000000"/>
          <w:sz w:val="18"/>
        </w:rPr>
        <w:t>39%</w:t>
      </w:r>
      <w:r>
        <w:rPr>
          <w:color w:val="000000"/>
          <w:shd w:fill="FFFFFF" w:val="clear"/>
        </w:rPr>
        <w:t xml:space="preserve"> </w:t>
      </w:r>
      <w:r>
        <w:rPr>
          <w:rFonts w:ascii="Work Sans;sans-serif" w:hAnsi="Work Sans;sans-serif"/>
          <w:b w:val="false"/>
          <w:color w:val="000000"/>
          <w:sz w:val="18"/>
          <w:shd w:fill="FFFFFF" w:val="clear"/>
        </w:rPr>
        <w:t>increase in revenue from our legal advisory subscriptions due to the bundling of this subscription into certain business formation offerings, an 11% increase in revenue from our registered agent subscriptions due certain pricing initiatives for these subscriptions and an increase in revenue from our compliance offerings. Subscription revenue growth was partially offset by our prior discontinuation of new customer acquisition for our tax offering.</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432"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Cost of revenue for the three months ended June 30, 2026 decreased by $2.0 million primarily due to a $1.3 million decrease in payroll and related benefits, largely driven by a lower average headcount, a $1.0 million decrease in depreciation and amortization expense and an $0.8 million decrease in filing fees. These decreases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pPr>
      <w:r>
        <w:rPr>
          <w:rFonts w:ascii="Work Sans;sans-serif" w:hAnsi="Work Sans;sans-serif"/>
          <w:b w:val="false"/>
          <w:color w:val="000000"/>
          <w:sz w:val="18"/>
        </w:rPr>
        <w:t>were partially offset by a $0.7 million increase in credit card fees and a $0.6 million</w:t>
      </w:r>
      <w:r>
        <w:rPr>
          <w:color w:val="000000"/>
        </w:rPr>
        <w:t xml:space="preserve"> </w:t>
      </w:r>
      <w:r>
        <w:rPr>
          <w:rFonts w:ascii="Work Sans;sans-serif" w:hAnsi="Work Sans;sans-serif"/>
          <w:b w:val="false"/>
          <w:color w:val="000000"/>
          <w:sz w:val="18"/>
        </w:rPr>
        <w:t>increase in sales and use tax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341"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139,930 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125,111 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for the three months ended June 30, 2026 increased by $14.8 million compared to the three months ended June 30, 2025 due to a $12.8 million increase in revenue and a $2.0 million decrease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7792" w:type="dxa"/>
        <w:jc w:val="left"/>
        <w:tblInd w:w="0" w:type="dxa"/>
        <w:tblLayout w:type="fixed"/>
        <w:tblCellMar>
          <w:top w:w="28" w:type="dxa"/>
          <w:left w:w="28" w:type="dxa"/>
          <w:bottom w:w="28" w:type="dxa"/>
          <w:right w:w="28" w:type="dxa"/>
        </w:tblCellMar>
      </w:tblPr>
      <w:tblGrid>
        <w:gridCol w:w="718"/>
        <w:gridCol w:w="629"/>
        <w:gridCol w:w="633"/>
        <w:gridCol w:w="109"/>
        <w:gridCol w:w="109"/>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32"/>
        <w:gridCol w:w="232"/>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69,580 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S</w:t>
      </w:r>
      <w:r>
        <w:rPr>
          <w:rFonts w:ascii="Work Sans;sans-serif" w:hAnsi="Work Sans;sans-serif"/>
          <w:b w:val="false"/>
          <w:color w:val="000000"/>
          <w:sz w:val="18"/>
          <w:shd w:fill="FFFFFF" w:val="clear"/>
        </w:rPr>
        <w:t xml:space="preserve">ales and marketing expenses for the </w:t>
      </w:r>
      <w:r>
        <w:rPr>
          <w:rFonts w:ascii="Work Sans;sans-serif" w:hAnsi="Work Sans;sans-serif"/>
          <w:b w:val="false"/>
          <w:color w:val="000000"/>
          <w:sz w:val="18"/>
        </w:rPr>
        <w:t>three months ended June 30, 2026</w:t>
      </w:r>
      <w:r>
        <w:rPr>
          <w:color w:val="000000"/>
          <w:shd w:fill="FFFFFF" w:val="clear"/>
        </w:rPr>
        <w:t xml:space="preserve"> </w:t>
      </w:r>
      <w:r>
        <w:rPr>
          <w:rFonts w:ascii="Work Sans;sans-serif" w:hAnsi="Work Sans;sans-serif"/>
          <w:b w:val="false"/>
          <w:color w:val="000000"/>
          <w:sz w:val="18"/>
          <w:shd w:fill="FFFFFF" w:val="clear"/>
        </w:rPr>
        <w:t>increased by $9.3 million primarily due t</w:t>
      </w:r>
      <w:r>
        <w:rPr>
          <w:rFonts w:ascii="Work Sans;sans-serif" w:hAnsi="Work Sans;sans-serif"/>
          <w:b w:val="false"/>
          <w:color w:val="000000"/>
          <w:sz w:val="18"/>
        </w:rPr>
        <w:t>o a $5.9 million increase in customer acquisition marketing spend. Customer acquisition marketing spend was $52.6 million and $46.7 million for the three months ended June 30, 2026 and 2025, respectively, reflecting increased spending due to diversification of investments in brand and partnerships. Additionally, there was a $1.1 million increase in payroll and related benefits largely due to an increase in sales and marketing headcount, and a $0.8 million increase in depreciation and amortization.</w:t>
      </w:r>
    </w:p>
    <w:p>
      <w:pPr>
        <w:pStyle w:val="TextBody"/>
        <w:bidi w:val="0"/>
        <w:spacing w:lineRule="auto" w:line="288" w:before="240" w:after="120"/>
        <w:jc w:val="left"/>
        <w:rPr>
          <w:rFonts w:ascii="Work Sans;sans-serif" w:hAnsi="Work Sans;sans-serif"/>
          <w:b/>
          <w:i/>
          <w:color w:val="000000"/>
          <w:sz w:val="18"/>
          <w:shd w:fill="FFFFFF" w:val="clear"/>
        </w:rPr>
      </w:pPr>
      <w:r>
        <w:rPr>
          <w:rFonts w:ascii="Work Sans;sans-serif" w:hAnsi="Work Sans;sans-serif"/>
          <w:b/>
          <w:i/>
          <w:color w:val="000000"/>
          <w:sz w:val="18"/>
          <w:shd w:fill="FFFFFF" w:val="clear"/>
        </w:rPr>
        <w:t>Technology and development</w:t>
      </w:r>
    </w:p>
    <w:tbl>
      <w:tblPr>
        <w:tblW w:w="8706" w:type="dxa"/>
        <w:jc w:val="left"/>
        <w:tblInd w:w="0" w:type="dxa"/>
        <w:tblLayout w:type="fixed"/>
        <w:tblCellMar>
          <w:top w:w="28" w:type="dxa"/>
          <w:left w:w="28" w:type="dxa"/>
          <w:bottom w:w="28" w:type="dxa"/>
          <w:right w:w="28" w:type="dxa"/>
        </w:tblCellMar>
      </w:tblPr>
      <w:tblGrid>
        <w:gridCol w:w="1016"/>
        <w:gridCol w:w="893"/>
        <w:gridCol w:w="895"/>
        <w:gridCol w:w="109"/>
        <w:gridCol w:w="109"/>
        <w:gridCol w:w="109"/>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(1,588)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Technology and development expenses for the three months ended June 30, 2026 decreased by </w:t>
      </w:r>
      <w:r>
        <w:rPr>
          <w:rFonts w:ascii="Work Sans;sans-serif" w:hAnsi="Work Sans;sans-serif"/>
          <w:b w:val="false"/>
          <w:color w:val="000000"/>
          <w:sz w:val="18"/>
          <w:shd w:fill="FFFFFF" w:val="clear"/>
        </w:rPr>
        <w:t>$1.6 million</w:t>
      </w:r>
      <w:r>
        <w:rPr>
          <w:color w:val="000000"/>
        </w:rPr>
        <w:t xml:space="preserve"> </w:t>
      </w:r>
      <w:r>
        <w:rPr>
          <w:rFonts w:ascii="Work Sans;sans-serif" w:hAnsi="Work Sans;sans-serif"/>
          <w:b w:val="false"/>
          <w:color w:val="000000"/>
          <w:sz w:val="18"/>
        </w:rPr>
        <w:t xml:space="preserve">primarily due to a </w:t>
      </w:r>
      <w:r>
        <w:rPr>
          <w:rFonts w:ascii="Work Sans;sans-serif" w:hAnsi="Work Sans;sans-serif"/>
          <w:b w:val="false"/>
          <w:color w:val="000000"/>
          <w:sz w:val="18"/>
          <w:shd w:fill="FFFFFF" w:val="clear"/>
        </w:rPr>
        <w:t xml:space="preserve">$3.5 million </w:t>
      </w:r>
      <w:r>
        <w:rPr>
          <w:rFonts w:ascii="Work Sans;sans-serif" w:hAnsi="Work Sans;sans-serif"/>
          <w:b w:val="false"/>
          <w:color w:val="000000"/>
          <w:sz w:val="18"/>
        </w:rPr>
        <w:t>decrease in payroll and related benefits driven by a reduction in technology and development headcount. These decreases were partially offset by a $1.8 million</w:t>
      </w:r>
      <w:r>
        <w:rPr>
          <w:color w:val="000000"/>
          <w:shd w:fill="FFFFFF" w:val="clear"/>
        </w:rPr>
        <w:t xml:space="preserve"> </w:t>
      </w:r>
      <w:r>
        <w:rPr>
          <w:rFonts w:ascii="Work Sans;sans-serif" w:hAnsi="Work Sans;sans-serif"/>
          <w:b w:val="false"/>
          <w:color w:val="000000"/>
          <w:sz w:val="18"/>
          <w:shd w:fill="FFFFFF" w:val="clear"/>
        </w:rPr>
        <w:t>decrease in capitalized software development costs.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467"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26"/>
        <w:gridCol w:w="826"/>
        <w:gridCol w:w="109"/>
        <w:gridCol w:w="109"/>
        <w:gridCol w:w="109"/>
        <w:gridCol w:w="109"/>
        <w:gridCol w:w="226"/>
        <w:gridCol w:w="826"/>
        <w:gridCol w:w="109"/>
        <w:gridCol w:w="109"/>
        <w:gridCol w:w="109"/>
        <w:gridCol w:w="109"/>
        <w:gridCol w:w="226"/>
        <w:gridCol w:w="79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(6,612)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General and administrative expenses for the three months ended June 30, 2026 decreased by </w:t>
      </w:r>
      <w:r>
        <w:rPr>
          <w:rFonts w:ascii="Work Sans;sans-serif" w:hAnsi="Work Sans;sans-serif"/>
          <w:b w:val="false"/>
          <w:color w:val="000000"/>
          <w:sz w:val="18"/>
          <w:shd w:fill="FFFFFF" w:val="clear"/>
        </w:rPr>
        <w:t xml:space="preserve">$6.6 million </w:t>
      </w:r>
      <w:r>
        <w:rPr>
          <w:rFonts w:ascii="Work Sans;sans-serif" w:hAnsi="Work Sans;sans-serif"/>
          <w:b w:val="false"/>
          <w:color w:val="000000"/>
          <w:sz w:val="18"/>
        </w:rPr>
        <w:t xml:space="preserve">compared to the three months ended June 30, 2025. The decrease was primarily due to a </w:t>
      </w:r>
      <w:r>
        <w:rPr>
          <w:rFonts w:ascii="Work Sans;sans-serif" w:hAnsi="Work Sans;sans-serif"/>
          <w:b w:val="false"/>
          <w:color w:val="000000"/>
          <w:sz w:val="18"/>
          <w:shd w:fill="FFFFFF" w:val="clear"/>
        </w:rPr>
        <w:t>$5.4 million</w:t>
      </w:r>
      <w:r>
        <w:rPr>
          <w:color w:val="000000"/>
        </w:rPr>
        <w:t xml:space="preserve"> </w:t>
      </w:r>
      <w:r>
        <w:rPr>
          <w:rFonts w:ascii="Work Sans;sans-serif" w:hAnsi="Work Sans;sans-serif"/>
          <w:b w:val="false"/>
          <w:color w:val="000000"/>
          <w:sz w:val="18"/>
        </w:rPr>
        <w:t>decrease in stock-based compensation expense driven by lower expense from PSUs, including awards with market conditions granted in prior periods, as well as a reduction in expense from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tbl>
      <w:tblPr>
        <w:tblW w:w="7238" w:type="dxa"/>
        <w:jc w:val="left"/>
        <w:tblInd w:w="0" w:type="dxa"/>
        <w:tblLayout w:type="fixed"/>
        <w:tblCellMar>
          <w:top w:w="28" w:type="dxa"/>
          <w:left w:w="28" w:type="dxa"/>
          <w:bottom w:w="28" w:type="dxa"/>
          <w:right w:w="28" w:type="dxa"/>
        </w:tblCellMar>
      </w:tblPr>
      <w:tblGrid>
        <w:gridCol w:w="591"/>
        <w:gridCol w:w="520"/>
        <w:gridCol w:w="524"/>
        <w:gridCol w:w="117"/>
        <w:gridCol w:w="117"/>
        <w:gridCol w:w="117"/>
        <w:gridCol w:w="243"/>
        <w:gridCol w:w="663"/>
        <w:gridCol w:w="117"/>
        <w:gridCol w:w="117"/>
        <w:gridCol w:w="117"/>
        <w:gridCol w:w="117"/>
        <w:gridCol w:w="243"/>
        <w:gridCol w:w="663"/>
        <w:gridCol w:w="117"/>
        <w:gridCol w:w="117"/>
        <w:gridCol w:w="117"/>
        <w:gridCol w:w="117"/>
        <w:gridCol w:w="315"/>
        <w:gridCol w:w="567"/>
        <w:gridCol w:w="154"/>
        <w:gridCol w:w="109"/>
        <w:gridCol w:w="109"/>
        <w:gridCol w:w="109"/>
        <w:gridCol w:w="232"/>
        <w:gridCol w:w="232"/>
        <w:gridCol w:w="6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(126)</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(165)</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amortization of debt issuance costs related to our Amended Revolving Facility.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tbl>
      <w:tblPr>
        <w:tblW w:w="7147" w:type="dxa"/>
        <w:jc w:val="left"/>
        <w:tblInd w:w="0" w:type="dxa"/>
        <w:tblLayout w:type="fixed"/>
        <w:tblCellMar>
          <w:top w:w="28" w:type="dxa"/>
          <w:left w:w="28" w:type="dxa"/>
          <w:bottom w:w="28" w:type="dxa"/>
          <w:right w:w="28" w:type="dxa"/>
        </w:tblCellMar>
      </w:tblPr>
      <w:tblGrid>
        <w:gridCol w:w="559"/>
        <w:gridCol w:w="492"/>
        <w:gridCol w:w="494"/>
        <w:gridCol w:w="110"/>
        <w:gridCol w:w="110"/>
        <w:gridCol w:w="110"/>
        <w:gridCol w:w="229"/>
        <w:gridCol w:w="715"/>
        <w:gridCol w:w="110"/>
        <w:gridCol w:w="110"/>
        <w:gridCol w:w="110"/>
        <w:gridCol w:w="110"/>
        <w:gridCol w:w="229"/>
        <w:gridCol w:w="715"/>
        <w:gridCol w:w="110"/>
        <w:gridCol w:w="110"/>
        <w:gridCol w:w="110"/>
        <w:gridCol w:w="110"/>
        <w:gridCol w:w="267"/>
        <w:gridCol w:w="639"/>
        <w:gridCol w:w="130"/>
        <w:gridCol w:w="109"/>
        <w:gridCol w:w="109"/>
        <w:gridCol w:w="109"/>
        <w:gridCol w:w="232"/>
        <w:gridCol w:w="232"/>
        <w:gridCol w:w="67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1,627 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2,069 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change in interest income was primarily due to lower average interest-earning cash balances during the three months ended June 30, 2026.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8406" w:type="dxa"/>
        <w:jc w:val="left"/>
        <w:tblInd w:w="0" w:type="dxa"/>
        <w:tblLayout w:type="fixed"/>
        <w:tblCellMar>
          <w:top w:w="28" w:type="dxa"/>
          <w:left w:w="28" w:type="dxa"/>
          <w:bottom w:w="28" w:type="dxa"/>
          <w:right w:w="28" w:type="dxa"/>
        </w:tblCellMar>
      </w:tblPr>
      <w:tblGrid>
        <w:gridCol w:w="989"/>
        <w:gridCol w:w="869"/>
        <w:gridCol w:w="871"/>
        <w:gridCol w:w="132"/>
        <w:gridCol w:w="132"/>
        <w:gridCol w:w="132"/>
        <w:gridCol w:w="274"/>
        <w:gridCol w:w="457"/>
        <w:gridCol w:w="132"/>
        <w:gridCol w:w="132"/>
        <w:gridCol w:w="132"/>
        <w:gridCol w:w="132"/>
        <w:gridCol w:w="274"/>
        <w:gridCol w:w="639"/>
        <w:gridCol w:w="132"/>
        <w:gridCol w:w="132"/>
        <w:gridCol w:w="132"/>
        <w:gridCol w:w="132"/>
        <w:gridCol w:w="267"/>
        <w:gridCol w:w="639"/>
        <w:gridCol w:w="130"/>
        <w:gridCol w:w="109"/>
        <w:gridCol w:w="109"/>
        <w:gridCol w:w="109"/>
        <w:gridCol w:w="270"/>
        <w:gridCol w:w="27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652 </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(655)</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was primarily due to unfavorable foreign exchange activity during the three months ended June 30, 2026.</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(benefit) for income taxes</w:t>
      </w:r>
    </w:p>
    <w:tbl>
      <w:tblPr>
        <w:tblW w:w="9258" w:type="dxa"/>
        <w:jc w:val="left"/>
        <w:tblInd w:w="0" w:type="dxa"/>
        <w:tblLayout w:type="fixed"/>
        <w:tblCellMar>
          <w:top w:w="28" w:type="dxa"/>
          <w:left w:w="28" w:type="dxa"/>
          <w:bottom w:w="28" w:type="dxa"/>
          <w:right w:w="28" w:type="dxa"/>
        </w:tblCellMar>
      </w:tblPr>
      <w:tblGrid>
        <w:gridCol w:w="1207"/>
        <w:gridCol w:w="1058"/>
        <w:gridCol w:w="1065"/>
        <w:gridCol w:w="109"/>
        <w:gridCol w:w="109"/>
        <w:gridCol w:w="109"/>
        <w:gridCol w:w="226"/>
        <w:gridCol w:w="706"/>
        <w:gridCol w:w="271"/>
        <w:gridCol w:w="109"/>
        <w:gridCol w:w="109"/>
        <w:gridCol w:w="109"/>
        <w:gridCol w:w="226"/>
        <w:gridCol w:w="616"/>
        <w:gridCol w:w="271"/>
        <w:gridCol w:w="109"/>
        <w:gridCol w:w="109"/>
        <w:gridCol w:w="109"/>
        <w:gridCol w:w="226"/>
        <w:gridCol w:w="706"/>
        <w:gridCol w:w="109"/>
        <w:gridCol w:w="109"/>
        <w:gridCol w:w="109"/>
        <w:gridCol w:w="109"/>
        <w:gridCol w:w="293"/>
        <w:gridCol w:w="293"/>
        <w:gridCol w:w="677"/>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2605</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was a $7.2 million increase in the provision for income taxes for the three months ended June 30, 2026 compared to the three months ended June 30, 2025. The change was primarily due to higher pre-tax income and decreased excess tax benefits from stock-based compensation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Six Months Ended June 30, 2026 and 2025</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801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for the six months ended June 30, 2026 was primarily driven by an increase in subscription revenue. Subscription revenue was 64% and 63% of total revenue for the six months ended June 30, 2026 and 2025, respectively, and transaction revenue was 36% and 37% of total revenue for the six months ended June 30, 2026 and 2025, respectively.</w:t>
      </w:r>
    </w:p>
    <w:p>
      <w:pPr>
        <w:pStyle w:val="TextBody"/>
        <w:bidi w:val="0"/>
        <w:spacing w:lineRule="auto" w:line="288" w:before="120" w:after="120"/>
        <w:ind w:left="0" w:right="0" w:firstLine="450"/>
        <w:jc w:val="left"/>
        <w:rPr/>
      </w:pPr>
      <w:r>
        <w:rPr>
          <w:rFonts w:ascii="Work Sans;sans-serif" w:hAnsi="Work Sans;sans-serif"/>
          <w:b w:val="false"/>
          <w:color w:val="000000"/>
          <w:sz w:val="18"/>
        </w:rPr>
        <w:t>Transaction revenue increased 6% year-over-year for the six months ended June 30, 2026 primarily due to a 61% increase in revenue from Annual Report filings within our compliance offerings as a result of filing automation, the inclusion of a full six months of revenue from Formation Nation, which we acquired on February 10, 2025,</w:t>
      </w:r>
      <w:r>
        <w:rPr>
          <w:color w:val="000000"/>
          <w:shd w:fill="FFFFFF" w:val="clear"/>
        </w:rPr>
        <w:t xml:space="preserve"> </w:t>
      </w:r>
      <w:r>
        <w:rPr>
          <w:rFonts w:ascii="Work Sans;sans-serif" w:hAnsi="Work Sans;sans-serif"/>
          <w:b w:val="false"/>
          <w:color w:val="000000"/>
          <w:sz w:val="18"/>
          <w:shd w:fill="FFFFFF" w:val="clear"/>
        </w:rPr>
        <w:t>and an increase in IP-related revenue. The increase in transaction revenue was partially offset by a decrease in revenue from business formations and a decrease in revenue from beneficial ownership report filings following a FinCEN ruling on March 21, 2025 that eliminated this filing requirement for U.S. companies.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Subscription revenue increased 12% year-over-year for the six months ended June 30, 2026 primarily due to a 37% increase in revenue from our legal advisory subscriptions from the bundling of this subscription into certain business formations, a 14% increase in revenue from our registered agent subscriptions due to pricing initiatives </w:t>
      </w:r>
      <w:r>
        <w:rPr>
          <w:rFonts w:ascii="Work Sans;sans-serif" w:hAnsi="Work Sans;sans-serif"/>
          <w:b w:val="false"/>
          <w:color w:val="000000"/>
          <w:sz w:val="18"/>
          <w:shd w:fill="FFFFFF" w:val="clear"/>
        </w:rPr>
        <w:t xml:space="preserve">for these subscriptions </w:t>
      </w:r>
      <w:r>
        <w:rPr>
          <w:rFonts w:ascii="Work Sans;sans-serif" w:hAnsi="Work Sans;sans-serif"/>
          <w:b w:val="false"/>
          <w:color w:val="000000"/>
          <w:sz w:val="18"/>
        </w:rPr>
        <w:t xml:space="preserve">and an increase in revenue from our compliance offerings. The increase in subscription revenue was partially offset by our prior discontinuation of new customer acquisition for our tax offering.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582"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139,887 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133,958 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for the six months ended June 30, 2026 increased by $5.9 million mainly due to a $7.9 million increase in filing fees and a $1.7 million increase in credit card fees primarily due to a full six months of revenue from Formation Nation, which we acquired on February 10, 2025. These increases were partially offset by a $1.8 million decrease in depreciation and amortization expense, a $1.3 million decrease in third party fees for customer care which were replaced by tax and attorney services, and a $1.1 million decrease in payroll and related benefits due to a decrease in average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p>
      <w:pPr>
        <w:pStyle w:val="TextBody"/>
        <w:bidi w:val="0"/>
        <w:spacing w:before="0" w:after="0"/>
        <w:jc w:val="left"/>
        <w:rPr/>
      </w:pPr>
      <w:r>
        <w:rPr/>
      </w:r>
    </w:p>
    <w:tbl>
      <w:tblPr>
        <w:tblW w:w="7341"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272,183 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241,661 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30,522 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gross profit was driven by a $36.5 million increase in revenue partially offset by a $5.9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8152" w:type="dxa"/>
        <w:jc w:val="left"/>
        <w:tblInd w:w="0" w:type="dxa"/>
        <w:tblLayout w:type="fixed"/>
        <w:tblCellMar>
          <w:top w:w="28" w:type="dxa"/>
          <w:left w:w="28" w:type="dxa"/>
          <w:bottom w:w="28" w:type="dxa"/>
          <w:right w:w="28" w:type="dxa"/>
        </w:tblCellMar>
      </w:tblPr>
      <w:tblGrid>
        <w:gridCol w:w="718"/>
        <w:gridCol w:w="629"/>
        <w:gridCol w:w="633"/>
        <w:gridCol w:w="109"/>
        <w:gridCol w:w="109"/>
        <w:gridCol w:w="109"/>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157,517 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130,958 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26,559 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and marketing expenses for the six months ended June 30, 2026 increased by $26.6 million primarily due to a $16.8 million increase in customer acquisition marketing spend. Customer acquisition marketing spend was $107.7 million and $90.9 million for the six months ended June 30, 2026 and 2025, respectively, reflecting increased spending due to diversification of investments in brand and partnerships. Sales and marketing expenses also increased as a result of a $5.6 million increase in payroll and related benefits due to an increase in average headcount and a $2.3 million increase in amortization and depreciation.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887" w:type="dxa"/>
        <w:jc w:val="left"/>
        <w:tblInd w:w="0" w:type="dxa"/>
        <w:tblLayout w:type="fixed"/>
        <w:tblCellMar>
          <w:top w:w="28" w:type="dxa"/>
          <w:left w:w="28" w:type="dxa"/>
          <w:bottom w:w="28" w:type="dxa"/>
          <w:right w:w="28" w:type="dxa"/>
        </w:tblCellMar>
      </w:tblPr>
      <w:tblGrid>
        <w:gridCol w:w="1016"/>
        <w:gridCol w:w="893"/>
        <w:gridCol w:w="895"/>
        <w:gridCol w:w="109"/>
        <w:gridCol w:w="109"/>
        <w:gridCol w:w="109"/>
        <w:gridCol w:w="241"/>
        <w:gridCol w:w="884"/>
        <w:gridCol w:w="116"/>
        <w:gridCol w:w="116"/>
        <w:gridCol w:w="116"/>
        <w:gridCol w:w="116"/>
        <w:gridCol w:w="241"/>
        <w:gridCol w:w="884"/>
        <w:gridCol w:w="116"/>
        <w:gridCol w:w="109"/>
        <w:gridCol w:w="109"/>
        <w:gridCol w:w="109"/>
        <w:gridCol w:w="226"/>
        <w:gridCol w:w="79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39,652 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42,957 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Technology and development expenses for the six months ended June 30, 2026 decreased by </w:t>
      </w:r>
      <w:r>
        <w:rPr>
          <w:rFonts w:ascii="Work Sans;sans-serif" w:hAnsi="Work Sans;sans-serif"/>
          <w:b w:val="false"/>
          <w:color w:val="000000"/>
          <w:sz w:val="18"/>
          <w:shd w:fill="FFFFFF" w:val="clear"/>
        </w:rPr>
        <w:t>$3.3 million</w:t>
      </w:r>
      <w:r>
        <w:rPr>
          <w:color w:val="000000"/>
        </w:rPr>
        <w:t xml:space="preserve"> </w:t>
      </w:r>
      <w:r>
        <w:rPr>
          <w:rFonts w:ascii="Work Sans;sans-serif" w:hAnsi="Work Sans;sans-serif"/>
          <w:b w:val="false"/>
          <w:color w:val="000000"/>
          <w:sz w:val="18"/>
        </w:rPr>
        <w:t xml:space="preserve">primarily due to a </w:t>
      </w:r>
      <w:r>
        <w:rPr>
          <w:rFonts w:ascii="Work Sans;sans-serif" w:hAnsi="Work Sans;sans-serif"/>
          <w:b w:val="false"/>
          <w:color w:val="000000"/>
          <w:sz w:val="18"/>
          <w:shd w:fill="FFFFFF" w:val="clear"/>
        </w:rPr>
        <w:t>$6.7 million</w:t>
      </w:r>
      <w:r>
        <w:rPr>
          <w:color w:val="000000"/>
        </w:rPr>
        <w:t xml:space="preserve"> </w:t>
      </w:r>
      <w:r>
        <w:rPr>
          <w:rFonts w:ascii="Work Sans;sans-serif" w:hAnsi="Work Sans;sans-serif"/>
          <w:b w:val="false"/>
          <w:color w:val="000000"/>
          <w:sz w:val="18"/>
        </w:rPr>
        <w:t xml:space="preserve">decrease in payroll and related benefits, largely driven by a reduction in technology and development headcount. These decreases were partially offset by a </w:t>
      </w:r>
      <w:r>
        <w:rPr>
          <w:rFonts w:ascii="Work Sans;sans-serif" w:hAnsi="Work Sans;sans-serif"/>
          <w:b w:val="false"/>
          <w:color w:val="000000"/>
          <w:sz w:val="18"/>
          <w:shd w:fill="FFFFFF" w:val="clear"/>
        </w:rPr>
        <w:t>$4.2 million</w:t>
      </w:r>
      <w:r>
        <w:rPr>
          <w:color w:val="000000"/>
        </w:rPr>
        <w:t xml:space="preserve"> </w:t>
      </w:r>
      <w:r>
        <w:rPr>
          <w:rFonts w:ascii="Work Sans;sans-serif" w:hAnsi="Work Sans;sans-serif"/>
          <w:b w:val="false"/>
          <w:color w:val="000000"/>
          <w:sz w:val="18"/>
        </w:rPr>
        <w:t xml:space="preserve">decrease in capitalized software development costs and a </w:t>
      </w:r>
      <w:r>
        <w:rPr>
          <w:rFonts w:ascii="Work Sans;sans-serif" w:hAnsi="Work Sans;sans-serif"/>
          <w:b w:val="false"/>
          <w:color w:val="000000"/>
          <w:sz w:val="18"/>
          <w:shd w:fill="FFFFFF" w:val="clear"/>
        </w:rPr>
        <w:t>$0.9 million</w:t>
      </w:r>
      <w:r>
        <w:rPr>
          <w:color w:val="000000"/>
        </w:rPr>
        <w:t xml:space="preserve"> </w:t>
      </w:r>
      <w:r>
        <w:rPr>
          <w:rFonts w:ascii="Work Sans;sans-serif" w:hAnsi="Work Sans;sans-serif"/>
          <w:b w:val="false"/>
          <w:color w:val="000000"/>
          <w:sz w:val="18"/>
        </w:rPr>
        <w:t>increase in technology licensing costs.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768"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41"/>
        <w:gridCol w:w="884"/>
        <w:gridCol w:w="116"/>
        <w:gridCol w:w="116"/>
        <w:gridCol w:w="116"/>
        <w:gridCol w:w="116"/>
        <w:gridCol w:w="241"/>
        <w:gridCol w:w="884"/>
        <w:gridCol w:w="116"/>
        <w:gridCol w:w="109"/>
        <w:gridCol w:w="109"/>
        <w:gridCol w:w="109"/>
        <w:gridCol w:w="226"/>
        <w:gridCol w:w="91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61,600 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76,217 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(14,617)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 xml:space="preserve">General and administrative expenses for the six months ended June 30, 2026 decreased by </w:t>
      </w:r>
      <w:r>
        <w:rPr>
          <w:rFonts w:ascii="Work Sans;sans-serif" w:hAnsi="Work Sans;sans-serif"/>
          <w:b w:val="false"/>
          <w:color w:val="000000"/>
          <w:sz w:val="18"/>
        </w:rPr>
        <w:t xml:space="preserve">$14.6 million compared to the </w:t>
      </w:r>
      <w:r>
        <w:rPr>
          <w:rFonts w:ascii="Work Sans;sans-serif" w:hAnsi="Work Sans;sans-serif"/>
          <w:b w:val="false"/>
          <w:color w:val="000000"/>
          <w:sz w:val="18"/>
          <w:shd w:fill="FFFFFF" w:val="clear"/>
        </w:rPr>
        <w:t xml:space="preserve">six months ended </w:t>
      </w:r>
      <w:r>
        <w:rPr>
          <w:rFonts w:ascii="Work Sans;sans-serif" w:hAnsi="Work Sans;sans-serif"/>
          <w:b w:val="false"/>
          <w:color w:val="000000"/>
          <w:sz w:val="18"/>
        </w:rPr>
        <w:t>June 30, 2025. The decrease was</w:t>
      </w:r>
      <w:r>
        <w:rPr>
          <w:color w:val="000000"/>
          <w:shd w:fill="FFFFFF" w:val="clear"/>
        </w:rPr>
        <w:t xml:space="preserve"> </w:t>
      </w:r>
      <w:r>
        <w:rPr>
          <w:rFonts w:ascii="Work Sans;sans-serif" w:hAnsi="Work Sans;sans-serif"/>
          <w:b w:val="false"/>
          <w:color w:val="000000"/>
          <w:sz w:val="18"/>
          <w:shd w:fill="FFFFFF" w:val="clear"/>
        </w:rPr>
        <w:t xml:space="preserve">primarily due to a </w:t>
      </w:r>
      <w:r>
        <w:rPr>
          <w:rFonts w:ascii="Work Sans;sans-serif" w:hAnsi="Work Sans;sans-serif"/>
          <w:b w:val="false"/>
          <w:color w:val="000000"/>
          <w:sz w:val="18"/>
        </w:rPr>
        <w:t>$13.0 million de</w:t>
      </w:r>
      <w:r>
        <w:rPr>
          <w:rFonts w:ascii="Work Sans;sans-serif" w:hAnsi="Work Sans;sans-serif"/>
          <w:b w:val="false"/>
          <w:color w:val="000000"/>
          <w:sz w:val="18"/>
          <w:shd w:fill="FFFFFF" w:val="clear"/>
        </w:rPr>
        <w:t>crease in stock-based compensation expense driven by lower expense from PSUs, including awards with market conditions granted in prior periods, as well as a reduction in expense from RSUs. The decrease was also due to a</w:t>
      </w:r>
      <w:r>
        <w:rPr>
          <w:color w:val="000000"/>
        </w:rPr>
        <w:t xml:space="preserve"> </w:t>
      </w:r>
      <w:r>
        <w:rPr>
          <w:rFonts w:ascii="Work Sans;sans-serif" w:hAnsi="Work Sans;sans-serif"/>
          <w:b w:val="false"/>
          <w:color w:val="000000"/>
          <w:sz w:val="18"/>
        </w:rPr>
        <w:t>$2.4 million reduction in consulting costs, primarily due to transaction-related costs incurred during the prior-year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Gain on sale of assets held for sale</w:t>
      </w:r>
    </w:p>
    <w:tbl>
      <w:tblPr>
        <w:tblW w:w="9071" w:type="dxa"/>
        <w:jc w:val="left"/>
        <w:tblInd w:w="0" w:type="dxa"/>
        <w:tblLayout w:type="fixed"/>
        <w:tblCellMar>
          <w:top w:w="28" w:type="dxa"/>
          <w:left w:w="28" w:type="dxa"/>
          <w:bottom w:w="28" w:type="dxa"/>
          <w:right w:w="28" w:type="dxa"/>
        </w:tblCellMar>
      </w:tblPr>
      <w:tblGrid>
        <w:gridCol w:w="1163"/>
        <w:gridCol w:w="1021"/>
        <w:gridCol w:w="1026"/>
        <w:gridCol w:w="116"/>
        <w:gridCol w:w="116"/>
        <w:gridCol w:w="116"/>
        <w:gridCol w:w="242"/>
        <w:gridCol w:w="435"/>
        <w:gridCol w:w="116"/>
        <w:gridCol w:w="116"/>
        <w:gridCol w:w="116"/>
        <w:gridCol w:w="116"/>
        <w:gridCol w:w="242"/>
        <w:gridCol w:w="981"/>
        <w:gridCol w:w="116"/>
        <w:gridCol w:w="109"/>
        <w:gridCol w:w="109"/>
        <w:gridCol w:w="109"/>
        <w:gridCol w:w="226"/>
        <w:gridCol w:w="826"/>
        <w:gridCol w:w="109"/>
        <w:gridCol w:w="109"/>
        <w:gridCol w:w="109"/>
        <w:gridCol w:w="109"/>
        <w:gridCol w:w="270"/>
        <w:gridCol w:w="271"/>
        <w:gridCol w:w="677"/>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Gain on sale of assets held for sale for the </w:t>
      </w:r>
      <w:r>
        <w:rPr>
          <w:rFonts w:ascii="Work Sans;sans-serif" w:hAnsi="Work Sans;sans-serif"/>
          <w:b w:val="false"/>
          <w:color w:val="000000"/>
          <w:sz w:val="18"/>
          <w:shd w:fill="FFFFFF" w:val="clear"/>
        </w:rPr>
        <w:t>six months ended</w:t>
      </w:r>
      <w:r>
        <w:rPr>
          <w:color w:val="000000"/>
        </w:rPr>
        <w:t xml:space="preserve"> </w:t>
      </w:r>
      <w:r>
        <w:rPr>
          <w:rFonts w:ascii="Work Sans;sans-serif" w:hAnsi="Work Sans;sans-serif"/>
          <w:b w:val="false"/>
          <w:color w:val="000000"/>
          <w:sz w:val="18"/>
        </w:rPr>
        <w:t xml:space="preserve">June 30, 2025 was </w:t>
      </w:r>
      <w:r>
        <w:rPr>
          <w:rFonts w:ascii="Work Sans;sans-serif" w:hAnsi="Work Sans;sans-serif"/>
          <w:b w:val="false"/>
          <w:color w:val="000000"/>
          <w:sz w:val="18"/>
          <w:shd w:fill="FFFFFF" w:val="clear"/>
        </w:rPr>
        <w:t xml:space="preserve">$14.3 million due to the sale of our operational headquarters on </w:t>
      </w:r>
      <w:r>
        <w:rPr>
          <w:rFonts w:ascii="Work Sans;sans-serif" w:hAnsi="Work Sans;sans-serif"/>
          <w:b w:val="false"/>
          <w:color w:val="000000"/>
          <w:sz w:val="18"/>
        </w:rPr>
        <w:t>March 31, 2025.</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tbl>
      <w:tblPr>
        <w:tblW w:w="7625" w:type="dxa"/>
        <w:jc w:val="left"/>
        <w:tblInd w:w="0" w:type="dxa"/>
        <w:tblLayout w:type="fixed"/>
        <w:tblCellMar>
          <w:top w:w="28" w:type="dxa"/>
          <w:left w:w="28" w:type="dxa"/>
          <w:bottom w:w="28" w:type="dxa"/>
          <w:right w:w="28" w:type="dxa"/>
        </w:tblCellMar>
      </w:tblPr>
      <w:tblGrid>
        <w:gridCol w:w="591"/>
        <w:gridCol w:w="520"/>
        <w:gridCol w:w="524"/>
        <w:gridCol w:w="109"/>
        <w:gridCol w:w="109"/>
        <w:gridCol w:w="109"/>
        <w:gridCol w:w="287"/>
        <w:gridCol w:w="783"/>
        <w:gridCol w:w="138"/>
        <w:gridCol w:w="138"/>
        <w:gridCol w:w="138"/>
        <w:gridCol w:w="138"/>
        <w:gridCol w:w="287"/>
        <w:gridCol w:w="783"/>
        <w:gridCol w:w="138"/>
        <w:gridCol w:w="109"/>
        <w:gridCol w:w="109"/>
        <w:gridCol w:w="109"/>
        <w:gridCol w:w="267"/>
        <w:gridCol w:w="639"/>
        <w:gridCol w:w="130"/>
        <w:gridCol w:w="109"/>
        <w:gridCol w:w="109"/>
        <w:gridCol w:w="109"/>
        <w:gridCol w:w="233"/>
        <w:gridCol w:w="233"/>
        <w:gridCol w:w="6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(802)</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(347)</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interest incurred on the deferred cash consideration associated with the acquisition of Formation Nation as well as amortization of debt issuance costs related to our Revolving Facility as well as our Amended Revolving Facility.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tbl>
      <w:tblPr>
        <w:tblW w:w="7537" w:type="dxa"/>
        <w:jc w:val="left"/>
        <w:tblInd w:w="0" w:type="dxa"/>
        <w:tblLayout w:type="fixed"/>
        <w:tblCellMar>
          <w:top w:w="28" w:type="dxa"/>
          <w:left w:w="28" w:type="dxa"/>
          <w:bottom w:w="28" w:type="dxa"/>
          <w:right w:w="28" w:type="dxa"/>
        </w:tblCellMar>
      </w:tblPr>
      <w:tblGrid>
        <w:gridCol w:w="559"/>
        <w:gridCol w:w="492"/>
        <w:gridCol w:w="494"/>
        <w:gridCol w:w="109"/>
        <w:gridCol w:w="109"/>
        <w:gridCol w:w="109"/>
        <w:gridCol w:w="266"/>
        <w:gridCol w:w="831"/>
        <w:gridCol w:w="128"/>
        <w:gridCol w:w="128"/>
        <w:gridCol w:w="128"/>
        <w:gridCol w:w="128"/>
        <w:gridCol w:w="266"/>
        <w:gridCol w:w="831"/>
        <w:gridCol w:w="128"/>
        <w:gridCol w:w="109"/>
        <w:gridCol w:w="109"/>
        <w:gridCol w:w="109"/>
        <w:gridCol w:w="267"/>
        <w:gridCol w:w="639"/>
        <w:gridCol w:w="130"/>
        <w:gridCol w:w="109"/>
        <w:gridCol w:w="109"/>
        <w:gridCol w:w="109"/>
        <w:gridCol w:w="232"/>
        <w:gridCol w:w="232"/>
        <w:gridCol w:w="67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3,275 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3,552 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interest income was primarily due to lower average cash balances during the six months ended June 30, 2026.</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income, net</w:t>
      </w:r>
    </w:p>
    <w:tbl>
      <w:tblPr>
        <w:tblW w:w="7761" w:type="dxa"/>
        <w:jc w:val="left"/>
        <w:tblInd w:w="0" w:type="dxa"/>
        <w:tblLayout w:type="fixed"/>
        <w:tblCellMar>
          <w:top w:w="28" w:type="dxa"/>
          <w:left w:w="28" w:type="dxa"/>
          <w:bottom w:w="28" w:type="dxa"/>
          <w:right w:w="28" w:type="dxa"/>
        </w:tblCellMar>
      </w:tblPr>
      <w:tblGrid>
        <w:gridCol w:w="640"/>
        <w:gridCol w:w="564"/>
        <w:gridCol w:w="566"/>
        <w:gridCol w:w="109"/>
        <w:gridCol w:w="109"/>
        <w:gridCol w:w="109"/>
        <w:gridCol w:w="332"/>
        <w:gridCol w:w="596"/>
        <w:gridCol w:w="160"/>
        <w:gridCol w:w="160"/>
        <w:gridCol w:w="160"/>
        <w:gridCol w:w="160"/>
        <w:gridCol w:w="332"/>
        <w:gridCol w:w="773"/>
        <w:gridCol w:w="160"/>
        <w:gridCol w:w="109"/>
        <w:gridCol w:w="109"/>
        <w:gridCol w:w="109"/>
        <w:gridCol w:w="267"/>
        <w:gridCol w:w="639"/>
        <w:gridCol w:w="130"/>
        <w:gridCol w:w="109"/>
        <w:gridCol w:w="109"/>
        <w:gridCol w:w="109"/>
        <w:gridCol w:w="232"/>
        <w:gridCol w:w="232"/>
        <w:gridCol w:w="677"/>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78 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999 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(921)</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income, net, between 2026 and 2025 was primarily due to unfavorable foreign currency exchange activity related to our intercompany loans denominated in British Pound Sterling.</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income taxes</w:t>
      </w:r>
    </w:p>
    <w:tbl>
      <w:tblPr>
        <w:tblW w:w="8470" w:type="dxa"/>
        <w:jc w:val="left"/>
        <w:tblInd w:w="0" w:type="dxa"/>
        <w:tblLayout w:type="fixed"/>
        <w:tblCellMar>
          <w:top w:w="28" w:type="dxa"/>
          <w:left w:w="28" w:type="dxa"/>
          <w:bottom w:w="28" w:type="dxa"/>
          <w:right w:w="28" w:type="dxa"/>
        </w:tblCellMar>
      </w:tblPr>
      <w:tblGrid>
        <w:gridCol w:w="897"/>
        <w:gridCol w:w="786"/>
        <w:gridCol w:w="791"/>
        <w:gridCol w:w="109"/>
        <w:gridCol w:w="109"/>
        <w:gridCol w:w="109"/>
        <w:gridCol w:w="234"/>
        <w:gridCol w:w="732"/>
        <w:gridCol w:w="281"/>
        <w:gridCol w:w="113"/>
        <w:gridCol w:w="113"/>
        <w:gridCol w:w="113"/>
        <w:gridCol w:w="234"/>
        <w:gridCol w:w="732"/>
        <w:gridCol w:w="281"/>
        <w:gridCol w:w="109"/>
        <w:gridCol w:w="109"/>
        <w:gridCol w:w="109"/>
        <w:gridCol w:w="226"/>
        <w:gridCol w:w="706"/>
        <w:gridCol w:w="109"/>
        <w:gridCol w:w="109"/>
        <w:gridCol w:w="109"/>
        <w:gridCol w:w="109"/>
        <w:gridCol w:w="232"/>
        <w:gridCol w:w="232"/>
        <w:gridCol w:w="677"/>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9,678 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5,209 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61 </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52 </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There was a $4.5 million increase in the provision for income taxes for the six months ended June 30, 2026 compared to the six months ended June 30, 2025. The change was primarily due to higher pre-tax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income and decreased excess tax benefits from stock-based compensation for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fund our operations and capital expenditures from cash flows from operating activities. Our primary requirements for liquidity and capital are to finance working capital, capital expenditures and general corporate purposes. As of June 30, 2026, our principal sources of liquidity were cash and cash equivalents of $167.2 million, which consisted of cash on deposit with banks and money market funds, of which approximately $4.2 million related to our foreign subsidiaries. Our cash and cash equivalents decreased by $35.9 million from December 31, 2025 to June 30, 2026, primarily as a result of cash used in financing activities, including repurchases of common stock, shares surrendered for settlement of minimum statutory tax withholding as well as the payment of deferred consideration for the Formation Nation acquisition partially offset by cash provided by operating activities. </w:t>
      </w:r>
    </w:p>
    <w:p>
      <w:pPr>
        <w:pStyle w:val="TextBody"/>
        <w:bidi w:val="0"/>
        <w:spacing w:lineRule="auto" w:line="288" w:before="120" w:after="120"/>
        <w:ind w:left="0" w:right="0" w:firstLine="450"/>
        <w:jc w:val="left"/>
        <w:rPr/>
      </w:pPr>
      <w:r>
        <w:rPr>
          <w:rFonts w:ascii="Work Sans;sans-serif" w:hAnsi="Work Sans;sans-serif"/>
          <w:b w:val="false"/>
          <w:color w:val="000000"/>
          <w:sz w:val="18"/>
        </w:rPr>
        <w:t>We currently anticipate that our available cash, cash equivalents and cash provided by operating activities will be sufficient to meet our operational cash needs for at least the next twelve months and in the foreseeable futu</w:t>
      </w:r>
      <w:r>
        <w:rPr>
          <w:rFonts w:ascii="Work Sans;sans-serif" w:hAnsi="Work Sans;sans-serif"/>
          <w:b w:val="false"/>
          <w:color w:val="000000"/>
          <w:sz w:val="18"/>
          <w:shd w:fill="FFFFFF" w:val="clear"/>
        </w:rPr>
        <w:t xml:space="preserve">re. We have the ability to supplement our liquidity needs with borrowings under our Amended Revolving Facility.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October 2023, our board of directors approved a stock repurchase program authorizing repurchases of our common stock with no fixed expiration. In February 2026, our board of directors approved a $100.0 million increase in our stock repurchase program, bringing the aggregate amount authorized to $415.0 million. </w:t>
      </w:r>
      <w:r>
        <w:rPr>
          <w:rFonts w:ascii="Work Sans;sans-serif" w:hAnsi="Work Sans;sans-serif"/>
          <w:b w:val="false"/>
          <w:color w:val="000000"/>
          <w:sz w:val="18"/>
          <w:shd w:fill="FFFFFF" w:val="clear"/>
        </w:rPr>
        <w:t xml:space="preserve">Approximately </w:t>
      </w:r>
      <w:r>
        <w:rPr>
          <w:rFonts w:ascii="Work Sans;sans-serif" w:hAnsi="Work Sans;sans-serif"/>
          <w:b w:val="false"/>
          <w:color w:val="000000"/>
          <w:sz w:val="18"/>
        </w:rPr>
        <w:t>$80.4 million</w:t>
      </w:r>
      <w:r>
        <w:rPr>
          <w:color w:val="000000"/>
          <w:shd w:fill="FFFFFF" w:val="clear"/>
        </w:rPr>
        <w:t xml:space="preserve"> </w:t>
      </w:r>
      <w:r>
        <w:rPr>
          <w:rFonts w:ascii="Work Sans;sans-serif" w:hAnsi="Work Sans;sans-serif"/>
          <w:b w:val="false"/>
          <w:color w:val="000000"/>
          <w:sz w:val="18"/>
          <w:shd w:fill="FFFFFF" w:val="clear"/>
        </w:rPr>
        <w:t>remained available for future repurchases under the stock repurchase program as of June 30, 2026</w:t>
      </w:r>
      <w:r>
        <w:rPr>
          <w:rFonts w:ascii="Work Sans;sans-serif" w:hAnsi="Work Sans;sans-serif"/>
          <w:b w:val="false"/>
          <w:color w:val="000000"/>
          <w:sz w:val="18"/>
        </w:rPr>
        <w:t>. For additional information regarding our stock repurchase program, refer to Note 7 to our unaudited condensed consolidated financial statements.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24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entered into a $100.0 million amended and restated credit and guaranty agreement with JPMorgan Chase Bank, N.A., as the administrative agent, with a maturity date of July 14, 2030. We refer to the amended and restated credit and guaranty agreement, as amended from time to time, as the Amended Revolving Facility. The Amended Revolving Facility also provides for the issuance of up to $20.0 million of letters of credit as well as borrowings on same-day notice, referred to as swingline loans, in an amount of up to $10.0 million. As of June 30, 2026, we had no borrowings outstanding and $100.0 million was available for use under our Amended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Subject to the satisfaction of certain criteria, we will be able to increase the Amended Revolving Facility by an amount equal to the sum of (i) the greater of $90.0 million and 75% of consolidated last twelve months cash earnings before interest expense, tax, depreciation and amortization (“LTM CEBITDA”) plus (ii) 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pay a commitment fee in respect of unutilized commitments under the Amended Revolving Facility. The commitment fee is, initially, 0.35% per annum. The commitment fee is subject to a reduction of 0.10% if the total net first lien leverage ratio does not exceed 3.50 to 1.00 and an additional reduction of 0.05% if the total net first lien leverage ratio does not exceed 1.00 to 1.00. We are also required to pay customary letter of credit fees and agency fees. U.S. dollar borrowings under the Amended Revolving Facility bear interest at a rate per annum equal to, at the borrower’s option, either (a) the Secured Overnight Financing Rate (“Term SOFR”) plus a margin ranging from 2.00% to 1.25% or (b) a margin ranging from 1.00% to 0.25% plus the highest of (i) the administrative agent’s prime rate, (ii) the Federal Funds rate plus 0.50% or (iii) one-month Term SOFR plus 1%. The interest rate margins under the Amended Revolving Facility are subject to one reduction of 0.25%, a second reduction of 0.25% and a further reduction of 0.25% each upon achieving total net first lien leverage ratios of 3.50 to 1.00, 2.50 to 1.00 and 1.00 to 1.00,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Amended Revolving Facility. The principal amount outstanding is due and payable in full at maturity on July 14, 2030.</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Amended Revolving Facility are guaranteed by our existing and future direct and indirect material wholly-owned domestic subsidiaries, subject to certain exceptions. The Amended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Amended Revolving Facility requires compliance with a total net first lien leverage ratio not to exceed 4.50 to 1.00 (the “Financial Covenant”). The Financial Covenant will be tested at quarter-end only if the total principal amount of all revolving loans, swingline loans and drawn letters of credit that have not been reimbursed exceeds 35% of the total commitments under the Amended Revolving Facility on the last day of such fiscal quarter.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8739" w:type="dxa"/>
        <w:jc w:val="center"/>
        <w:tblInd w:w="0" w:type="dxa"/>
        <w:tblLayout w:type="fixed"/>
        <w:tblCellMar>
          <w:top w:w="28" w:type="dxa"/>
          <w:left w:w="28" w:type="dxa"/>
          <w:bottom w:w="28" w:type="dxa"/>
          <w:right w:w="28" w:type="dxa"/>
        </w:tblCellMar>
      </w:tblPr>
      <w:tblGrid>
        <w:gridCol w:w="2125"/>
        <w:gridCol w:w="1864"/>
        <w:gridCol w:w="1876"/>
        <w:gridCol w:w="233"/>
        <w:gridCol w:w="947"/>
        <w:gridCol w:w="112"/>
        <w:gridCol w:w="112"/>
        <w:gridCol w:w="112"/>
        <w:gridCol w:w="112"/>
        <w:gridCol w:w="233"/>
        <w:gridCol w:w="854"/>
        <w:gridCol w:w="159"/>
      </w:tblGrid>
      <w:tr>
        <w:trPr/>
        <w:tc>
          <w:tcPr>
            <w:tcW w:w="2125"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86,829 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89,842 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(12,165)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(26,818)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provided by financing activities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(110,465)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11,800 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Effect of exchange rate changes on cash and cash equivalents </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(decrease) increase in cash and cash equivalents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(35,873)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74,971 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provided by operating activities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adjusted for certain non-cash items, including depreciation and amortization expense, stock-based compensation and gain on sale of assets held for sale, as well as the effect of changes in operating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2026, cash provided by operating activities was $86.8 million resulting from net income of $6.3 million, adjusted for stock-based compensation and other non-cash expenses of $77.4 million and net cash flows provided by changes in operating assets and liabilities of $3.2 million. The $77.4 million of stock-based compensation and other non-cash expenses resulted primarily from $44.9 million in stock-based compensation expense, $22.4 million in depreciation and amortization expense, and $1.9 million in amortization of right-of-use assets. The $3.2 million of net cash flows provided by changes in operating assets and liabilities resulted primarily from a $17.5 million increase in deferred revenue resulting from advance billings for subscription services, which are predominantly billed in advance of our revenue recognition, and an $8.7 million increase in accounts payable, partially offset by a $15.6 million decrease in accrued expenses and other liabilities, and a $7.0 million increase in prepaid expenses and other current assets.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investing activities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features, which provide value to our customers, business acquisitions and investments in other companies. As our business grows, we expect our capital expenditures to continue to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2026, net cash used in investing activities was $12.2 million comprised of purchases of property and equipment, including capitalization of internal-use software.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financing activities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and settlements of stock-based compensation awards. Net cash used in financing activities is primarily impacted by exercises of stock options by our employees and issuance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2026, net cash used in financing activities was $110.5 million, primarily resulting from $89.0 million in repurchases of common stock pursuant to our stock repurchase program, $12.5 million for the deferred consideration paid relating to the Formation Nation acquisition, and $9.5 million for settlement of minimum statutory tax withholding obligations related to equity awards.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$58.5 million over a three-year period, of which $37.2 million remains to be paid as of June 30, 2026.</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A</w:t>
      </w:r>
      <w:r>
        <w:rPr>
          <w:rFonts w:ascii="Work Sans;sans-serif" w:hAnsi="Work Sans;sans-serif"/>
          <w:b w:val="false"/>
          <w:color w:val="000000"/>
          <w:sz w:val="18"/>
        </w:rPr>
        <w:t>t June 30, 2026, we had various non-cancelable operating leases for office space, which expire between May 2027 and June 2033. As of June 30, 2026, we had total minimum operating lease maturities of $16.6 million, $2.1 million of which mature within six months. See Note 8 of our consolidated financial statements included in our 2025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supplement our unaudited condensed consolidated financial statements, which are prepared and presented in accordance with U.S. generally accepted accounting principles (“GAAP”), we use certain non-GAAP financial measures, as described below, to understand and evaluate our core operating performance. We believe that these non-GAAP financial measures provide investors with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also believe that these measures provide an additional tool for investors to use in comparing our core financial performance over multiple periods with other companies in our industry. These non-GAAP measures should not be considered in isolation of, or as a substitute or an alternative to, measures prepared and presented in accordance with GAAP.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expense, interest income, (benefit from) provision for income taxes, depreciation and amortization, other expense (income), net, stock-based compensation and certain non-recurring income and expenses from time to time. We define Adjusted EBITDA margin as Adjusted EBITDA as a percentage of revenue. We define net income (loss) margin as net income (loss) as a percentage of revenue based on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is one of the primary performance measures used by our management and our board of directors to understand and evaluate our financial performance and operating trends, including period-to-period comparisons, preparing and approving our annual budget and operational performance. In assessing our performance, we exclude certain expenses that we believe are not comparable period over period or that we believe are not indicative of our underlying operating performance. There are a number of limitations related to the use of Adjusted EBITDA rather than net income (loss), which include that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certain expenses that we do not consider representative of our underlying operating performance, but that reduce cash available to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360"/>
        <w:gridCol w:w="1145"/>
        <w:gridCol w:w="1150"/>
        <w:gridCol w:w="109"/>
        <w:gridCol w:w="109"/>
        <w:gridCol w:w="109"/>
        <w:gridCol w:w="341"/>
        <w:gridCol w:w="259"/>
        <w:gridCol w:w="526"/>
        <w:gridCol w:w="164"/>
        <w:gridCol w:w="164"/>
        <w:gridCol w:w="164"/>
        <w:gridCol w:w="341"/>
        <w:gridCol w:w="310"/>
        <w:gridCol w:w="501"/>
        <w:gridCol w:w="109"/>
        <w:gridCol w:w="109"/>
        <w:gridCol w:w="109"/>
        <w:gridCol w:w="321"/>
        <w:gridCol w:w="237"/>
        <w:gridCol w:w="529"/>
        <w:gridCol w:w="154"/>
        <w:gridCol w:w="154"/>
        <w:gridCol w:w="154"/>
        <w:gridCol w:w="321"/>
        <w:gridCol w:w="237"/>
        <w:gridCol w:w="529"/>
        <w:gridCol w:w="109"/>
        <w:gridCol w:w="109"/>
        <w:gridCol w:w="109"/>
        <w:gridCol w:w="163"/>
      </w:tblGrid>
      <w:tr>
        <w:trPr/>
        <w:tc>
          <w:tcPr>
            <w:tcW w:w="13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c>
          <w:tcPr>
            <w:tcW w:w="490" w:type="dxa"/>
            <w:gridSpan w:val="4"/>
            <w:tcBorders/>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(1,627)</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6,965</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9,678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11,274</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22,411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23,596</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44,910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60,394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Transaction-related expenses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378</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1,021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45,898</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82,360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75,977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5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w:t>
            </w:r>
          </w:p>
        </w:tc>
        <w:tc>
          <w:tcPr>
            <w:tcW w:w="5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(1)     For 2025, transaction-related expenses are primarily related to our acquisition of Formation Nation. For 2026, transaction-related expenses are related to the evaluation and pursuit of strategic transactions.</w:t>
      </w:r>
    </w:p>
    <w:p>
      <w:pPr>
        <w:pStyle w:val="TextBody"/>
        <w:bidi w:val="0"/>
        <w:spacing w:lineRule="auto" w:line="288" w:before="12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(2)     For 2026 and 2025, restructuring costs are related to the reduction of our global headcount.</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increased from $39.0 million for the three months ended June 30, 2025 to $45.9 million for the three months ended June 30, 2026. The increase of $6.9 million was primarily driven by a $12.8 million increase in revenue and a $1.0 million decrease in cost of revenue, excluding non-cash items partially offset by a $6.9 million increase in operating expenses, excluding non-cash and non-recurring items.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increased from $76.0 million for the six months ended June 30, 2025 to $82.4 million for the six months ended June 30, 2026. The increase of $6.4 million was primarily driven by a $36.5 million increase in revenue, partially offset by a $22.3 million increase in operating expenses, excluding non-cash and non-recurring items, and a $7.7 million increase in cost of revenue, excluding non-cash items.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Free cash flow is a liquidity measure used by management in evaluating the cash generated by our operations after purchases of property and equipment including capitalized internal-use software. We believe free cash flow provides useful information to management and investors about the amount of cash generated by our business that can be used for strategic opportunities, including investing in our business and strengthening our balance sheet, once our business needs and obligations are met. The usefulness of free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393"/>
        <w:gridCol w:w="2102"/>
        <w:gridCol w:w="2110"/>
        <w:gridCol w:w="109"/>
        <w:gridCol w:w="109"/>
        <w:gridCol w:w="109"/>
        <w:gridCol w:w="237"/>
        <w:gridCol w:w="871"/>
        <w:gridCol w:w="114"/>
        <w:gridCol w:w="114"/>
        <w:gridCol w:w="114"/>
        <w:gridCol w:w="114"/>
        <w:gridCol w:w="237"/>
        <w:gridCol w:w="871"/>
        <w:gridCol w:w="114"/>
        <w:gridCol w:w="109"/>
        <w:gridCol w:w="109"/>
        <w:gridCol w:w="109"/>
        <w:gridCol w:w="160"/>
      </w:tblGrid>
      <w:tr>
        <w:trPr/>
        <w:tc>
          <w:tcPr>
            <w:tcW w:w="239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86,829 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89,842 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(12,165)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(16,908)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74,664 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72,934 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an increase in our free cash flow from $72.9 million for the six months ended June 30, 2025 to $74.7 million for the six months ended June 30, 2026. The increase was primarily due to a $4.7 million decrease in capital expenditures for the purchase of property and equipment, including capitalized internal-use software, partially offset by a $3.0 million decrease in net cash provided by operating activities. The decrease in net cash provided by operating activities primarily reflected a $19.0 million unfavorable change in operating assets and liabilities, partially offset by a $14.5 million increase in non-cash adjustments and a $1.4 million increase in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88" w:before="240" w:after="120"/>
        <w:ind w:left="0" w:right="0" w:firstLine="450"/>
        <w:jc w:val="left"/>
        <w:rPr/>
      </w:pPr>
      <w:r>
        <w:rPr>
          <w:rFonts w:ascii="Work Sans;sans-serif" w:hAnsi="Work Sans;sans-serif"/>
          <w:b w:val="false"/>
          <w:color w:val="000000"/>
          <w:sz w:val="18"/>
        </w:rPr>
        <w:t>During the three and six months ended June 30, 2026, there were no significant changes to our critical accounting estimates compared with those described under the heading “</w:t>
      </w:r>
      <w:r>
        <w:rPr>
          <w:rFonts w:ascii="Work Sans;sans-serif" w:hAnsi="Work Sans;sans-serif"/>
          <w:b w:val="false"/>
          <w:i/>
          <w:color w:val="000000"/>
          <w:sz w:val="18"/>
        </w:rPr>
        <w:t>Management’s Discussion and Analysis of Financial Condition and Results of Operations—Critical Accounting Estimates</w:t>
      </w:r>
      <w:r>
        <w:rPr>
          <w:color w:val="000000"/>
        </w:rPr>
        <w:t xml:space="preserve">” </w:t>
      </w:r>
      <w:r>
        <w:rPr>
          <w:rFonts w:ascii="Work Sans;sans-serif" w:hAnsi="Work Sans;sans-serif"/>
          <w:b w:val="false"/>
          <w:color w:val="000000"/>
          <w:sz w:val="18"/>
        </w:rPr>
        <w:t>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Refer to Note 2 to our unaudited condensed consolidated financial statements appearing elsewhere in this Quarterly Report on Form 10-Q for further information on certain accounting standards adopted in the period ended June 30, 2026 and recent accounting announcements that have not yet been required to be implemented and may be applicable to our future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Quantitative and Qualitative Disclosures About Market Risk</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June 30, 2026 and December 31, 2025, we had cash and cash equivalents of $167.2 million and $203.1 million, respectively, which consisted of cash on deposit with banks and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June 30, 2026 and December 31, 2025 and, as a result, we do not expect to be exposed to fluctuations in interest rates for the foreseeable future. However, we would be subject to fluctuation in interest rates if we draw down under our Amended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foreign currency risks related to our revenue, expenses, and intercompany balances denominated in currencies other than our functional currency, the U.S. Dollar, principally the British Pound Sterling. The volatility of exchange rates depends on many factors that we cannot forecast with reliable accuracy. We have experienced and will continue to experience fluctuations in our net income as a result of transaction gains and losses related to translating certain cash balances, trade accounts receivable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payable balances and intercompany loans that are denominated in currencies other than the U.S. Dollar. The foreign currency transaction loss was immaterial during the six months ended June 30, 2026. A 10% adverse change in foreign exchange rates on foreign-denominated accounts, including intercompany balances, for the six months ended June 30, 2026 would have been immaterial.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principal executive officer and principal financial officer concluded that, as of June 30, 2026, our disclosure controls and procedures were effective at the reasonable assurance level.</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changes in our internal control over financial reporting identified in connection with the evaluation required by Rules 13a-15(d) and 15d-15(d) of the Exchange Act during the three months ended June 30, 2026 that have materially affected, or are reasonably likely to materially affect, our internal control over financial reporting.</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Limitations on effectiveness of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 Legal Proceedings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significant portion of our transaction revenue is generated by providing business formation services to our customers. The number of business formations on our platform is subject to unpredictable declines or fluctuations as a result of a number of factors, many of which are out of our control, including an overall decline in the number of U.S. business formations, economic slowdowns or downturns, public health events, increased competition, regulatory obstacles, changes in law (including changes in tax laws and regulations), inflation, tariffs, interest rates, government assistance, increased compliance or operating costs (including wage and benefit pressures) and customer dissatisfaction. In addition, emerging technologies, including generative AI and AI-powered platforms, are changing how customers discover and engage with our services. These technologies have reduced and may continue to reduce organic traffic to our platform by enabling customers to obtain information or complete certain formation-related tasks without using our services. As a result, our traditional customer acquisition channels may continue to become less effective. We are diversifying our customer acquisition channels and expanding our go-to-market strategy, including through strategic partnerships and collaborations with third parties, including AI platforms. However, these efforts are evolving, may not be successful, and may not offset potential declines in our traditional channels. Further, the U.S. continues to experience significant political events that cast uncertainty on global financial and economic markets. Actions taken by the current Presidential administration have had and may continue to have a negative impact on the U.S. economy and the number of U.S. business formations.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overall U.S.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our customers expanding their use of our platform, including our transactional customers converting into subscribers and our subscribers renewing their subscriptions with us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the past few years, a significant amount of our revenue has been derived from our subscriptions for small businesses and individuals. In 2025 and the six months ended June 30, 2026, approximately 65% and 64%, respectively, of our revenue came from subscriptions. Subscriptions have primarily originated from transactional customers who opted to become subscribers. For us to maintain or improve our operating results, including our revenue growth rate, it is important that we convert transactional customers into subscribers, retain our existing subscribers and that our existing subscribers expand their use of our platform.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we provide, our pricing and the pricing of competing products or services, the lifecycle of our customers’ businesses and their evolving needs, the effects of global economic conditions, regulatory changes and reductions in subscribers’ discretionary income and spending levels. As a result, we cannot accurately predict subscription renewal rates or the number of existing or new customers that will subscribe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services, including whether customers will continue to subscribe at the same rate as they have historically. During 2025, we experienced a deceleration in our subscription revenue growth rate. If our subscription revenue growth rate does not continue to improve, our business, results of operations, financial condition and future prospects would be adversely affected. If the growth of our subscription business, including our subscription revenue growth rate, falls 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future quarterly results of operations may fluctuate significantly</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and retain existing customers, including 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any new or discontinued products, pricing changes, the bundling of certain product offerings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transactional products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application of new or changing financial accounting standards or practices;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staffing and other practices and the functionality of their websites, which may cause delay or disruptions in our business, including the processing of business formations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or uncertainty with respect thereto,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Fluctuations in our quarterly operating results may be particularly pronounced in the current global macroeconomic environment, including due to uncertainty caused by recessionary fears, inflation, tariffs and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operating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You should not rely on the results of any given quarter as an indication of future performance.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and we may not be able to maintain profitability</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As of June 30, 2026, we had an accumulated deficit of $1,217.9 million.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will need to generate and sustain increased revenue levels in future periods to maintain or increase our level of profitability. If our revenue and gross profits do not grow at a greater rate than our operating expenses, we will not be able to maintain or increase profitability and our business may be harmed.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products and services that meet our customers’ expectations, we may not be able to attract and retain customers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quality and value of our services, customer care and customer experience, as well as the quality and accuracy of the services provided by the independent attorneys who participate in our networks, are critical to the success of our business and our ability to attract and retain customers. The failure or perceived failure of our customer support and fulfillment services and/or these independent attorneys to satisfy customer expectations could impede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intend to continue to add new products and services and enhance our existing products and services, both of which will require us to devote significant resources before we know whether such products or services will be successful. For instance, in late 2025 we launched new business manager offerings for the DIFM management of business compliance requirements.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or results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success depends on our ability to provide innovative features that make our platform useful for existing and prospective customers. We have invested and intend to continue to invest resources in technology and development to continue improving the simplicity and effectiveness of our platform. As generative AI tools become more prevalent, potential customers may view these tools as replacements to some of the services we provide. We must continue to integrate AI into our services in a differentiated manner in order to attract new customers. There is no assurance that our past or future investments in any changes or developments to our platform will provide us with the benefits we expect.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because our platform is available over the internet and on mobile networks, we need to regularly modify and enhance our platform to keep pace with changes in internet-related hardware, software, communications and database technologies and standards. We expect the number of people who access our platform through mobile devices, including smartphones and handheld tablets or computers, to increase. If we are not able to provide customers with the experience, solutions and functionality they want on mobile devices, we may not be able to attract or retain customers or convert our website traffic into customers and our business may be harmed. If we are unable to respond to these rapid technological developments and changes in a timely and cost-effective manner, our platform may become less marketable, less competitive or obsolete, and our business, results of operations, financial condition and future prospects would be harmed. If new technologies emerge that can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and harm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very competitive industry. We face intense competition from law firms, solo attorneys, online legal document services, legal plans, secretaries of state and other service providers. The online legal solutions market is evolving rapidly and is becoming increasingly competitive. New market entrants that provide technologies that improve the delivery of legal solutions, such as AI and machine learning,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increased and could continue to increase the level of competition in the market. Other companies that focus on the online legal services market or business formations, including law firms that may elect to pursue the online legal services market, can and do directly compete with us. Law firms and solo attorneys, who provide in-person consultations and are able to provide direct legal advice that we generally cannot offer due to laws and regulations regarding the unauthorized practice of law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U.S. state and federal agencies have increased their offerings to our target customers or otherwise make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To the extent we are unable to compete, our business, results of operations, financial condition or future prospects may be harmed.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have developed and may continue to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and other third party sources related to our business practices, as well as customer care, data privacy or security issues, irrespective of their validity, could diminish confidence in our services and adversely affect our brand and reputation and our ability to attract and retain customers.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 parties, including the independent attorneys who participate in our network and the partners to which we refer our customers for business insurance, tax solutions or banking services, among others. The failure or perceived failure of these third parties to satisfy customer expectations could negatively impact our brand and reputation.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AI into some of our offerings, which may present both compliance risks and reputational risks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incorporated and intend to continue incorporating a number of AI-powered features into our platform and product offerings. The technologies underpinning these features are in the early stages of commercial use and present a number of regulatory, litigation, ethical, reputational, operational and financial risks. AI technologies, including the third-party large language models incorporated into our offerings, may create accuracy issues, including flawed, incomplete, or inaccurate outputs and/or unintended biases and discriminatory outcomes. If the output, recommendations, content, or analyses that our AI applications assist in producing are or are alleged to be deficient, inaccurate, biased or discriminatory, or if they are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to constitute UPL, we could be subjected to competitive harm, legal or regulatory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Moreover, the regulatory framework for AI is rapidly evolving as many federal, state, and foreign government bodies and agencies have introduced or are considering additional laws and regulations. For example, the Colorado AI Act and California’s AI-related laws regulate the development and deployment of AI technologies. While new AI initiatives, laws, and regulations are emerging and evolving, what they ultimately will look like remains uncertain, and our obligation to comply with them could impact our development, offering and use of AI technologies, entail significant costs, limit our ability to incorporate certain AI capabilities into our business, or result in regulatory investigations and actions, and lawsuits.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 addition, our employees use AI technologies to perform certain functions of their work, and the disclosure and use of personal data in AI technologies is subject to various privacy laws and other privacy obligations. Further, sensitive information regarding the Company or its customers could be leaked, disclosed, or revealed as a result of or in connection with the use of AI technologies by our employees or vendors.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business, results of operations, financial condition and future prospects may be adversely affected</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and retain customers depends largely on our marketing channels. The primary marketing channels that generate traffic for our websites include search engine marketing, social media and other digital channels, television and our sales team.</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formulas designed by search engine companies. Internet search engines periodically revise their algorithms, methodologies and displays or incorporate AI into their platforms in ways that are outside of our control. The search ecosystem increasingly includes AI-generated responses that provide direct answers without requiring users to click through to a website. This shift toward “zero-click” searches has contributed, and may continue to contribute, to reduced organic traffic, increased customer acquisition costs, and less effective search engine optimization and digital marketing strategies. Furthermore, because AI overviews within the search experience cite multiple sources for a generated answer, any individual publisher’s impact may be diluted, diminishing brand recognition.</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our ad placements for target keywords declines, we have been and may again be required to increase our marketing expenses or reduce the number or prominence of our paid listings. If we reduce our internet search engine advertising, the number of customers who visit our websites could decline significantly. Further, if we violate, or a search engine provider believes we have violated, the terms of service, the provider could limit or discontinue its support for our paid search results. For example, the ways in which Google chooses to enforce its policy regarding the advertisement of federal filings has resulted and could continue to result in a decline in our paid search results and a resulting decrease in traffic to our website. Any such limitations or discontinuations could significantly reduce our ability to attract new customers. </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Additionally, changes in regulations or third party business practices have in the past and could in the future limit our ability, and the ability of platforms such Google and Meta, to collect data from users and engage in targeted advertising, reducing their effectiveness in reaching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been and may again be required to adopt new marketing approaches in response to shifts in how customers consume information online. These efforts to remain competitive may increase our costs without a corresponding increase in sales or customer acquisition. Any inability to respond to these changes effectively, or any reduction or loss of our current advertising channels, could adversely affect our ability to attract new customers and, in turn,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flexible first work policy, which results in a predominantly remote workforce, has made it difficult to orient, train, develop, motivate, and engage with our employees and embed them into the LegalZoom culture. If we are not able to effectively attract or retain quality employees and manage both our domestic and international workforce, including if employee relations deteriorate,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attorney network to service the needs of our legal plan subscribers and to support our attorney assisted legal offerings, or if these attorneys encounter regulatory issues that prevent them from being able to service these customer needs, we may not be able grow and maintain our legal plan subscription business or other assisted legal solutions and, as a result,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 party relationships to sustain and grow our business. For example, we currently partner with a variety of third parties to provide us with lead referrals and to provide our customers with tax solutions, website development, credit card and banking services, productivity tools and business insurance, among others. Our customer experience depend on our ability to connect to, and integrate easily with such third-party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result in disputes or litigation or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we continue to add different types of partners to our partner ecosystem, it is uncertain whether any new or current third party partners will be successful in building integrations, co-marketing our solutions to provide a significant volume and quality of lead referrals and orders, or continuing to work with us as their own businesses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parties. If we are unable to respond to these failures in a cost-effective manner, our solutions may become less marketable, less competitive or obsolete, and our results of operations may be negatively impacted.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reliance on third-party providers could adversely affect our business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and related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or intellectual property needs.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third parties in connection with the fulfillment and distribution of our services, including the independent attorneys that support our legal plan network and other parties that support our registered agent and virtual mail subscription services. We also outsource certain operational functions, including certain sales, customer service and fulfillment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these third parties limit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Any loss of the right to use any of these data, technology or intellectual property licenses or services on commercially reasonable terms, or at all, could result in delays in producing or delivering our solutions until equivalent data, technology, intellectual property or services are identified and integrated, which delays could harm our business. If we fail to maintain or renegotiate any of these data, technology or intellectual property licenses or services, we could face significant delays and diversion of resources in attempting to identify or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Any future acquisitions or investments may divert our management’s attention, result in additional dilution to our stockholders or adversely affect our operating results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In February 2025, we acquired Formation Nation, and we may in the future seek to acquire or invest in additional businesses, products or technologies. The risks and uncertainties we face in connection with any future acquisitions or investments, whether or not they are consummated, include, but are not limited to:</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may require us to incur charges or assume substantial debt or other liabilities, cause adverse tax consequences, expose us to claims and disputes by stockholders and third parties, including intellectual property claims and disputes, and may not generate sufficient financial return to offset any additional costs and expenses related to such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difficulties or unforeseen expenditures in integrating the business, technologies, products, personnel or operations of the acquired company, particularly if key personnel of the acquired company decide not to work for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8"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inability to retain personnel, key customers, distributors, vendors and other business partners of the acquired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inability to realize the financial and strategic goals or anticipated synergies of the acquisition or investment on a timely basis, if at all;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incurring higher than anticipated costs to effectively integrate an acquired business, to bring an acquired company into compliance with applicable laws and regulations or due to additional compensation issued or assumed in connection with an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disruption to our ongoing business, diversion of resources and distraction of our management;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delays or reductions in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exposure to litigation or other claims in connection with, or inheritance of claims or litigation risk as a result of, an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potential identified or unknown security vulnerabilities in acquired products or technologies that expose us to additional security risks or delay our ability to integrate the products or technologies into our offerings;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difficulty in maintaining controls, procedures and policies during the transition and integration and inability to conclude that our internal controls over financial reporting are effective;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issuance of a significant amount of equity securities in connection with any future acquisitions could dilute existing stockholders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Any failure to maintain performance, reliability, security or availability of our legal document services and online technology platform to the satisfaction of our customers may harm our brand and reputation,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9"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and Silicon Valley areas, where a large portion of our employees are located, are in earthquake fault zones and because both the Los Angeles area and Frisco, Texas, where a lot of our virtual mail operations are currently located, are subject to the increased risk of wildfires, tornadoes and power outages, we are particularly sensitive to the risk of damage to, or total destruction of, our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susceptible to various legal claims, lawsuits, arbitration, regulatory action or other proceedings, including those related to UPL,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may encounter future claims. For example, our U.S. subsidiary, LZ Legal Services, LLC, is licensed as an alternative business structure, which allows corporate entities to become licensed providers of reserved legal activities in Arizona. As a result, LZ Legal Services, LLC may be susceptible to potential claims from clients, such as breach of contract, product liability, negligence or other claims. Any such claims could result in reputational damage or an adverse effect on our results of operations. The professional liability insurance held by LZ Legal Services, LLC and limiting its liability in accordance with engagement letters with clients may not insure or protect against all potential claims or sufficiently indemnify us or the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50"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three or twelve equal payments. Acceptance and processing of credit and debit cards requires that we pay interchange and other fees. In addition, we rely on third 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TextBody"/>
        <w:bidi w:val="0"/>
        <w:spacing w:lineRule="auto" w:line="288" w:before="240" w:after="120"/>
        <w:jc w:val="left"/>
        <w:rPr/>
      </w:pPr>
      <w:r>
        <w:rPr>
          <w:rFonts w:ascii="Work Sans;sans-serif" w:hAnsi="Work Sans;sans-serif"/>
          <w:b/>
          <w:color w:val="000000"/>
          <w:sz w:val="18"/>
        </w:rPr>
        <w:t>Risks Relating to Our Financial Condition, Indebtedness and Capital Requirements</w:t>
      </w:r>
      <w:r>
        <w:rPr>
          <w:color w:val="000000"/>
        </w:rPr>
        <w:t xml:space="preserv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Further,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and we may be required to revise or cease reporting such metrics or figures. While the numbers we report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51"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itself may affect our understanding of certain details of our business, which could affect our long-term strategies. If our financial and operating metrics are not accurate representations of our business, or if investors do not perceive our operating metrics to be accurate,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in the past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found material weaknesses in our internal control over financial reporting in the past. Although we remediated our material weaknesses and management concluded that our internal control over financial reporting was effective as of December 31, 2025,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revolving facility that we entered into on July 2, 2021, or, as amended from time to time, the Amended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distribute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Amended Revolving Facility also contains a financial covenant that requires us to maintain a total net first lien leverage ratio not to exceed 4.50:1.00 on the last day of any fiscal quarter during which our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52"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Revolving Facility usage exceeds 35% of the Amended Revolving Facility capacity. As a result of the restrictions described above, we may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comply with the covenants and restrictions contained in the Amended Revolving Facility may be affected by economic, financial and industry conditions beyond our control. The restrictions in the Amended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Amended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Amended Revolving Facility is terminated, any additional debt that we incur in the future could subject us to similar or additional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Amended Revolving Facility also permits borrowings denominated in Euros, British pound sterling and other alternative currencies that may be approved by the administrative agent and revolving lenders. Any such non-U.S. dollar-denominated debt may not necessarily correspond to the cash flow we generate in such currencies.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Amended Revolving Facility will be subject to variable rates of interest and expose us to interest rate risk. Sharp changes in interest rates could adversely affect us if amounts are outstanding under the Amended Revolving Facility.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Unused U.S. federal net operating losses (“NOLs”) for taxable years beginning before January 1, 2018, may be carried forward for 20 years to offset future taxable income, if any, until such unused NOLs expire.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 For example, California imposed limits on the usability of California NOLs to offset taxable income and certain business credits to offset California tax liabilities in tax years beginning after 2023 and before 2027.</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unaudited condensed consolidated financial statements and may affect our financial results in the period or periods in which such outcome is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53"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Inflation Reduction Act of 2022 (the “IRA”) and the One Big Beautiful Bill Act (the “OBBBA”);</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New tax laws, statutes, rules, regulations or ordinances could be enacted at any time. For example, the OBBBA, which was enacted into law in July 2025, includes significant changes to federal tax law. New tax laws, including the OBBBA, may affect our operating results and financial conditions. Further, existing tax laws, statutes, rules, regulations or ordinances could be interpreted differently, changed, modified, or repealed at any time. Any such enactment, interpretation, change, modification, or repeal could adversely affect us, possibly with retroactive effect.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changes in the tax laws of foreign jurisdictions could arise as a result of changes to the global implementation of the Inclusive Framework on Base Erosion and Profit Shifting and Pillar Two Model Rules, announced by The Organization for Economic Cooperation and Development. This change, or any other changes in foreign tax laws, if enacted, could increase our tax obligations in the countries where we do business or require us to change the manner in which we operate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Changes in corporate tax rates, the realization of net deferred tax assets, the taxation of foreign earnings and the deductibility of expenses, could potentially have a material impact on the value of our deferred tax assets, could result in significant one-time charges, and could increase our future tax expense.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providing services that meet the legal and other needs of our customers and, as a result, we are subject to a variety of complex and evolving government laws, rules and regulations, including but not limited to, laws and regulations related to labor, advertising, sales and marketing, deceptive trade practices, our subscription offerings and related billing, renewal and cancellation practices, virtual mail, legal document processing services, registered agent services, our legal plans, electronic funds transfer, consumer protection, AI, real estate, e-commerce, promotions, intellectual property (e.g., ownership, examination, registration and infringement), postal, anti-bribery and anti-corruption, insurance, foreign exchange controls and cash repatriation restrictions, anti-competition, environmental, health and safety, and other regulated activities. In recent years, there have been significant new and changing regulations in many of these areas and we expect continued heightened focus by the government on many of these areas. In addition, as we expand our products and services and evolve our business models, we may become subject to additional government regulation or increased regulatory scrutiny.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 federal, state and local laws and regulations to which we are subject is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frequently evolving, and challenges to, changes in, or new interpretations of, such laws and regulations could restrict the types of products and services that we can offer or the prices we can charge or require us to significantly change the ways we currently structure our business and services. For instance, in March 2025, the Financial Crimes Enforcement Network issued an interim final rule removing the requirement for U.S. companies to file a beneficial ownership information report under the Corporate Transparency Act, which was first adopted in September 2022.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54"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employee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alternative business structure (“ABS”), may not insulate us from claims of the unauthorized practice of law and is subject to restrictions under Arizona Code of Judicial Administration</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 Further, in the U.S., we are generally unable to hire attorneys as employees to provide legal advice directly to our customer, because we do not meet certain regulatory requirements, such as being exclusively owned by licensed attorneys. We are currently unable to acquire a license to practice law in most U.S. states, and laws, regulations and professional responsibility rules impose limitations on business transactions between attorneys and persons who are not licensed attorneys, including those related to the ethics of attorney fee-splitting and the corporate practice of law (“CPL”).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However, 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structure our relationships with the independent attorneys who participate in our and our partners' networks in a manner that we believe results in an independent contractor relationship, not an employee relationship. On the other hand, some of our intellectual property offerings are currently fulfilled by our or our subsidiaries’ own lawyers and fulfillment staff. We also use contractors, temporary employees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5"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networks, or the other contractors and consultants used by us. If such regulatory authorities or state, federal or foreign courts were to determine that these attorneys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ordinary course of business, we collect and otherwise process information from and about our customers and others, which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Many other U.S. states have enacted, or have proposed enacting, similar comprehensive privacy laws that impose certain obligations on covered businesses, including providing specific disclosures in privacy notices, conducting privacy and security assessments, obtaining consumer consent and affording residents with certain rights concerning their personal data. The exercise of these rights may impact our business and ability to provide our products and services. These state laws allow for statutory fines for noncompliance. Outside the U.S., an increasing number of laws, regulations and industry standards govern data privacy and security. For example, we are also subject to the European Union’s General Data Protection Regulation (“GDPR”) with respect to some portions of activities. In addition, we are subject to the terms of our privacy policies and obligations to third-parties related to privacy, data protection and information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actual or perceived failure by us or third parties working on our behalf to comply with applicable privacy and data security laws, rules and regulations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 parties that process personal information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56"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Breaches and other types of security incidents of our data, networks or systems, or those of the third parties with whom we work,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otherwise process data and information about our customers, employees and others, some of which are sensitive, personal and/or confidential. Any actual or perceived breach of our security measures or those of the third parties with whom we work could adversely affect our business, operations and future prospects. Circumvention of our security measures or those of our service providers may result in access, misappropriation, deletion, alteration, publication, modification or other compromise of our information or information security systems,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information systems, cloud-based computing services, and those of our current and any future service providers and third parties with whom we work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currently have a flexible-first work policy, which enables flexibility to work remotely and collaborate in offices. This policy, which results in a predominantly remote workforce, poses additional data security risks to our information technology systems and data, as our personnel work from home and utilize network connections outside our premises. Additionally, future or past business transactions, acquisitions or integrations, including our recent acquisition of Formation Nation,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 the past and may in the future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7"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for extended periods of time, which can substantially increase the potential for a material adverse impact resulting from the breach.</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 parties. Our ability to monitor these third parties’ information security practices is limited, and these third parties may not have adequate information security measures in place, which could lead to a breach in our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 parties with whom we work,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 We may experience delays in developing and deploying remedial measures designed to address any such identified vulnerabilities. Vulnerabilities could be exploited and result in a security incident.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Certain of the technologies we currently use incorporate open source software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58"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 parties, and protection and enforcement of our intellectual property rights, including in our trademarks, copyrights, trade secrets and domain names. Third parties may knowingly or unknowingly infringe on or challenge our proprietary rights, and pending and future trademark or other intellectual property applications may not be approved and if approved, may be inadequate to prevent third parties from circumventing such intellectual property rights.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strategic priorities;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integrate AI into our business and products and the potential impact of AI on the demand for our services;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an 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9"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products or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macroeconomic, political, regulatory and market conditions, such as those related to recessionary fears, tariffs, inflation and/or elevated interest rates;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other events or factors, including those resulting from war, incidents of terrorism, a public health pandemic or epidemic, bank failures, or responses to these events.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or other litigation or regulatory investigations. We may be the target of such litigation or investigations in the future, which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88" w:before="240" w:after="120"/>
        <w:ind w:left="0" w:right="0" w:firstLine="450"/>
        <w:jc w:val="left"/>
        <w:rPr/>
      </w:pPr>
      <w:r>
        <w:rPr>
          <w:rFonts w:ascii="Work Sans;sans-serif" w:hAnsi="Work Sans;sans-serif"/>
          <w:b w:val="false"/>
          <w:color w:val="000000"/>
          <w:sz w:val="18"/>
        </w:rPr>
        <w:t>Sales of a substantial number of shares of our common stock in the public market, or the perception that these sales might occur, could depress the market price of our common stock and could impair our ability t</w:t>
      </w:r>
      <w:r>
        <w:rPr>
          <w:rFonts w:ascii="Work Sans;sans-serif" w:hAnsi="Work Sans;sans-serif"/>
          <w:b w:val="false"/>
          <w:color w:val="000000"/>
          <w:sz w:val="18"/>
          <w:shd w:fill="FFFFFF" w:val="clear"/>
        </w:rPr>
        <w:t>o raise capital through the sale of additional equity securities. We are unable to predict the effect that such sales may have on the prevailing market price of our common stock. At June 30, 2026, holders of approximately 55 million shares of our common stock are entitled to rights pursuant to an investors’ rights agreement, subject to some conditions, to require us to file registration statements covering their shares or to include their shares in registration</w:t>
      </w:r>
      <w:r>
        <w:rPr>
          <w:color w:val="000000"/>
        </w:rPr>
        <w:t xml:space="preserve"> </w:t>
      </w:r>
      <w:r>
        <w:rPr>
          <w:rFonts w:ascii="Work Sans;sans-serif" w:hAnsi="Work Sans;sans-serif"/>
          <w:b w:val="false"/>
          <w:color w:val="000000"/>
          <w:sz w:val="18"/>
        </w:rPr>
        <w:t xml:space="preserve">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other affiliates may prevent new investors from influencing significant corporate decisions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Based upon shares of our common stock outstanding as of June 30, 2026, our executive officers, directors and other affiliates, in the aggregate, own shares, directly or indirectly, representing approximately 21%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60"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FPLZ I, L.P., FPLZ II, L.P. and their affiliated investment entities (collectively,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1"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color w:val="000000"/>
        </w:rPr>
      </w:pPr>
      <w:r>
        <w:rPr>
          <w:color w:val="000000"/>
        </w:rPr>
        <w:t>“</w:t>
      </w:r>
      <w:r>
        <w:rPr>
          <w:rFonts w:ascii="Work Sans;sans-serif" w:hAnsi="Work Sans;sans-serif"/>
          <w:b w:val="false"/>
          <w:color w:val="000000"/>
          <w:sz w:val="18"/>
        </w:rPr>
        <w:t>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Exchange Act. Furthermore, Section 22 of the Securities Act of 1933, as amended,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2"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Unregistered Sales of Equity Securities, Use of Proceeds, and Issuer Purchases of Equity Securities</w:t>
      </w:r>
    </w:p>
    <w:p>
      <w:pPr>
        <w:pStyle w:val="TextBody"/>
        <w:bidi w:val="0"/>
        <w:spacing w:lineRule="auto" w:line="288" w:before="240" w:after="120"/>
        <w:jc w:val="left"/>
        <w:rPr/>
      </w:pPr>
      <w:r>
        <w:rPr>
          <w:rFonts w:ascii="Work Sans;sans-serif" w:hAnsi="Work Sans;sans-serif"/>
          <w:b w:val="false"/>
          <w:i/>
          <w:color w:val="000000"/>
          <w:sz w:val="18"/>
        </w:rPr>
        <w:t>Purchases of Equity Securities</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October 2023, our board of directors approved a stock repurchase program authorizing repurchases of our common stock with no fixed expiration. In February 2026, our board of directors approved a $100.0 million increase in our stock repurchase program, bringing the aggregate amount authorized to $415.0 million. Stock repurchases under this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program does not obligate us to acquire any particular amount of common stock and may be modified, suspended or terminated at any time at the discretion of our board of directors.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June 30, 2026 was as follows:</w:t>
      </w:r>
    </w:p>
    <w:tbl>
      <w:tblPr>
        <w:tblW w:w="10205" w:type="dxa"/>
        <w:jc w:val="left"/>
        <w:tblInd w:w="0" w:type="dxa"/>
        <w:tblLayout w:type="fixed"/>
        <w:tblCellMar>
          <w:top w:w="28" w:type="dxa"/>
          <w:left w:w="28" w:type="dxa"/>
          <w:bottom w:w="28" w:type="dxa"/>
          <w:right w:w="28" w:type="dxa"/>
        </w:tblCellMar>
      </w:tblPr>
      <w:tblGrid>
        <w:gridCol w:w="437"/>
        <w:gridCol w:w="382"/>
        <w:gridCol w:w="387"/>
        <w:gridCol w:w="799"/>
        <w:gridCol w:w="508"/>
        <w:gridCol w:w="509"/>
        <w:gridCol w:w="109"/>
        <w:gridCol w:w="109"/>
        <w:gridCol w:w="109"/>
        <w:gridCol w:w="302"/>
        <w:gridCol w:w="784"/>
        <w:gridCol w:w="147"/>
        <w:gridCol w:w="109"/>
        <w:gridCol w:w="109"/>
        <w:gridCol w:w="109"/>
        <w:gridCol w:w="942"/>
        <w:gridCol w:w="694"/>
        <w:gridCol w:w="696"/>
        <w:gridCol w:w="109"/>
        <w:gridCol w:w="109"/>
        <w:gridCol w:w="109"/>
        <w:gridCol w:w="340"/>
        <w:gridCol w:w="2058"/>
        <w:gridCol w:w="239"/>
      </w:tblGrid>
      <w:tr>
        <w:trPr/>
        <w:tc>
          <w:tcPr>
            <w:tcW w:w="4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April 1, 2026 through April 30, 2026</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1,929,703 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1,929,703 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114,269,373 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May 1, 2026 through May 31, 2026</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4,678,124 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4,678,124 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84,888,301 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June 1, 2026 through June 30, 2026</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690,281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690,281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80,447,686 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3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7,298,108 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7,298,108 </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Defaults Upon Senior Securities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 Other Information</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63"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 xml:space="preserve">Item 6. Exhibits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exhibits listed below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66"/>
        <w:gridCol w:w="2795"/>
        <w:gridCol w:w="2802"/>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 xml:space="preserve">Amended and Restated Certificate of Incorporation of LegalZoom.com, Inc. </w:t>
            </w:r>
            <w:hyperlink r:id="rId2">
              <w:r>
                <w:rPr>
                  <w:rStyle w:val="InternetLink"/>
                  <w:rFonts w:ascii="Work Sans;sans-serif" w:hAnsi="Work Sans;sans-serif"/>
                  <w:b w:val="false"/>
                  <w:color w:val="0000FF"/>
                  <w:sz w:val="18"/>
                  <w:u w:val="single"/>
                  <w:shd w:fill="FFFFFF" w:val="clear"/>
                </w:rPr>
                <w:t>(incorporated by reference to Exhibit 3.1 to the Company’s Current Report on Form 8-K filed with the SEC on July 2, 2021)</w:t>
              </w:r>
            </w:hyperlink>
            <w:r>
              <w:rPr>
                <w:rFonts w:ascii="Work Sans;sans-serif" w:hAnsi="Work Sans;sans-serif"/>
                <w:b w:val="false"/>
                <w:color w:val="000000"/>
                <w:sz w:val="18"/>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Amended and Restated Bylaws of LegalZoom.com, Inc. (</w:t>
            </w:r>
            <w:hyperlink r:id="rId3">
              <w:r>
                <w:rPr>
                  <w:rStyle w:val="InternetLink"/>
                  <w:rFonts w:ascii="Work Sans;sans-serif" w:hAnsi="Work Sans;sans-serif"/>
                  <w:b w:val="false"/>
                  <w:color w:val="0000FF"/>
                  <w:sz w:val="18"/>
                  <w:u w:val="single"/>
                </w:rPr>
                <w:t xml:space="preserve">incorporated by reference to </w:t>
              </w:r>
            </w:hyperlink>
            <w:hyperlink r:id="rId4">
              <w:r>
                <w:rPr>
                  <w:rStyle w:val="InternetLink"/>
                  <w:rFonts w:ascii="Work Sans;sans-serif" w:hAnsi="Work Sans;sans-serif"/>
                  <w:b w:val="false"/>
                  <w:color w:val="0000FF"/>
                  <w:sz w:val="18"/>
                  <w:u w:val="single"/>
                  <w:shd w:fill="FFFFFF" w:val="clear"/>
                </w:rPr>
                <w:t>Exhibit 3.1 to the Company’s Current Report on Form 8-K filed with the SEC on November 6, 2024</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6063010xq.htm">
              <w:r>
                <w:rPr>
                  <w:rStyle w:val="InternetLink"/>
                  <w:rFonts w:ascii="Work Sans;sans-serif" w:hAnsi="Work Sans;sans-serif"/>
                  <w:b w:val="false"/>
                  <w:color w:val="0000FF"/>
                  <w:sz w:val="18"/>
                  <w:u w:val="single"/>
                </w:rPr>
                <w:t>31.1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6063010xq.htm">
              <w:r>
                <w:rPr>
                  <w:rStyle w:val="InternetLink"/>
                  <w:rFonts w:ascii="Work Sans;sans-serif" w:hAnsi="Work Sans;sans-serif"/>
                  <w:b w:val="false"/>
                  <w:color w:val="0000FF"/>
                  <w:sz w:val="18"/>
                  <w:u w:val="single"/>
                </w:rPr>
                <w:t>Certification of Chief Executive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6063010xq.htm">
              <w:r>
                <w:rPr>
                  <w:rStyle w:val="InternetLink"/>
                  <w:rFonts w:ascii="Work Sans;sans-serif" w:hAnsi="Work Sans;sans-serif"/>
                  <w:b w:val="false"/>
                  <w:color w:val="0000FF"/>
                  <w:sz w:val="18"/>
                  <w:u w:val="single"/>
                </w:rPr>
                <w:t>31.2</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6063010xq.htm">
              <w:r>
                <w:rPr>
                  <w:rStyle w:val="InternetLink"/>
                  <w:rFonts w:ascii="Work Sans;sans-serif" w:hAnsi="Work Sans;sans-serif"/>
                  <w:b w:val="false"/>
                  <w:color w:val="0000FF"/>
                  <w:sz w:val="18"/>
                  <w:u w:val="single"/>
                </w:rPr>
                <w:t>Certification of Chief Financial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6063010xq.htm">
              <w:r>
                <w:rPr>
                  <w:rStyle w:val="InternetLink"/>
                  <w:rFonts w:ascii="Work Sans;sans-serif" w:hAnsi="Work Sans;sans-serif"/>
                  <w:b w:val="false"/>
                  <w:color w:val="0000FF"/>
                  <w:sz w:val="18"/>
                  <w:u w:val="single"/>
                </w:rPr>
                <w:t>32.1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6063010xq.htm">
              <w:r>
                <w:rPr>
                  <w:rStyle w:val="InternetLink"/>
                  <w:rFonts w:ascii="Work Sans;sans-serif" w:hAnsi="Work Sans;sans-serif"/>
                  <w:b w:val="false"/>
                  <w:color w:val="0000FF"/>
                  <w:sz w:val="18"/>
                  <w:u w:val="single"/>
                </w:rPr>
                <w:t>Certification of Chief Executive Officer and Chief Financial Officer pursuant to Section 906 of the Sarbanes-Oxley Act of 2002</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ork Sans;sans-serif" w:hAnsi="Work Sans;sans-serif"/>
                <w:b w:val="false"/>
                <w:color w:val="000000"/>
                <w:sz w:val="18"/>
              </w:rPr>
            </w:pPr>
            <w:r>
              <w:rPr>
                <w:rFonts w:ascii="Work Sans;sans-serif" w:hAnsi="Work Sans;sans-serif"/>
                <w:b w:val="false"/>
                <w:color w:val="000000"/>
                <w:sz w:val="18"/>
              </w:rPr>
              <w:t>The following financial statements from our Quarterly Report on Form 10-Q for the three and six months ended June 30, 2026 were formatted in Inline XBRL: (i) Condensed Consolidated Balance Sheets, (ii) Condensed Consolidated Statements of Operations, (iii) Condensed Consolidated Statements of Comprehensive Income (Loss), (iv) Condensed Consolidated Statement of Stockholders’ Equity, (v) Condensed Consolidated Statements of Cash Flows.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Cover Page Interactive Data File (formatted in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64"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left"/>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72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206" w:type="dxa"/>
        <w:jc w:val="left"/>
        <w:tblInd w:w="0" w:type="dxa"/>
        <w:tblLayout w:type="fixed"/>
        <w:tblCellMar>
          <w:top w:w="28" w:type="dxa"/>
          <w:left w:w="28" w:type="dxa"/>
          <w:bottom w:w="28" w:type="dxa"/>
          <w:right w:w="28" w:type="dxa"/>
        </w:tblCellMar>
      </w:tblPr>
      <w:tblGrid>
        <w:gridCol w:w="753"/>
        <w:gridCol w:w="662"/>
        <w:gridCol w:w="669"/>
        <w:gridCol w:w="242"/>
        <w:gridCol w:w="242"/>
        <w:gridCol w:w="242"/>
        <w:gridCol w:w="242"/>
        <w:gridCol w:w="242"/>
        <w:gridCol w:w="242"/>
        <w:gridCol w:w="781"/>
        <w:gridCol w:w="781"/>
        <w:gridCol w:w="1108"/>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i/>
                <w:color w:val="000000"/>
                <w:sz w:val="18"/>
              </w:rPr>
            </w:pPr>
            <w:r>
              <w:rPr>
                <w:rFonts w:ascii="Work Sans;sans-serif" w:hAnsi="Work Sans;sans-serif"/>
                <w:b w:val="false"/>
                <w:i/>
                <w:color w:val="000000"/>
                <w:sz w:val="18"/>
              </w:rPr>
              <w:t>(Principal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120"/>
        <w:ind w:left="0" w:right="0" w:firstLine="450"/>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5"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Jeffrey Stibel,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488"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714"/>
        <w:gridCol w:w="714"/>
        <w:gridCol w:w="1016"/>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413"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692"/>
        <w:gridCol w:w="692"/>
        <w:gridCol w:w="985"/>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his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IN WITNESS WHEREOF, the undersigned have set their hands hereto as of the date written below.</w:t>
      </w:r>
    </w:p>
    <w:tbl>
      <w:tblPr>
        <w:tblW w:w="5714"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780"/>
        <w:gridCol w:w="780"/>
        <w:gridCol w:w="1110"/>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r>
    </w:tbl>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286139/000119312521207613/d65054dex31.htm" TargetMode="External"/><Relationship Id="rId3" Type="http://schemas.openxmlformats.org/officeDocument/2006/relationships/hyperlink" Target="https://www.sec.gov/Archives/edgar/data/1286139/000128613924000115/ex-31amendedandrestatedbyl.htm" TargetMode="External"/><Relationship Id="rId4" Type="http://schemas.openxmlformats.org/officeDocument/2006/relationships/hyperlink" Target="https://www.sec.gov/Archives/edgar/data/1286139/000128613924000115/ex-31amendedandrestatedbyl.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38583</Words>
  <Characters>216323</Characters>
  <CharactersWithSpaces>253172</CharactersWithSpaces>
  <Paragraphs>2798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