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5f40ef452b344afb28acaae24f770a6_7">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 xml:space="preserve">FORM 10-K </w:t>
      </w:r>
    </w:p>
    <w:p>
      <w:pPr>
        <w:pStyle w:val="TextBody"/>
        <w:bidi w:val="0"/>
        <w:spacing w:lineRule="auto" w:line="288" w:before="0" w:after="120"/>
        <w:ind w:left="0" w:right="0" w:firstLine="90"/>
        <w:jc w:val="left"/>
        <w:rPr>
          <w:rFonts w:ascii="Work Sans;sans-serif" w:hAnsi="Work Sans;sans-serif"/>
          <w:b/>
          <w:color w:val="000000"/>
          <w:sz w:val="18"/>
        </w:rPr>
      </w:pPr>
      <w:r>
        <w:rPr>
          <w:rFonts w:ascii="Work Sans;sans-serif" w:hAnsi="Work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ANNUAL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For the fiscal year ended December 31, 2024</w:t>
      </w:r>
    </w:p>
    <w:p>
      <w:pPr>
        <w:pStyle w:val="TextBody"/>
        <w:bidi w:val="0"/>
        <w:spacing w:lineRule="auto" w:line="288" w:before="0" w:after="120"/>
        <w:ind w:left="0" w:right="0" w:firstLine="720"/>
        <w:jc w:val="left"/>
        <w:rPr>
          <w:rFonts w:ascii="Work Sans;sans-serif" w:hAnsi="Work Sans;sans-serif"/>
          <w:b/>
          <w:color w:val="000000"/>
          <w:sz w:val="18"/>
        </w:rPr>
      </w:pPr>
      <w:r>
        <w:rPr>
          <w:rFonts w:ascii="Work Sans;sans-serif" w:hAnsi="Work Sans;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Work Sans;sans-serif" w:hAnsi="Work Sans;sans-serif"/>
                <w:b/>
                <w:color w:val="000000"/>
                <w:sz w:val="18"/>
              </w:rPr>
            </w:pPr>
            <w:r>
              <w:rPr>
                <w:rFonts w:ascii="Work Sans;sans-serif" w:hAnsi="Work Sans;sans-serif"/>
                <w:b/>
                <w:color w:val="000000"/>
                <w:sz w:val="18"/>
              </w:rPr>
              <w:t>TRANSITION REPORT PURSUANT TO SECTION 13 OR 15(d) OF THE SECURITIES EXCHANGE ACT OF 1934</w:t>
            </w:r>
          </w:p>
        </w:tc>
      </w:tr>
    </w:tbl>
    <w:p>
      <w:pPr>
        <w:pStyle w:val="TextBody"/>
        <w:bidi w:val="0"/>
        <w:spacing w:lineRule="auto" w:line="288" w:before="200" w:after="120"/>
        <w:jc w:val="left"/>
        <w:rPr>
          <w:rFonts w:ascii="Work Sans;sans-serif" w:hAnsi="Work Sans;sans-serif"/>
          <w:b/>
          <w:color w:val="000000"/>
          <w:sz w:val="18"/>
        </w:rPr>
      </w:pPr>
      <w:r>
        <w:rPr>
          <w:rFonts w:ascii="Work Sans;sans-serif" w:hAnsi="Work Sans;sans-serif"/>
          <w:b/>
          <w:color w:val="000000"/>
          <w:sz w:val="18"/>
        </w:rPr>
        <w:t xml:space="preserve">For the transition period from   to </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Commission file number 001-35618</w:t>
      </w:r>
    </w:p>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12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___________________________________</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8"/>
              </w:rPr>
            </w:pPr>
            <w:r>
              <w:rPr>
                <w:rFonts w:ascii="Work Sans;sans-serif" w:hAnsi="Work Sans;sans-serif"/>
                <w:b/>
                <w:color w:val="000000"/>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8"/>
              </w:rPr>
            </w:pPr>
            <w:r>
              <w:rPr>
                <w:rFonts w:ascii="Work Sans;sans-serif" w:hAnsi="Work Sans;sans-serif"/>
                <w:b w:val="false"/>
                <w:color w:val="000000"/>
                <w:sz w:val="18"/>
              </w:rPr>
              <w:t>(I.R.S. Employer Identification No.)</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8"/>
              </w:rPr>
            </w:pPr>
            <w:r>
              <w:rPr>
                <w:rFonts w:ascii="Open Sans;sans-serif" w:hAnsi="Open Sans;sans-serif"/>
                <w:b/>
                <w:color w:val="000000"/>
                <w:sz w:val="18"/>
              </w:rPr>
              <w:t>954 Villa Street,</w:t>
            </w:r>
          </w:p>
          <w:p>
            <w:pPr>
              <w:pStyle w:val="TableContents"/>
              <w:bidi w:val="0"/>
              <w:spacing w:lineRule="auto" w:line="240" w:before="0" w:after="0"/>
              <w:jc w:val="center"/>
              <w:rPr>
                <w:color w:val="000000"/>
              </w:rPr>
            </w:pPr>
            <w:r>
              <w:rPr>
                <w:color w:val="000000"/>
              </w:rPr>
              <w:t> </w:t>
            </w:r>
            <w:r>
              <w:rPr>
                <w:rFonts w:ascii="Open Sans;sans-serif" w:hAnsi="Open Sans;sans-serif"/>
                <w:b/>
                <w:color w:val="000000"/>
                <w:sz w:val="18"/>
              </w:rPr>
              <w:t>Mountain View, California 94041</w:t>
            </w:r>
          </w:p>
          <w:p>
            <w:pPr>
              <w:pStyle w:val="TableContents"/>
              <w:bidi w:val="0"/>
              <w:spacing w:before="0" w:after="0"/>
              <w:jc w:val="center"/>
              <w:rPr/>
            </w:pPr>
            <w:r>
              <w:rPr/>
            </w:r>
          </w:p>
        </w:tc>
      </w:tr>
      <w:tr>
        <w:trPr/>
        <w:tc>
          <w:tcPr>
            <w:tcW w:w="878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(Address of Principal Executive Offices, including Zip code)</w:t>
            </w:r>
          </w:p>
        </w:tc>
      </w:tr>
    </w:tbl>
    <w:p>
      <w:pPr>
        <w:pStyle w:val="TextBody"/>
        <w:bidi w:val="0"/>
        <w:spacing w:lineRule="auto" w:line="288" w:before="200" w:after="120"/>
        <w:jc w:val="center"/>
        <w:rPr>
          <w:rFonts w:ascii="Work Sans;sans-serif" w:hAnsi="Work Sans;sans-serif"/>
          <w:b/>
          <w:color w:val="000000"/>
          <w:sz w:val="18"/>
        </w:rPr>
      </w:pPr>
      <w:r>
        <w:rPr>
          <w:rFonts w:ascii="Work Sans;sans-serif" w:hAnsi="Work Sans;sans-serif"/>
          <w:b/>
          <w:color w:val="000000"/>
          <w:sz w:val="18"/>
        </w:rPr>
        <w:t>(323) 962-8600</w:t>
      </w:r>
    </w:p>
    <w:p>
      <w:pPr>
        <w:pStyle w:val="TextBody"/>
        <w:bidi w:val="0"/>
        <w:spacing w:lineRule="auto" w:line="288" w:before="0" w:after="120"/>
        <w:jc w:val="center"/>
        <w:rPr>
          <w:rFonts w:ascii="Work Sans;sans-serif" w:hAnsi="Work Sans;sans-serif"/>
          <w:b w:val="false"/>
          <w:color w:val="000000"/>
          <w:sz w:val="18"/>
        </w:rPr>
      </w:pPr>
      <w:r>
        <w:rPr>
          <w:rFonts w:ascii="Work Sans;sans-serif" w:hAnsi="Work Sans;sans-serif"/>
          <w:b w:val="false"/>
          <w:color w:val="000000"/>
          <w:sz w:val="18"/>
        </w:rPr>
        <w:t>Registrant's telephone number, including area code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10063" w:type="dxa"/>
        <w:jc w:val="left"/>
        <w:tblInd w:w="0" w:type="dxa"/>
        <w:tblLayout w:type="fixed"/>
        <w:tblCellMar>
          <w:top w:w="28" w:type="dxa"/>
          <w:left w:w="28" w:type="dxa"/>
          <w:bottom w:w="28" w:type="dxa"/>
          <w:right w:w="28" w:type="dxa"/>
        </w:tblCellMar>
      </w:tblPr>
      <w:tblGrid>
        <w:gridCol w:w="1481"/>
        <w:gridCol w:w="1303"/>
        <w:gridCol w:w="1311"/>
        <w:gridCol w:w="589"/>
        <w:gridCol w:w="589"/>
        <w:gridCol w:w="591"/>
        <w:gridCol w:w="1229"/>
        <w:gridCol w:w="1229"/>
        <w:gridCol w:w="1741"/>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Title of each class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Trading Symbol(s)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Name of each exchange on which registered</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Common Stock, par value $0.001 per share</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LZ</w:t>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The Nasdaq Global Select Market</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12(g) of the Act: None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a well-known seasoned issuer, as defined in Rule 405 of the Securities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if the registrant is not required to file reports pursuant to Section 13 or Section 15(d)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w:t>
      </w:r>
    </w:p>
    <w:p>
      <w:pPr>
        <w:pStyle w:val="TextBody"/>
        <w:bidi w:val="0"/>
        <w:spacing w:lineRule="auto" w:line="288" w:before="120" w:after="120"/>
        <w:jc w:val="both"/>
        <w:rPr>
          <w:rFonts w:ascii="Work Sans;sans-serif" w:hAnsi="Work Sans;sans-serif"/>
          <w:b w:val="false"/>
          <w:color w:val="000000"/>
          <w:sz w:val="18"/>
        </w:rPr>
      </w:pPr>
      <w:r>
        <w:rPr>
          <w:rFonts w:ascii="Work Sans;sans-serif" w:hAnsi="Work Sans;sans-serif"/>
          <w:b w:val="false"/>
          <w:color w:val="000000"/>
          <w:sz w:val="18"/>
        </w:rPr>
        <w:t>accelerated filer,” “accelerated filer,” “smaller reporting company” and “emerging growth company” in Rule 12b-2 of the Exchange Act:</w:t>
      </w:r>
    </w:p>
    <w:tbl>
      <w:tblPr>
        <w:tblW w:w="5548"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64"/>
        <w:gridCol w:w="864"/>
        <w:gridCol w:w="867"/>
        <w:gridCol w:w="140"/>
        <w:gridCol w:w="140"/>
        <w:gridCol w:w="20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8"/>
              </w:rPr>
            </w:pPr>
            <w:r>
              <w:rPr>
                <w:rFonts w:ascii="Work Sans;sans-serif" w:hAnsi="Work Sans;sans-serif"/>
                <w:b w:val="false"/>
                <w:color w:val="000000"/>
                <w:sz w:val="18"/>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 shell company (as defined in Rule 12b-2 of the Act). Yes   ☐   No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aggregate market value of voting stock held by non-affiliates of the Registrant on June 30, 2024, based on the closing price of $8.39 for shares of the Registrant’s common stock as reported by the Nasdaq Global Select Market, was approximately $1.2 billion. The determination of affiliate status for purposes of calculating the aggregate market value of our voting stock held by non-affiliates is not necessarily a conclusive determination for other purposes.</w:t>
      </w:r>
    </w:p>
    <w:p>
      <w:pPr>
        <w:pStyle w:val="TextBody"/>
        <w:bidi w:val="0"/>
        <w:spacing w:lineRule="auto" w:line="288" w:before="120" w:after="120"/>
        <w:jc w:val="left"/>
        <w:rPr/>
      </w:pPr>
      <w:r>
        <w:rPr>
          <w:rFonts w:ascii="Work Sans;sans-serif" w:hAnsi="Work Sans;sans-serif"/>
          <w:b w:val="false"/>
          <w:color w:val="000000"/>
          <w:sz w:val="18"/>
        </w:rPr>
        <w:t>The registrant had outstanding 176,089,714 shares of common stock as of February 14, 2025</w:t>
      </w:r>
      <w:r>
        <w:rPr>
          <w:rFonts w:ascii="Work Sans;sans-serif" w:hAnsi="Work Sans;sans-serif"/>
          <w:b w:val="false"/>
          <w:color w:val="000000"/>
          <w:sz w:val="18"/>
          <w:shd w:fill="FFFFFF" w:val="clear"/>
        </w:rPr>
        <w:t>.</w:t>
      </w:r>
    </w:p>
    <w:p>
      <w:pPr>
        <w:pStyle w:val="TextBody"/>
        <w:bidi w:val="0"/>
        <w:spacing w:lineRule="auto" w:line="288" w:before="200" w:after="120"/>
        <w:jc w:val="center"/>
        <w:rPr>
          <w:rFonts w:ascii="Work Sans;sans-serif" w:hAnsi="Work Sans;sans-serif"/>
          <w:b w:val="false"/>
          <w:color w:val="000000"/>
          <w:sz w:val="18"/>
        </w:rPr>
      </w:pPr>
      <w:r>
        <w:rPr>
          <w:rFonts w:ascii="Work Sans;sans-serif" w:hAnsi="Work Sans;sans-serif"/>
          <w:b w:val="false"/>
          <w:color w:val="000000"/>
          <w:sz w:val="18"/>
        </w:rPr>
        <w:t>DOCUMENTS INCORPORATED BY REFERENCE</w:t>
      </w:r>
    </w:p>
    <w:p>
      <w:pPr>
        <w:pStyle w:val="TextBody"/>
        <w:bidi w:val="0"/>
        <w:spacing w:lineRule="auto" w:line="288" w:before="200" w:after="120"/>
        <w:jc w:val="left"/>
        <w:rPr>
          <w:rFonts w:ascii="Work Sans;sans-serif" w:hAnsi="Work Sans;sans-serif"/>
          <w:b w:val="false"/>
          <w:color w:val="000000"/>
          <w:sz w:val="18"/>
        </w:rPr>
      </w:pPr>
      <w:r>
        <w:rPr>
          <w:rFonts w:ascii="Work Sans;sans-serif" w:hAnsi="Work Sans;sans-serif"/>
          <w:b w:val="false"/>
          <w:color w:val="000000"/>
          <w:sz w:val="18"/>
        </w:rPr>
        <w:t>Portions of the Registrant’s Definitive Proxy Statement relating to its 2025 Annual Meeting of Stockholders are incorporated by reference into Part III of this Annual Report on Form 10-K to the extent stated herein. The Definitive Proxy Statement will be filed with the SEC within 120 days of the Registrant’s fiscal year ended December 31,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5f40ef452b344afb28acaae24f770a6_7">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0"/>
        <w:gridCol w:w="268"/>
        <w:gridCol w:w="269"/>
        <w:gridCol w:w="2959"/>
        <w:gridCol w:w="2898"/>
        <w:gridCol w:w="2902"/>
        <w:gridCol w:w="171"/>
        <w:gridCol w:w="171"/>
        <w:gridCol w:w="247"/>
      </w:tblGrid>
      <w:tr>
        <w:trPr/>
        <w:tc>
          <w:tcPr>
            <w:tcW w:w="3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6">
              <w:r>
                <w:rPr>
                  <w:rStyle w:val="InternetLink"/>
                  <w:rFonts w:ascii="Work Sans;sans-serif" w:hAnsi="Work Sans;sans-serif"/>
                  <w:b/>
                  <w:color w:val="0000FF"/>
                  <w:sz w:val="18"/>
                  <w:u w:val="single"/>
                </w:rPr>
                <w:t>Part 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9">
              <w:r>
                <w:rPr>
                  <w:rStyle w:val="InternetLink"/>
                  <w:rFonts w:ascii="Work Sans;sans-serif" w:hAnsi="Work Sans;sans-serif"/>
                  <w:b w:val="false"/>
                  <w:color w:val="0000FF"/>
                  <w:sz w:val="18"/>
                  <w:u w:val="single"/>
                </w:rPr>
                <w:t>Item 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19">
              <w:r>
                <w:rPr>
                  <w:rStyle w:val="InternetLink"/>
                  <w:rFonts w:ascii="Work Sans;sans-serif" w:hAnsi="Work Sans;sans-serif"/>
                  <w:b w:val="false"/>
                  <w:color w:val="0000FF"/>
                  <w:sz w:val="18"/>
                  <w:u w:val="single"/>
                </w:rPr>
                <w:t>Business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9">
              <w:r>
                <w:rPr>
                  <w:rStyle w:val="InternetLink"/>
                  <w:rFonts w:ascii="Work Sans;sans-serif" w:hAnsi="Work Sans;sans-serif"/>
                  <w:b w:val="false"/>
                  <w:color w:val="0000FF"/>
                  <w:sz w:val="18"/>
                  <w:u w:val="single"/>
                </w:rPr>
                <w:t>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2">
              <w:r>
                <w:rPr>
                  <w:rStyle w:val="InternetLink"/>
                  <w:rFonts w:ascii="Work Sans;sans-serif" w:hAnsi="Work Sans;sans-serif"/>
                  <w:b w:val="false"/>
                  <w:color w:val="0000FF"/>
                  <w:sz w:val="18"/>
                  <w:u w:val="single"/>
                </w:rPr>
                <w:t>Item 1A.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2">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2">
              <w:r>
                <w:rPr>
                  <w:rStyle w:val="InternetLink"/>
                  <w:rFonts w:ascii="Work Sans;sans-serif" w:hAnsi="Work Sans;sans-serif"/>
                  <w:b w:val="false"/>
                  <w:color w:val="0000FF"/>
                  <w:sz w:val="18"/>
                  <w:u w:val="single"/>
                </w:rPr>
                <w:t>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5">
              <w:r>
                <w:rPr>
                  <w:rStyle w:val="InternetLink"/>
                  <w:rFonts w:ascii="Work Sans;sans-serif" w:hAnsi="Work Sans;sans-serif"/>
                  <w:b w:val="false"/>
                  <w:color w:val="0000FF"/>
                  <w:sz w:val="18"/>
                  <w:u w:val="single"/>
                </w:rPr>
                <w:t>Item 1B.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5">
              <w:r>
                <w:rPr>
                  <w:rStyle w:val="InternetLink"/>
                  <w:rFonts w:ascii="Work Sans;sans-serif" w:hAnsi="Work Sans;sans-serif"/>
                  <w:b w:val="false"/>
                  <w:color w:val="0000FF"/>
                  <w:sz w:val="18"/>
                  <w:u w:val="single"/>
                </w:rPr>
                <w:t xml:space="preserve">Unresolved Staff Comments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5">
              <w:r>
                <w:rPr>
                  <w:rStyle w:val="InternetLink"/>
                  <w:rFonts w:ascii="Work Sans;sans-serif" w:hAnsi="Work Sans;sans-serif"/>
                  <w:b w:val="false"/>
                  <w:color w:val="0000FF"/>
                  <w:sz w:val="18"/>
                  <w:u w:val="single"/>
                </w:rPr>
                <w:t>29</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8">
              <w:r>
                <w:rPr>
                  <w:rStyle w:val="InternetLink"/>
                  <w:rFonts w:ascii="Work Sans;sans-serif" w:hAnsi="Work Sans;sans-serif"/>
                  <w:b w:val="false"/>
                  <w:color w:val="0000FF"/>
                  <w:sz w:val="18"/>
                  <w:u w:val="single"/>
                </w:rPr>
                <w:t>Item 1C.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8">
              <w:r>
                <w:rPr>
                  <w:rStyle w:val="InternetLink"/>
                  <w:rFonts w:ascii="Work Sans;sans-serif" w:hAnsi="Work Sans;sans-serif"/>
                  <w:b w:val="false"/>
                  <w:color w:val="0000FF"/>
                  <w:sz w:val="18"/>
                  <w:u w:val="single"/>
                </w:rPr>
                <w:t>Cybersecurity</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5f40ef452b344afb28acaae24f770a6_28">
              <w:r>
                <w:rPr>
                  <w:rStyle w:val="InternetLink"/>
                  <w:rFonts w:ascii="Work Sans;sans-serif" w:hAnsi="Work Sans;sans-serif"/>
                  <w:b w:val="false"/>
                  <w:color w:val="0000FF"/>
                  <w:sz w:val="18"/>
                  <w:u w:val="single"/>
                </w:rPr>
                <w:t>30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31">
              <w:r>
                <w:rPr>
                  <w:rStyle w:val="InternetLink"/>
                  <w:rFonts w:ascii="Work Sans;sans-serif" w:hAnsi="Work Sans;sans-serif"/>
                  <w:b w:val="false"/>
                  <w:color w:val="0000FF"/>
                  <w:sz w:val="18"/>
                  <w:u w:val="single"/>
                </w:rPr>
                <w:t>Item 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31">
              <w:r>
                <w:rPr>
                  <w:rStyle w:val="InternetLink"/>
                  <w:rFonts w:ascii="Work Sans;sans-serif" w:hAnsi="Work Sans;sans-serif"/>
                  <w:b w:val="false"/>
                  <w:color w:val="0000FF"/>
                  <w:sz w:val="18"/>
                  <w:u w:val="single"/>
                </w:rPr>
                <w:t>Properties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31">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34">
              <w:r>
                <w:rPr>
                  <w:rStyle w:val="InternetLink"/>
                  <w:rFonts w:ascii="Work Sans;sans-serif" w:hAnsi="Work Sans;sans-serif"/>
                  <w:b w:val="false"/>
                  <w:color w:val="0000FF"/>
                  <w:sz w:val="18"/>
                  <w:u w:val="single"/>
                </w:rPr>
                <w:t>Item 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34">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34">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37">
              <w:r>
                <w:rPr>
                  <w:rStyle w:val="InternetLink"/>
                  <w:rFonts w:ascii="Work Sans;sans-serif" w:hAnsi="Work Sans;sans-serif"/>
                  <w:b w:val="false"/>
                  <w:color w:val="0000FF"/>
                  <w:sz w:val="18"/>
                  <w:u w:val="single"/>
                </w:rPr>
                <w:t>Item 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37">
              <w:r>
                <w:rPr>
                  <w:rStyle w:val="InternetLink"/>
                  <w:rFonts w:ascii="Work Sans;sans-serif" w:hAnsi="Work Sans;sans-serif"/>
                  <w:b w:val="false"/>
                  <w:color w:val="0000FF"/>
                  <w:sz w:val="18"/>
                  <w:u w:val="single"/>
                </w:rPr>
                <w:t xml:space="preserve">Mine Safety Disclosures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37">
              <w:r>
                <w:rPr>
                  <w:rStyle w:val="InternetLink"/>
                  <w:rFonts w:ascii="Work Sans;sans-serif" w:hAnsi="Work Sans;sans-serif"/>
                  <w:b w:val="false"/>
                  <w:color w:val="0000FF"/>
                  <w:sz w:val="18"/>
                  <w:u w:val="single"/>
                </w:rPr>
                <w:t>31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40">
              <w:r>
                <w:rPr>
                  <w:rStyle w:val="InternetLink"/>
                  <w:rFonts w:ascii="Work Sans;sans-serif" w:hAnsi="Work Sans;sans-serif"/>
                  <w:b/>
                  <w:color w:val="0000FF"/>
                  <w:sz w:val="18"/>
                  <w:u w:val="single"/>
                </w:rPr>
                <w:t>Part 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43">
              <w:r>
                <w:rPr>
                  <w:rStyle w:val="InternetLink"/>
                  <w:rFonts w:ascii="Work Sans;sans-serif" w:hAnsi="Work Sans;sans-serif"/>
                  <w:b w:val="false"/>
                  <w:color w:val="0000FF"/>
                  <w:sz w:val="18"/>
                  <w:u w:val="single"/>
                </w:rPr>
                <w:t>Item 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e5f40ef452b344afb28acaae24f770a6_43">
              <w:r>
                <w:rPr>
                  <w:rStyle w:val="InternetLink"/>
                  <w:rFonts w:ascii="Work Sans;sans-serif" w:hAnsi="Work Sans;sans-serif"/>
                  <w:b w:val="false"/>
                  <w:color w:val="0000FF"/>
                  <w:sz w:val="18"/>
                  <w:u w:val="single"/>
                </w:rPr>
                <w:t>Market for Registrant's Common Equity, Related Stockholder Matters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43">
              <w:r>
                <w:rPr>
                  <w:rStyle w:val="InternetLink"/>
                  <w:rFonts w:ascii="Work Sans;sans-serif" w:hAnsi="Work Sans;sans-serif"/>
                  <w:b w:val="false"/>
                  <w:color w:val="0000FF"/>
                  <w:sz w:val="18"/>
                  <w:u w:val="single"/>
                </w:rPr>
                <w:t>32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46">
              <w:r>
                <w:rPr>
                  <w:rStyle w:val="InternetLink"/>
                  <w:rFonts w:ascii="Work Sans;sans-serif" w:hAnsi="Work Sans;sans-serif"/>
                  <w:b w:val="false"/>
                  <w:color w:val="0000FF"/>
                  <w:sz w:val="18"/>
                  <w:u w:val="single"/>
                </w:rPr>
                <w:t>Item 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ork Sans;sans-serif" w:hAnsi="Work Sans;sans-serif"/>
                <w:b w:val="false"/>
                <w:color w:val="000000"/>
                <w:sz w:val="18"/>
              </w:rPr>
              <w:t>[</w:t>
            </w:r>
            <w:hyperlink w:anchor="ie5f40ef452b344afb28acaae24f770a6_46">
              <w:r>
                <w:rPr>
                  <w:rStyle w:val="InternetLink"/>
                  <w:rFonts w:ascii="Work Sans;sans-serif" w:hAnsi="Work Sans;sans-serif"/>
                  <w:b w:val="false"/>
                  <w:color w:val="0000FF"/>
                  <w:sz w:val="18"/>
                  <w:u w:val="single"/>
                </w:rPr>
                <w:t>Reserved</w:t>
              </w:r>
            </w:hyperlink>
            <w:r>
              <w:rPr>
                <w:rFonts w:ascii="Work Sans;sans-serif" w:hAnsi="Work Sans;sans-serif"/>
                <w:b w:val="false"/>
                <w:color w:val="000000"/>
                <w:sz w:val="18"/>
              </w:rPr>
              <w:t>]</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46">
              <w:r>
                <w:rPr>
                  <w:rStyle w:val="InternetLink"/>
                  <w:rFonts w:ascii="Work Sans;sans-serif" w:hAnsi="Work Sans;sans-serif"/>
                  <w:b w:val="false"/>
                  <w:color w:val="0000FF"/>
                  <w:sz w:val="18"/>
                  <w:u w:val="single"/>
                </w:rPr>
                <w:t>33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49">
              <w:r>
                <w:rPr>
                  <w:rStyle w:val="InternetLink"/>
                  <w:rFonts w:ascii="Work Sans;sans-serif" w:hAnsi="Work Sans;sans-serif"/>
                  <w:b w:val="false"/>
                  <w:color w:val="0000FF"/>
                  <w:sz w:val="18"/>
                  <w:u w:val="single"/>
                </w:rPr>
                <w:t>Item 7.</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49">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49">
              <w:r>
                <w:rPr>
                  <w:rStyle w:val="InternetLink"/>
                  <w:rFonts w:ascii="Work Sans;sans-serif" w:hAnsi="Work Sans;sans-serif"/>
                  <w:b w:val="false"/>
                  <w:color w:val="0000FF"/>
                  <w:sz w:val="18"/>
                  <w:u w:val="single"/>
                </w:rPr>
                <w:t>34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91">
              <w:r>
                <w:rPr>
                  <w:rStyle w:val="InternetLink"/>
                  <w:rFonts w:ascii="Work Sans;sans-serif" w:hAnsi="Work Sans;sans-serif"/>
                  <w:b w:val="false"/>
                  <w:color w:val="0000FF"/>
                  <w:sz w:val="18"/>
                  <w:u w:val="single"/>
                </w:rPr>
                <w:t>Item 7A.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91">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91">
              <w:r>
                <w:rPr>
                  <w:rStyle w:val="InternetLink"/>
                  <w:rFonts w:ascii="Work Sans;sans-serif" w:hAnsi="Work Sans;sans-serif"/>
                  <w:b w:val="false"/>
                  <w:color w:val="0000FF"/>
                  <w:sz w:val="18"/>
                  <w:u w:val="single"/>
                </w:rPr>
                <w:t>53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94">
              <w:r>
                <w:rPr>
                  <w:rStyle w:val="InternetLink"/>
                  <w:rFonts w:ascii="Work Sans;sans-serif" w:hAnsi="Work Sans;sans-serif"/>
                  <w:b w:val="false"/>
                  <w:color w:val="0000FF"/>
                  <w:sz w:val="18"/>
                  <w:u w:val="single"/>
                </w:rPr>
                <w:t>Item 8.</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94">
              <w:r>
                <w:rPr>
                  <w:rStyle w:val="InternetLink"/>
                  <w:rFonts w:ascii="Work Sans;sans-serif" w:hAnsi="Work Sans;sans-serif"/>
                  <w:b w:val="false"/>
                  <w:color w:val="0000FF"/>
                  <w:sz w:val="18"/>
                  <w:u w:val="single"/>
                </w:rPr>
                <w:t xml:space="preserve">Financial Statements and Supplementary Data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94">
              <w:r>
                <w:rPr>
                  <w:rStyle w:val="InternetLink"/>
                  <w:rFonts w:ascii="Work Sans;sans-serif" w:hAnsi="Work Sans;sans-serif"/>
                  <w:b w:val="false"/>
                  <w:color w:val="0000FF"/>
                  <w:sz w:val="18"/>
                  <w:u w:val="single"/>
                </w:rPr>
                <w:t>54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02">
              <w:r>
                <w:rPr>
                  <w:rStyle w:val="InternetLink"/>
                  <w:rFonts w:ascii="Work Sans;sans-serif" w:hAnsi="Work Sans;sans-serif"/>
                  <w:b w:val="false"/>
                  <w:color w:val="0000FF"/>
                  <w:sz w:val="18"/>
                  <w:u w:val="single"/>
                </w:rPr>
                <w:t>Item 9.</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02">
              <w:r>
                <w:rPr>
                  <w:rStyle w:val="InternetLink"/>
                  <w:rFonts w:ascii="Work Sans;sans-serif" w:hAnsi="Work Sans;sans-serif"/>
                  <w:b w:val="false"/>
                  <w:color w:val="0000FF"/>
                  <w:sz w:val="18"/>
                  <w:u w:val="single"/>
                </w:rPr>
                <w:t>Changes in and Disagreements With Accountants on Accounting and Financial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02">
              <w:r>
                <w:rPr>
                  <w:rStyle w:val="InternetLink"/>
                  <w:rFonts w:ascii="Work Sans;sans-serif" w:hAnsi="Work Sans;sans-serif"/>
                  <w:b w:val="false"/>
                  <w:color w:val="0000FF"/>
                  <w:sz w:val="18"/>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05">
              <w:r>
                <w:rPr>
                  <w:rStyle w:val="InternetLink"/>
                  <w:rFonts w:ascii="Work Sans;sans-serif" w:hAnsi="Work Sans;sans-serif"/>
                  <w:b w:val="false"/>
                  <w:color w:val="0000FF"/>
                  <w:sz w:val="18"/>
                  <w:u w:val="single"/>
                </w:rPr>
                <w:t>Item 9A.</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05">
              <w:r>
                <w:rPr>
                  <w:rStyle w:val="InternetLink"/>
                  <w:rFonts w:ascii="Work Sans;sans-serif" w:hAnsi="Work Sans;sans-serif"/>
                  <w:b w:val="false"/>
                  <w:color w:val="0000FF"/>
                  <w:sz w:val="18"/>
                  <w:u w:val="single"/>
                </w:rPr>
                <w:t xml:space="preserve">Controls and Procedures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05">
              <w:r>
                <w:rPr>
                  <w:rStyle w:val="InternetLink"/>
                  <w:rFonts w:ascii="Work Sans;sans-serif" w:hAnsi="Work Sans;sans-serif"/>
                  <w:b w:val="false"/>
                  <w:color w:val="0000FF"/>
                  <w:sz w:val="18"/>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11">
              <w:r>
                <w:rPr>
                  <w:rStyle w:val="InternetLink"/>
                  <w:rFonts w:ascii="Work Sans;sans-serif" w:hAnsi="Work Sans;sans-serif"/>
                  <w:b w:val="false"/>
                  <w:color w:val="0000FF"/>
                  <w:sz w:val="18"/>
                  <w:u w:val="single"/>
                </w:rPr>
                <w:t>Item 9B.</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11">
              <w:r>
                <w:rPr>
                  <w:rStyle w:val="InternetLink"/>
                  <w:rFonts w:ascii="Work Sans;sans-serif" w:hAnsi="Work Sans;sans-serif"/>
                  <w:b w:val="false"/>
                  <w:color w:val="0000FF"/>
                  <w:sz w:val="18"/>
                  <w:u w:val="single"/>
                </w:rPr>
                <w:t xml:space="preserve">Other Information </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11">
              <w:r>
                <w:rPr>
                  <w:rStyle w:val="InternetLink"/>
                  <w:rFonts w:ascii="Work Sans;sans-serif" w:hAnsi="Work Sans;sans-serif"/>
                  <w:b w:val="false"/>
                  <w:color w:val="0000FF"/>
                  <w:sz w:val="18"/>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14">
              <w:r>
                <w:rPr>
                  <w:rStyle w:val="InternetLink"/>
                  <w:rFonts w:ascii="Work Sans;sans-serif" w:hAnsi="Work Sans;sans-serif"/>
                  <w:b w:val="false"/>
                  <w:color w:val="0000FF"/>
                  <w:sz w:val="18"/>
                  <w:u w:val="single"/>
                </w:rPr>
                <w:t>Item 9C.</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14">
              <w:r>
                <w:rPr>
                  <w:rStyle w:val="InternetLink"/>
                  <w:rFonts w:ascii="Work Sans;sans-serif" w:hAnsi="Work Sans;sans-serif"/>
                  <w:b w:val="false"/>
                  <w:color w:val="0000FF"/>
                  <w:sz w:val="18"/>
                  <w:u w:val="single"/>
                </w:rPr>
                <w:t>Disclosure Regarding Foreign Jurisdictions that Prevent Inspections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14">
              <w:r>
                <w:rPr>
                  <w:rStyle w:val="InternetLink"/>
                  <w:rFonts w:ascii="Work Sans;sans-serif" w:hAnsi="Work Sans;sans-serif"/>
                  <w:b w:val="false"/>
                  <w:color w:val="0000FF"/>
                  <w:sz w:val="18"/>
                  <w:u w:val="single"/>
                </w:rPr>
                <w:t>94</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17">
              <w:r>
                <w:rPr>
                  <w:rStyle w:val="InternetLink"/>
                  <w:rFonts w:ascii="Work Sans;sans-serif" w:hAnsi="Work Sans;sans-serif"/>
                  <w:b/>
                  <w:color w:val="0000FF"/>
                  <w:sz w:val="18"/>
                  <w:u w:val="single"/>
                </w:rPr>
                <w:t>Part III</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20">
              <w:r>
                <w:rPr>
                  <w:rStyle w:val="InternetLink"/>
                  <w:rFonts w:ascii="Work Sans;sans-serif" w:hAnsi="Work Sans;sans-serif"/>
                  <w:b w:val="false"/>
                  <w:color w:val="0000FF"/>
                  <w:sz w:val="18"/>
                  <w:u w:val="single"/>
                </w:rPr>
                <w:t>Item 10.</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20">
              <w:r>
                <w:rPr>
                  <w:rStyle w:val="InternetLink"/>
                  <w:rFonts w:ascii="Work Sans;sans-serif" w:hAnsi="Work Sans;sans-serif"/>
                  <w:b w:val="false"/>
                  <w:color w:val="0000FF"/>
                  <w:sz w:val="18"/>
                  <w:u w:val="single"/>
                </w:rPr>
                <w:t>Directors, Executive Officers and Corporate Governance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20">
              <w:r>
                <w:rPr>
                  <w:rStyle w:val="InternetLink"/>
                  <w:rFonts w:ascii="Work Sans;sans-serif" w:hAnsi="Work Sans;sans-serif"/>
                  <w:b w:val="false"/>
                  <w:color w:val="0000FF"/>
                  <w:sz w:val="18"/>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23">
              <w:r>
                <w:rPr>
                  <w:rStyle w:val="InternetLink"/>
                  <w:rFonts w:ascii="Work Sans;sans-serif" w:hAnsi="Work Sans;sans-serif"/>
                  <w:b w:val="false"/>
                  <w:color w:val="0000FF"/>
                  <w:sz w:val="18"/>
                  <w:u w:val="single"/>
                </w:rPr>
                <w:t>Item 11.</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23">
              <w:r>
                <w:rPr>
                  <w:rStyle w:val="InternetLink"/>
                  <w:rFonts w:ascii="Work Sans;sans-serif" w:hAnsi="Work Sans;sans-serif"/>
                  <w:b w:val="false"/>
                  <w:color w:val="0000FF"/>
                  <w:sz w:val="18"/>
                  <w:u w:val="single"/>
                </w:rPr>
                <w:t>Executive Compensation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23">
              <w:r>
                <w:rPr>
                  <w:rStyle w:val="InternetLink"/>
                  <w:rFonts w:ascii="Work Sans;sans-serif" w:hAnsi="Work Sans;sans-serif"/>
                  <w:b w:val="false"/>
                  <w:color w:val="0000FF"/>
                  <w:sz w:val="18"/>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26">
              <w:r>
                <w:rPr>
                  <w:rStyle w:val="InternetLink"/>
                  <w:rFonts w:ascii="Work Sans;sans-serif" w:hAnsi="Work Sans;sans-serif"/>
                  <w:b w:val="false"/>
                  <w:color w:val="0000FF"/>
                  <w:sz w:val="18"/>
                  <w:u w:val="single"/>
                </w:rPr>
                <w:t>Item 12.</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hyperlink w:anchor="ie5f40ef452b344afb28acaae24f770a6_226">
              <w:r>
                <w:rPr>
                  <w:rStyle w:val="InternetLink"/>
                  <w:rFonts w:ascii="Work Sans;sans-serif" w:hAnsi="Work Sans;sans-serif"/>
                  <w:b w:val="false"/>
                  <w:color w:val="0000FF"/>
                  <w:sz w:val="18"/>
                  <w:u w:val="single"/>
                </w:rPr>
                <w:t>Security Ownership of Certain Beneficial Owners and Management and Related Stockholder Matters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26">
              <w:r>
                <w:rPr>
                  <w:rStyle w:val="InternetLink"/>
                  <w:rFonts w:ascii="Work Sans;sans-serif" w:hAnsi="Work Sans;sans-serif"/>
                  <w:b w:val="false"/>
                  <w:color w:val="0000FF"/>
                  <w:sz w:val="18"/>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29">
              <w:r>
                <w:rPr>
                  <w:rStyle w:val="InternetLink"/>
                  <w:rFonts w:ascii="Work Sans;sans-serif" w:hAnsi="Work Sans;sans-serif"/>
                  <w:b w:val="false"/>
                  <w:color w:val="0000FF"/>
                  <w:sz w:val="18"/>
                  <w:u w:val="single"/>
                </w:rPr>
                <w:t>Item 13.</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29">
              <w:r>
                <w:rPr>
                  <w:rStyle w:val="InternetLink"/>
                  <w:rFonts w:ascii="Work Sans;sans-serif" w:hAnsi="Work Sans;sans-serif"/>
                  <w:b w:val="false"/>
                  <w:color w:val="0000FF"/>
                  <w:sz w:val="18"/>
                  <w:u w:val="single"/>
                </w:rPr>
                <w:t>Certain Relationships and Related Transactions, and Director Independence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29">
              <w:r>
                <w:rPr>
                  <w:rStyle w:val="InternetLink"/>
                  <w:rFonts w:ascii="Work Sans;sans-serif" w:hAnsi="Work Sans;sans-serif"/>
                  <w:b w:val="false"/>
                  <w:color w:val="0000FF"/>
                  <w:sz w:val="18"/>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32">
              <w:r>
                <w:rPr>
                  <w:rStyle w:val="InternetLink"/>
                  <w:rFonts w:ascii="Work Sans;sans-serif" w:hAnsi="Work Sans;sans-serif"/>
                  <w:b w:val="false"/>
                  <w:color w:val="0000FF"/>
                  <w:sz w:val="18"/>
                  <w:u w:val="single"/>
                </w:rPr>
                <w:t>Item 14.</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32">
              <w:r>
                <w:rPr>
                  <w:rStyle w:val="InternetLink"/>
                  <w:rFonts w:ascii="Work Sans;sans-serif" w:hAnsi="Work Sans;sans-serif"/>
                  <w:b w:val="false"/>
                  <w:color w:val="0000FF"/>
                  <w:sz w:val="18"/>
                  <w:u w:val="single"/>
                </w:rPr>
                <w:t>Principal Accountant Fees and Services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32">
              <w:r>
                <w:rPr>
                  <w:rStyle w:val="InternetLink"/>
                  <w:rFonts w:ascii="Work Sans;sans-serif" w:hAnsi="Work Sans;sans-serif"/>
                  <w:b w:val="false"/>
                  <w:color w:val="0000FF"/>
                  <w:sz w:val="18"/>
                  <w:u w:val="single"/>
                </w:rPr>
                <w:t>95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35">
              <w:r>
                <w:rPr>
                  <w:rStyle w:val="InternetLink"/>
                  <w:rFonts w:ascii="Work Sans;sans-serif" w:hAnsi="Work Sans;sans-serif"/>
                  <w:b/>
                  <w:color w:val="0000FF"/>
                  <w:sz w:val="18"/>
                  <w:u w:val="single"/>
                </w:rPr>
                <w:t>PART IV</w:t>
              </w:r>
            </w:hyperlink>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38">
              <w:r>
                <w:rPr>
                  <w:rStyle w:val="InternetLink"/>
                  <w:rFonts w:ascii="Work Sans;sans-serif" w:hAnsi="Work Sans;sans-serif"/>
                  <w:b w:val="false"/>
                  <w:color w:val="0000FF"/>
                  <w:sz w:val="18"/>
                  <w:u w:val="single"/>
                </w:rPr>
                <w:t>Item 15.</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38">
              <w:r>
                <w:rPr>
                  <w:rStyle w:val="InternetLink"/>
                  <w:rFonts w:ascii="Work Sans;sans-serif" w:hAnsi="Work Sans;sans-serif"/>
                  <w:b w:val="false"/>
                  <w:color w:val="0000FF"/>
                  <w:sz w:val="18"/>
                  <w:u w:val="single"/>
                </w:rPr>
                <w:t>Exhibits and Financial Statement Schedules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38">
              <w:r>
                <w:rPr>
                  <w:rStyle w:val="InternetLink"/>
                  <w:rFonts w:ascii="Work Sans;sans-serif" w:hAnsi="Work Sans;sans-serif"/>
                  <w:b w:val="false"/>
                  <w:color w:val="0000FF"/>
                  <w:sz w:val="18"/>
                  <w:u w:val="single"/>
                </w:rPr>
                <w:t>96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241">
              <w:r>
                <w:rPr>
                  <w:rStyle w:val="InternetLink"/>
                  <w:rFonts w:ascii="Work Sans;sans-serif" w:hAnsi="Work Sans;sans-serif"/>
                  <w:b w:val="false"/>
                  <w:color w:val="0000FF"/>
                  <w:sz w:val="18"/>
                  <w:u w:val="single"/>
                </w:rPr>
                <w:t>Item 16.</w:t>
              </w:r>
            </w:hyperlink>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41">
              <w:r>
                <w:rPr>
                  <w:rStyle w:val="InternetLink"/>
                  <w:rFonts w:ascii="Work Sans;sans-serif" w:hAnsi="Work Sans;sans-serif"/>
                  <w:b w:val="false"/>
                  <w:color w:val="0000FF"/>
                  <w:sz w:val="18"/>
                  <w:u w:val="single"/>
                </w:rPr>
                <w:t>Form 10-K Summary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41">
              <w:r>
                <w:rPr>
                  <w:rStyle w:val="InternetLink"/>
                  <w:rFonts w:ascii="Work Sans;sans-serif" w:hAnsi="Work Sans;sans-serif"/>
                  <w:b w:val="false"/>
                  <w:color w:val="0000FF"/>
                  <w:sz w:val="18"/>
                  <w:u w:val="single"/>
                </w:rPr>
                <w:t>98</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5f40ef452b344afb28acaae24f770a6_244">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244">
              <w:r>
                <w:rPr>
                  <w:rStyle w:val="InternetLink"/>
                  <w:rFonts w:ascii="Work Sans;sans-serif" w:hAnsi="Work Sans;sans-serif"/>
                  <w:b w:val="false"/>
                  <w:color w:val="0000FF"/>
                  <w:sz w:val="18"/>
                  <w:u w:val="single"/>
                </w:rPr>
                <w:t>99</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w:t>
                      </w:r>
                    </w:p>
                  </w:txbxContent>
                </v:textbox>
                <w10:wrap type="none"/>
              </v:rect>
            </w:pict>
          </mc:Fallback>
        </mc:AlternateContent>
      </w:r>
    </w:p>
    <w:p>
      <w:pPr>
        <w:pStyle w:val="TextBody"/>
        <w:bidi w:val="0"/>
        <w:spacing w:lineRule="auto" w:line="288" w:before="0" w:after="0"/>
        <w:jc w:val="left"/>
        <w:rPr/>
      </w:pPr>
      <w:hyperlink w:anchor="ie5f40ef452b344afb28acaae24f770a6_7">
        <w:r>
          <w:rPr>
            <w:rStyle w:val="InternetLink"/>
            <w:rFonts w:ascii="Work Sans;sans-serif" w:hAnsi="Work Sans;sans-serif"/>
            <w:b w:val="false"/>
            <w:color w:val="0000FF"/>
            <w:sz w:val="18"/>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w:t>
      </w:r>
      <w:r>
        <w:rPr>
          <w:rFonts w:ascii="Work Sans;sans-serif" w:hAnsi="Work Sans;sans-serif"/>
          <w:b w:val="false"/>
          <w:color w:val="000000"/>
          <w:sz w:val="18"/>
          <w:shd w:fill="FFFFFF" w:val="clear"/>
        </w:rPr>
        <w:t xml:space="preserve">below under “Summary of Risk Factors” and </w:t>
      </w:r>
      <w:r>
        <w:rPr>
          <w:rFonts w:ascii="Work Sans;sans-serif" w:hAnsi="Work Sans;sans-serif"/>
          <w:b w:val="false"/>
          <w:color w:val="000000"/>
          <w:sz w:val="18"/>
        </w:rPr>
        <w:t>in Part I, Item 1A, “Risk Factors” in this Annual Report on Form 10-K for the year ended December 31, 2024</w:t>
      </w:r>
      <w:r>
        <w:rPr>
          <w:rFonts w:ascii="Work Sans;sans-serif" w:hAnsi="Work Sans;sans-serif"/>
          <w:b w:val="false"/>
          <w:color w:val="000000"/>
          <w:sz w:val="18"/>
          <w:shd w:fill="FFFFFF" w:val="clear"/>
        </w:rPr>
        <w:t>, as well as any factors contained in our subsequent filings with the Securities and Exchange Commission, or SEC</w:t>
      </w:r>
      <w:r>
        <w:rPr>
          <w:rFonts w:ascii="Work Sans;sans-serif" w:hAnsi="Work Sans;sans-serif"/>
          <w:b w:val="false"/>
          <w:color w:val="000000"/>
          <w:sz w:val="18"/>
        </w:rPr>
        <w:t>.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Annual Report on Form 10-K and the documents that we reference herein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Annual Report on Form 10-K,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 Item 1A, “Risk Factors” in this Annual Report on Form 10-K prior to making an investment in our common stock.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substantially on our customers expanding their use of our platform, including converting our transactional customers to subscribers and our subscribers renewing their subscriptions with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Failure to effectively manage our growth could adversely impact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w:t>
                      </w:r>
                    </w:p>
                  </w:txbxContent>
                </v:textbox>
                <w10:wrap type="none"/>
              </v:rect>
            </w:pict>
          </mc:Fallback>
        </mc:AlternateContent>
      </w:r>
    </w:p>
    <w:p>
      <w:pPr>
        <w:pStyle w:val="TextBody"/>
        <w:bidi w:val="0"/>
        <w:spacing w:lineRule="auto" w:line="288" w:before="0" w:after="0"/>
        <w:jc w:val="left"/>
        <w:rPr/>
      </w:pPr>
      <w:hyperlink w:anchor="ie5f40ef452b344afb28acaae24f770a6_7">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are incorporating generative artificial intelligence into some of our offerings, which may present compliance risks and reputational risks.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reliance on third party providers could adversely affect our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acquisition of Formation Nation, Inc. and any future acquisitions or investments may divert management’s attention, result in additional dilution or adversely affect our operating results.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Annual Report on Form 10-K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Business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legal services, transforming how individuals and small businesses navigate the legal system. By combining intuitive technology with access to experienced attorneys—whether through our vast independent attorney network or LegalZoom Legal Services (LZLS) law firm—we offer the tools and guidance people need to confidently manage everything from business formation and compliance to estate planning and ongoing legal support. We operate across all 50 states and in over 3,000 counties in the U.S. With over two decades of experience and millions of customers served, LegalZoom helps individuals and small businesses navigate legal needs with confidence.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The LegalZoom Ecosystem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Millions of people in the U.S. start small businesses every year. Many small businesses operate without forming a legal entity, unintentionally introducing financial risk to the owners’ personal assets. The businesses that recognize that risk upfront often struggle to address it. Once they understand the need to be protected, they often do not know what to do, where to turn or how much it will cost to get help. Further, even when formed properly, small businesses often fail to comply with ongoing compliance requirements, thereby reintroducing personal liability or facing significant financial and operational risk. These difficulties are becoming more acute as the number of U.S. business formations increases, driven by various macroeconomic factors such as the rise of the gig economy and remote work, accentuating the need for a trusted, cost-effective, digital-first and simple formation and compliance solution.</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customer funnel. </w:t>
      </w:r>
      <w:r>
        <w:rPr>
          <w:rFonts w:ascii="Work Sans;sans-serif" w:hAnsi="Work Sans;sans-serif"/>
          <w:b w:val="false"/>
          <w:color w:val="000000"/>
          <w:sz w:val="18"/>
        </w:rPr>
        <w:t>We believe we earn our customers’ trust and drive significant organic traffic through our brand name recognition and reputation. Our small business customers’ initial purchase is typically a business formation product that streamlines the process of starting a business. As of December 31, 2024, we had formed over 4.6 million businesses since our inception. Our position at business formation gives us unparalleled knowledge of our customers’ needs, oftentimes prior to the business being operational or discoverable by other service providers. We leverage this valuable knowledge and our position as a small business’ first advisor to introduce our customers to the most relevant business solutions to help them manage other aspects of their business. As a result, our customers often purchase a mix of transaction and subscription offerings alongside and after the initial formation transaction in order to solve additional legal, compliance and business management needs, deepening our relationship with our customers. For example, after forming their business entity, our customers can opt to register their company name and/or logo as a trademark or sign up for a business advisory subscription to receive additional legal support for their small business needs. The recurring revenue gained through subscription services and additional purchases from existing customers during the lifecycle of their business allows us to increase customer lifetime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consumer offerings range from estate planning to legal advice, and there is overlap in our small business and consumer offerings. For example, as forming a business is an important life event for the entrepreneurs that we support, some of our small business customers opt to purchase an estate plan after they form their business. </w:t>
      </w:r>
    </w:p>
    <w:p>
      <w:pPr>
        <w:pStyle w:val="TextBody"/>
        <w:bidi w:val="0"/>
        <w:spacing w:lineRule="auto" w:line="288" w:before="0" w:after="0"/>
        <w:ind w:left="0" w:right="0" w:firstLine="450"/>
        <w:jc w:val="left"/>
        <w:rPr/>
      </w:pPr>
      <w:r>
        <w:rPr>
          <w:rFonts w:ascii="Work Sans;sans-serif" w:hAnsi="Work Sans;sans-serif"/>
          <w:b w:val="false"/>
          <w:color w:val="000000"/>
          <w:sz w:val="18"/>
        </w:rPr>
        <w:t>See below under “</w:t>
      </w:r>
      <w:r>
        <w:rPr>
          <w:rFonts w:ascii="Work Sans;sans-serif" w:hAnsi="Work Sans;sans-serif"/>
          <w:b w:val="false"/>
          <w:i/>
          <w:color w:val="000000"/>
          <w:sz w:val="18"/>
        </w:rPr>
        <w:t>Our Products and Services</w:t>
      </w:r>
      <w:r>
        <w:rPr>
          <w:color w:val="000000"/>
        </w:rPr>
        <w:t xml:space="preserve">” </w:t>
      </w:r>
      <w:r>
        <w:rPr>
          <w:rFonts w:ascii="Work Sans;sans-serif" w:hAnsi="Work Sans;sans-serif"/>
          <w:b w:val="false"/>
          <w:color w:val="000000"/>
          <w:sz w:val="18"/>
        </w:rPr>
        <w:t>for additional information regarding our transaction products and subscription offerings.</w:t>
      </w:r>
    </w:p>
    <w:p>
      <w:pPr>
        <w:pStyle w:val="TextBody"/>
        <w:bidi w:val="0"/>
        <w:spacing w:lineRule="auto" w:line="288" w:before="120" w:after="120"/>
        <w:ind w:left="0" w:right="0" w:firstLine="450"/>
        <w:jc w:val="left"/>
        <w:rPr/>
      </w:pPr>
      <w:r>
        <w:rPr>
          <w:rFonts w:ascii="Work Sans;sans-serif" w:hAnsi="Work Sans;sans-serif"/>
          <w:b/>
          <w:i/>
          <w:color w:val="000000"/>
          <w:sz w:val="18"/>
        </w:rPr>
        <w:t>Our technology platform.</w:t>
      </w:r>
      <w:r>
        <w:rPr>
          <w:color w:val="000000"/>
        </w:rPr>
        <w:t xml:space="preserve"> </w:t>
      </w:r>
      <w:r>
        <w:rPr>
          <w:rFonts w:ascii="Work Sans;sans-serif" w:hAnsi="Work Sans;sans-serif"/>
          <w:b w:val="false"/>
          <w:color w:val="000000"/>
          <w:sz w:val="18"/>
        </w:rPr>
        <w:t>Our technology platform combines the power of technology and people to demystify and simplify complicated processes, creating user-friendly experiences for our customers. Our proprietary technology enables us to automate many complex legal and compliance processes, allowing us to offer solutions at transparent, flat-fee prices that are at a significant discount to traditional offline alternatives. While the majority of our customers complete these transactions without human assistance, many prefer to have some guidance through the process. The combination of technology and people is at the heart of our customer experience. See below under “</w:t>
      </w:r>
      <w:r>
        <w:rPr>
          <w:rFonts w:ascii="Work Sans;sans-serif" w:hAnsi="Work Sans;sans-serif"/>
          <w:b w:val="false"/>
          <w:i/>
          <w:color w:val="000000"/>
          <w:sz w:val="18"/>
        </w:rPr>
        <w:t>Our Technology</w:t>
      </w:r>
      <w:r>
        <w:rPr>
          <w:color w:val="000000"/>
        </w:rPr>
        <w:t xml:space="preserve">” </w:t>
      </w:r>
      <w:r>
        <w:rPr>
          <w:rFonts w:ascii="Work Sans;sans-serif" w:hAnsi="Work Sans;sans-serif"/>
          <w:b w:val="false"/>
          <w:color w:val="000000"/>
          <w:sz w:val="18"/>
        </w:rPr>
        <w:t>for additional information.</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experts. </w:t>
      </w:r>
      <w:r>
        <w:rPr>
          <w:rFonts w:ascii="Work Sans;sans-serif" w:hAnsi="Work Sans;sans-serif"/>
          <w:b w:val="false"/>
          <w:color w:val="000000"/>
          <w:sz w:val="18"/>
        </w:rPr>
        <w:t xml:space="preserve">We offer customers ongoing access to experts to help handle complex matters, including through a network of independent law firms. As of December 31, 2024, we had over 1,000 attorneys in our independent attorney network. Our independent attorney network provides customers access to attorneys licensed in their jurisdiction and experienced in the types of legal matters that impact our customers at a significant discount to traditional offline alternatives. Our attorneys benefit from participating in our network as we handle the customer lead generation, as well as the scheduling and billing of the initial customer consultation. From there, the initial customer consultation serves as a platform for business development, where the participating attorney can offer to provide billable legal services to our customers at discounted rates. In addition, participating law firms can leverage our brand awareness, as well as the customer feedback and testimonials, to market their own practice.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since September 2021, one of our U.S. subsidiaries operates as an alternative business structure, or ABS, in Arizona, which allows us to provide cost-effective legal services to our customers. Currently, our ABS primarily supports our intellectual property business, and its experienced attorneys help guide customers through the trademark registration process.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legal services are provided across all 50 states in the U.S.</w:t>
      </w:r>
    </w:p>
    <w:p>
      <w:pPr>
        <w:pStyle w:val="TextBody"/>
        <w:bidi w:val="0"/>
        <w:spacing w:lineRule="auto" w:line="288" w:before="120" w:after="120"/>
        <w:ind w:left="0" w:right="0" w:firstLine="450"/>
        <w:jc w:val="left"/>
        <w:rPr/>
      </w:pPr>
      <w:r>
        <w:rPr>
          <w:rFonts w:ascii="Work Sans;sans-serif" w:hAnsi="Work Sans;sans-serif"/>
          <w:b/>
          <w:i/>
          <w:color w:val="000000"/>
          <w:sz w:val="18"/>
        </w:rPr>
        <w:t xml:space="preserve">Our partners. </w:t>
      </w:r>
      <w:r>
        <w:rPr>
          <w:rFonts w:ascii="Work Sans;sans-serif" w:hAnsi="Work Sans;sans-serif"/>
          <w:b w:val="false"/>
          <w:color w:val="000000"/>
          <w:sz w:val="18"/>
        </w:rPr>
        <w:t>We have insights into our customers and leverage our product as a channel to introduce small businesses to a variety of third party partners in our partner ecosystem. Our third party partners are leading providers of complementary small business services that extend beyond our core offerings such as banking, insurance, tax, credit cards, website design, and payment processing, among others.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Competition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very competitive industry, and the competitive landscape in which we operate is constantly evolving as we move into new markets and expand our ecosystem. As a result, we compete with a variety of companies and government entities, including the following: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online business formation providers and registered agent service providers; </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traditional offline law firms and solo attorneys, online legal document services and secretaries of state; and</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large platform companies that could develop competing technology solutions to address the needs of our small business or consumer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Law firms and solo attorneys, who provide in-person consultations, are able to provide direct legal advice that we generally cannot offer due to laws and regulations regarding the unauthorized practice of law, or UPL. However, our ABS in Arizona is allowed to provide independent legal advice to our customers and, as a result, can compete directly with traditional offline law firms and solo attorneys. In addition, there are structural impediments that make it difficult for traditional offline attorneys to adapt to technology advancements and consumer behaviors. While service industries like accounting, marketing and payments have rapidly transitioned online, legal offerings largely remain offline and online adoption of legal services lags behind other comparable industries. However, some traditional offline attorneys have developed and may continue to develop competing online legal services.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to face increasing competition from offline and online service providers in our markets. We believe the primary competitive factors on which we compete include ease of use, breadth of offerings, brand name recognition, reputation, price, quality and customer service. We believe we compare favorably on all these bases and our ability to remain competitive will largely depend on our ongoing performance in these areas.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in the early stages of penetrating and growing the online market for legal, compliance and business management solutions. We aim to continue to grow our customer base and retain and expand our customer relationships with the following strategic priorities:</w:t>
      </w:r>
    </w:p>
    <w:p>
      <w:pPr>
        <w:pStyle w:val="TextBody"/>
        <w:bidi w:val="0"/>
        <w:spacing w:lineRule="auto" w:line="288" w:before="120" w:after="120"/>
        <w:ind w:left="0" w:right="0" w:firstLine="450"/>
        <w:jc w:val="left"/>
        <w:rPr/>
      </w:pPr>
      <w:r>
        <w:rPr>
          <w:rFonts w:ascii="Work Sans;sans-serif" w:hAnsi="Work Sans;sans-serif"/>
          <w:b/>
          <w:i/>
          <w:color w:val="000000"/>
          <w:sz w:val="18"/>
        </w:rPr>
        <w:t>Optimizing Our Subscription Business</w:t>
      </w:r>
      <w:r>
        <w:rPr>
          <w:rFonts w:ascii="Work Sans;sans-serif" w:hAnsi="Work Sans;sans-serif"/>
          <w:b w:val="false"/>
          <w:color w:val="000000"/>
          <w:sz w:val="18"/>
        </w:rPr>
        <w:t xml:space="preserve">. We are prioritizing our subscription products over our transaction products in order to focus on customer lifetime value and to help accelerate and sustain our subscription revenue over the long term. Our goal is for customers to grow their use of our platform as their businesses evolve and that, in turn, customers increase their cumulative spend with us over time. We are testing and implementing ways to better reorient our products towards subscription offerings. We are also continuing to optimize our product line-up with the goal of improving the quality of our subscriber base. This includes enhancing the value of our subscription products and increasing the price of certain of our LegalZoom branded offerings to better reflect the value we believe we provide. In addition, our recent acquisition of Formation Nation, Inc., or Formation Nation, will allow us to drive cross-sell opportunities of our complementary ecosystems of legal and business services. See Part II, Item 7, “Management’s Discussion and Analysis of Financial Condition and Results of Operations” of this Annual Report on Form 10-K for additional information regarding our acquisition of Formation Nation. </w:t>
      </w:r>
    </w:p>
    <w:p>
      <w:pPr>
        <w:pStyle w:val="TextBody"/>
        <w:bidi w:val="0"/>
        <w:spacing w:lineRule="auto" w:line="288" w:before="0" w:after="0"/>
        <w:ind w:left="0" w:right="0" w:firstLine="450"/>
        <w:jc w:val="left"/>
        <w:rPr/>
      </w:pPr>
      <w:r>
        <w:rPr>
          <w:rFonts w:ascii="Work Sans;sans-serif" w:hAnsi="Work Sans;sans-serif"/>
          <w:b/>
          <w:i/>
          <w:color w:val="000000"/>
          <w:sz w:val="18"/>
        </w:rPr>
        <w:t>Reorienting Our Go-to-Market Strategy</w:t>
      </w:r>
      <w:r>
        <w:rPr>
          <w:rFonts w:ascii="Work Sans;sans-serif" w:hAnsi="Work Sans;sans-serif"/>
          <w:b w:val="false"/>
          <w:color w:val="000000"/>
          <w:sz w:val="18"/>
        </w:rPr>
        <w:t xml:space="preserve">. We are diversifying our customer acquisition strategy, which includes testing a mix of marketing channels with the goal of diversifying our marketing investments across overall brand, small business and consumer customers, and product categories versus our historical focus on business formations. In addition, we recently acquired Formation Nation, which we believe accelerates our strategy of attracting higher value customers and positioning LegalZoom as a premium brand. We will leverage Formation Nation’s “Inc Authority” brand, which provides business formation offerings at a lower priced alternative, to service customers seeking “do-it-yourself” solutions, ensuring the appropriate level of service across our customer base and reserving the LegalZoom brand for more premium offerings. In addition, through this acquisition, we are reinvesting in our sales capabilities, which will include leveraging Formation 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best-in-class customer service team to improve our cross-selling, up-selling, bundling, and packaging to our customers. </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we intend to continue to strategically partner with leading brands that can improve our partner ecosystem by offering small business and consumer solutions outside of our core offerings.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Work Sans;sans-serif" w:hAnsi="Work Sans;sans-serif"/>
          <w:b/>
          <w:i/>
          <w:color w:val="000000"/>
          <w:sz w:val="18"/>
        </w:rPr>
        <w:t>Leveraging Artificial Intelligence to Deliver Expertise to Our Customers</w:t>
      </w:r>
      <w:r>
        <w:rPr>
          <w:rFonts w:ascii="Work Sans;sans-serif" w:hAnsi="Work Sans;sans-serif"/>
          <w:b w:val="false"/>
          <w:color w:val="000000"/>
          <w:sz w:val="18"/>
        </w:rPr>
        <w:t>. We will further invest in artificial intelligence in an effort to drive growth and efficiencies in our business and to improve our customer experience. We also aim to better leverage artificial intelligence into our solutions to promote the value and services of our attorney network, given artificial intelligence cannot provide direct legal advice.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Products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transaction products and subscription services are designed to support the legal, compliance, and business management needs of small businesses and consumers. We continue to evaluate new ways to commercialize both our transaction and subscription offerings, which may include the bundling of certain of our products and offering certain of our historical transaction offerings as subscriptions. </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Transaction products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transaction products are listed in the following table:</w:t>
      </w:r>
    </w:p>
    <w:tbl>
      <w:tblPr>
        <w:tblW w:w="8816" w:type="dxa"/>
        <w:jc w:val="left"/>
        <w:tblInd w:w="0" w:type="dxa"/>
        <w:tblLayout w:type="fixed"/>
        <w:tblCellMar>
          <w:top w:w="28" w:type="dxa"/>
          <w:left w:w="28" w:type="dxa"/>
          <w:bottom w:w="28" w:type="dxa"/>
          <w:right w:w="28" w:type="dxa"/>
        </w:tblCellMar>
      </w:tblPr>
      <w:tblGrid>
        <w:gridCol w:w="1612"/>
        <w:gridCol w:w="1420"/>
        <w:gridCol w:w="1423"/>
        <w:gridCol w:w="109"/>
        <w:gridCol w:w="109"/>
        <w:gridCol w:w="109"/>
        <w:gridCol w:w="1179"/>
        <w:gridCol w:w="1179"/>
        <w:gridCol w:w="1676"/>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Transaction Products for Small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ork Sans;sans-serif" w:hAnsi="Work Sans;sans-serif"/>
                <w:b/>
                <w:color w:val="000000"/>
                <w:sz w:val="18"/>
              </w:rPr>
            </w:pPr>
            <w:r>
              <w:rPr>
                <w:rFonts w:ascii="Work Sans;sans-serif" w:hAnsi="Work Sans;sans-serif"/>
                <w:b/>
                <w:color w:val="000000"/>
                <w:sz w:val="18"/>
              </w:rPr>
              <w:t>Transaction Products for Consumers</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color w:val="000000"/>
                <w:sz w:val="18"/>
              </w:rPr>
            </w:pPr>
            <w:r>
              <w:rPr>
                <w:rFonts w:ascii="Work Sans;sans-serif" w:hAnsi="Work Sans;sans-serif"/>
                <w:b/>
                <w:color w:val="000000"/>
                <w:sz w:val="18"/>
              </w:rPr>
              <w:t>Business Formation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Limited Liability Company, or LLC </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Incorporation of C and S Corporations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Nonprofit Formation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Doing-Business-As, or DBA</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Corporate Changes and Filings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Business Licenses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Legal Forms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Beneficial Ownership Information Report</w:t>
            </w:r>
          </w:p>
          <w:p>
            <w:pPr>
              <w:pStyle w:val="TableContents"/>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Intellectual Property</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Trademark Application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Copyright Registration</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Patent 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Consumer, Estate Planning and Other</w:t>
            </w:r>
          </w:p>
          <w:p>
            <w:pPr>
              <w:pStyle w:val="TableContents"/>
              <w:bidi w:val="0"/>
              <w:spacing w:lineRule="auto" w:line="288" w:before="60" w:after="283"/>
              <w:jc w:val="left"/>
              <w:rPr>
                <w:rFonts w:ascii="Work Sans;sans-serif" w:hAnsi="Work Sans;sans-serif"/>
                <w:b w:val="false"/>
                <w:color w:val="000000"/>
                <w:sz w:val="18"/>
              </w:rPr>
            </w:pPr>
            <w:r>
              <w:rPr>
                <w:rFonts w:ascii="Work Sans;sans-serif" w:hAnsi="Work Sans;sans-serif"/>
                <w:b w:val="false"/>
                <w:color w:val="000000"/>
                <w:sz w:val="18"/>
              </w:rPr>
              <w:t>Last Will and Testament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Will</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Living Trust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Power of Attorney</w:t>
            </w:r>
          </w:p>
          <w:p>
            <w:pPr>
              <w:pStyle w:val="TableContents"/>
              <w:bidi w:val="0"/>
              <w:spacing w:before="360" w:after="283"/>
              <w:jc w:val="left"/>
              <w:rPr/>
            </w:pPr>
            <w:r>
              <w:rPr/>
            </w:r>
          </w:p>
        </w:tc>
      </w:tr>
    </w:tbl>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Subscription services</w:t>
      </w:r>
    </w:p>
    <w:p>
      <w:pPr>
        <w:pStyle w:val="TextBody"/>
        <w:bidi w:val="0"/>
        <w:spacing w:lineRule="auto" w:line="288" w:before="240" w:after="120"/>
        <w:ind w:left="0" w:right="0" w:firstLine="450"/>
        <w:jc w:val="left"/>
        <w:rPr/>
      </w:pPr>
      <w:r>
        <w:rPr>
          <w:rFonts w:ascii="Work Sans;sans-serif" w:hAnsi="Work Sans;sans-serif"/>
          <w:b w:val="false"/>
          <w:color w:val="000000"/>
          <w:sz w:val="18"/>
        </w:rPr>
        <w:t>At December 31, 2024, we h</w:t>
      </w:r>
      <w:r>
        <w:rPr>
          <w:rFonts w:ascii="Work Sans;sans-serif" w:hAnsi="Work Sans;sans-serif"/>
          <w:b w:val="false"/>
          <w:color w:val="000000"/>
          <w:sz w:val="18"/>
          <w:shd w:fill="FFFFFF" w:val="clear"/>
        </w:rPr>
        <w:t>ad approximately 1.8 million subscription</w:t>
      </w:r>
      <w:r>
        <w:rPr>
          <w:color w:val="000000"/>
        </w:rPr>
        <w:t xml:space="preserve"> </w:t>
      </w:r>
      <w:r>
        <w:rPr>
          <w:rFonts w:ascii="Work Sans;sans-serif" w:hAnsi="Work Sans;sans-serif"/>
          <w:b w:val="false"/>
          <w:color w:val="000000"/>
          <w:sz w:val="18"/>
        </w:rPr>
        <w:t>units outstanding. Our subscription agreements generally have annual terms, while some have monthly terms. Our primary subscription services are listed in the following table, and a more detailed description of certain of our subscription services is provided below:</w:t>
      </w:r>
    </w:p>
    <w:tbl>
      <w:tblPr>
        <w:tblW w:w="7916" w:type="dxa"/>
        <w:jc w:val="left"/>
        <w:tblInd w:w="0" w:type="dxa"/>
        <w:tblLayout w:type="fixed"/>
        <w:tblCellMar>
          <w:top w:w="28" w:type="dxa"/>
          <w:left w:w="28" w:type="dxa"/>
          <w:bottom w:w="28" w:type="dxa"/>
          <w:right w:w="28" w:type="dxa"/>
        </w:tblCellMar>
      </w:tblPr>
      <w:tblGrid>
        <w:gridCol w:w="1371"/>
        <w:gridCol w:w="1202"/>
        <w:gridCol w:w="1207"/>
        <w:gridCol w:w="109"/>
        <w:gridCol w:w="109"/>
        <w:gridCol w:w="109"/>
        <w:gridCol w:w="1115"/>
        <w:gridCol w:w="1115"/>
        <w:gridCol w:w="1579"/>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Small Business Subscriptions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Consumer Subscriptions</w:t>
            </w:r>
          </w:p>
        </w:tc>
      </w:tr>
      <w:tr>
        <w:trPr/>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Registered Agent</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Compliance</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Attorney Advice through our Legal Plans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Bookkeeping</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eSignature</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Legal Forms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Virtual Mail and Check Deposit Services</w:t>
            </w:r>
          </w:p>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Trademark Monitoring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Attorney Advice through our Legal Plans</w:t>
              <w:br/>
              <w:t>Estate Planning Bundle</w:t>
              <w:br/>
              <w:t>Legal Forms</w:t>
              <w:br/>
              <w:t>Virtual Mail and Check Deposit Services</w:t>
            </w:r>
          </w:p>
        </w:tc>
      </w:tr>
    </w:tbl>
    <w:p>
      <w:pPr>
        <w:pStyle w:val="TextBody"/>
        <w:bidi w:val="0"/>
        <w:spacing w:lineRule="auto" w:line="288" w:before="120" w:after="120"/>
        <w:ind w:left="0" w:right="0" w:firstLine="450"/>
        <w:jc w:val="left"/>
        <w:rPr/>
      </w:pPr>
      <w:r>
        <w:rPr>
          <w:rFonts w:ascii="Work Sans;sans-serif" w:hAnsi="Work Sans;sans-serif"/>
          <w:b w:val="false"/>
          <w:i/>
          <w:color w:val="000000"/>
          <w:sz w:val="18"/>
        </w:rPr>
        <w:t>Registered agent subscriptions</w:t>
      </w:r>
      <w:r>
        <w:rPr>
          <w:rFonts w:ascii="Work Sans;sans-serif" w:hAnsi="Work Sans;sans-serif"/>
          <w:b w:val="false"/>
          <w:color w:val="000000"/>
          <w:sz w:val="18"/>
        </w:rPr>
        <w:t>. In most states, small businesses are required to have a registered agent, which generally must be an adult or an authorized business that can receive mail or hand-delivered court documents at a physical address during normal business hours. This requirement can be burdensome for many small businesses to handle on their own. With our registered agent subscription, we serve as our customer’s registered agent: accepting their documents through the mail, digitizing critical business documents, and alerting them of critical business documents or notices. This serves to help them adhere to critical tax and annual report deadlines, among other benefits. During the year ended December 31, 2024, we had staffed registered agent locations covering all 50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pPr>
      <w:r>
        <w:rPr>
          <w:rFonts w:ascii="Work Sans;sans-serif" w:hAnsi="Work Sans;sans-serif"/>
          <w:b w:val="false"/>
          <w:i/>
          <w:color w:val="000000"/>
          <w:sz w:val="18"/>
        </w:rPr>
        <w:t>Compliance subscriptions</w:t>
      </w:r>
      <w:r>
        <w:rPr>
          <w:rFonts w:ascii="Work Sans;sans-serif" w:hAnsi="Work Sans;sans-serif"/>
          <w:b w:val="false"/>
          <w:color w:val="000000"/>
          <w:sz w:val="18"/>
        </w:rPr>
        <w:t>. Our compliance subscriptions provide assistance with state-mandated regulatory filings, such as corporate annual reports that are required to keep a business entity in good standing. These compliance subscription plans also monitor the status of our customers’ businesses with certain state agencies to help customers stay abreast of important deadlines and to provide alerts to notify them if their business falls out of good standing.</w:t>
      </w:r>
    </w:p>
    <w:p>
      <w:pPr>
        <w:pStyle w:val="TextBody"/>
        <w:bidi w:val="0"/>
        <w:spacing w:lineRule="auto" w:line="288" w:before="120" w:after="120"/>
        <w:ind w:left="0" w:right="0" w:firstLine="450"/>
        <w:jc w:val="left"/>
        <w:rPr/>
      </w:pPr>
      <w:r>
        <w:rPr>
          <w:rFonts w:ascii="Work Sans;sans-serif" w:hAnsi="Work Sans;sans-serif"/>
          <w:b w:val="false"/>
          <w:i/>
          <w:color w:val="000000"/>
          <w:sz w:val="18"/>
        </w:rPr>
        <w:t>Attorney advice subscriptions</w:t>
      </w:r>
      <w:r>
        <w:rPr>
          <w:rFonts w:ascii="Work Sans;sans-serif" w:hAnsi="Work Sans;sans-serif"/>
          <w:b w:val="false"/>
          <w:color w:val="000000"/>
          <w:sz w:val="18"/>
        </w:rPr>
        <w:t>. For small businesses and consumers seeking legal advice, we offer subscription legal plans that provide access to independent attorneys in all 50 states. We also offer attorney advice subscription packages that include other benefits, such as the ability to edit and electronically sign forms from our attorney-drafted legal forms library, discounts on additional legal services offered by the network attorney, and, in some cases, an annual checkup with the network attorney for estate planning purposes.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Virtual mail subscriptions. </w:t>
      </w:r>
      <w:r>
        <w:rPr>
          <w:rFonts w:ascii="Work Sans;sans-serif" w:hAnsi="Work Sans;sans-serif"/>
          <w:b w:val="false"/>
          <w:color w:val="000000"/>
          <w:sz w:val="18"/>
        </w:rPr>
        <w:t xml:space="preserve">The rise of the gig economy and remote work have resulted in an increasing number of small businesses operating out of a home or personal address. Our virtual mail subscription protects our customers’ personal information by providing an independent business address. It also provides our customers flexibility by allowing them to check their mail from anywhere. Our virtual mail services include mail receipt, sorting, digitization, check depository services, and shipment or storing of select mail. </w:t>
      </w:r>
    </w:p>
    <w:p>
      <w:pPr>
        <w:pStyle w:val="TextBody"/>
        <w:bidi w:val="0"/>
        <w:spacing w:lineRule="auto" w:line="288" w:before="120" w:after="120"/>
        <w:ind w:left="0" w:right="0" w:firstLine="450"/>
        <w:jc w:val="left"/>
        <w:rPr/>
      </w:pPr>
      <w:r>
        <w:rPr>
          <w:rFonts w:ascii="Work Sans;sans-serif" w:hAnsi="Work Sans;sans-serif"/>
          <w:b w:val="false"/>
          <w:i/>
          <w:color w:val="000000"/>
          <w:sz w:val="18"/>
        </w:rPr>
        <w:t xml:space="preserve">Legal forms and eSignature subscriptions. </w:t>
      </w:r>
      <w:r>
        <w:rPr>
          <w:rFonts w:ascii="Work Sans;sans-serif" w:hAnsi="Work Sans;sans-serif"/>
          <w:b w:val="false"/>
          <w:color w:val="000000"/>
          <w:sz w:val="18"/>
        </w:rPr>
        <w:t>We offer other subscriptions, including unlimited access to our library of customizable legal forms, electronic storage of applicable LegalZoom documents, and document revisions. We also offer eSignature subscriptions, which allow customers to upload their own documents or draft new documents using one of our attorney-drafted legal form templates and then sign and manage those documents online, all in one place.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Seasonality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We have historically seen demand for our services decline around the beginning of the third quarter as a result of summer vacations and in the last two months of the fourth quarter as a result of the winter holidays.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Technology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developed a highly scalable and flexible technology platform that enables us to efficiently process thousands of customer orders daily and facilitate seamless interactions with our customers and the independent attorneys participating in our legal network. We devote substantial resources to consistently enhance our technology platform. Key components of our technology are described below.</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Dynamic online questionnaire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 documents are populated by our platform through the use of our dynamic online questionnaires. Our customers complete a comprehensive yet intuitive questionnaire that is powered by a rules-based engine to pose questions based on the customer’s legal jurisdiction, location and prior responses to solicit the information needed to comply with local and state laws and regulations.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Document automation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technology platform includes complex automation systems that transfer customer responses into many state or county-specific templates to generate customized legal documents. Our automation unifies the various methods used by states and counties to form businesses into a single easy-to-understand customer experience. We use straight through processing for several products, which has enabled us to deliver the documents to the customer in near real-time.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built a system to notify our customers of upcoming compliance milestones and associated requirements. Additionally, for our registered agent subscribers, we have a system of receiving, scanning, sorting, and labeling documents from state agencies across the country that leverages technology to quickly deliver physical and electronic copies to our customer.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Robust CRM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account executives, customer care and sales organization, fulfillment specialists, and tax advisors leverage a multi-channel customer relationship management platform, powered by integrating a variety of tier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one contact center technologies. The platform is integrated within our production and fulfillment systems and enables us to support customers through communications via multiple channels including our websites, email, text, phone, online chat, and our mobile applications.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Scalable and secure infrastructure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platform resides on a combination of on-premises infrastructure and best-in-class public cloud-based platforms. Our platform is highly scalable to accommodate an increasing volume of customer orders. We have designed our websites to be highly intuitive and secure using proprietary software and commercially supported tools.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website allows users to access the same content on our platform from their laptops, tablets, or smart phones. We also maintain apps on iOS and Android that make it easy for customers to access their documents, schedule consultations, and get status updates on their orders.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Intellectual Property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our proprietary technology is an important and valuable part of our business. We protect this proprietary technology by relying on a variety of intellectual property mechanisms including copyright, patent and trademark laws, restrictions on disclosure and other methods. We frequently file applications for trademarks and service marks in order to protect our intellectual property.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various trademark registrations in the U.S. and in foreign jurisdictions, as well as pending trademark applications in the U.S. and internationally. We have no issued patents, but we have a patent-pending application that we are pursing in the U.S. and internationally. We also license intellectual property from third-parties, such as software used to support our technology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seek to protect our intellectual property rights by requiring our employees and independent contractors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Customer Care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 care representatives provide assistance, support and account management to small businesses and individuals. Exceptional customer experience is central to our culture and we take pride in our customer care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have access to live help from customer care representatives by phone, online chat, text, email, or via our mobile applications. In addition, our website and mobile experience contain extensive educational content in an article center, FAQs and a knowledge center designed to assist customers in choosing the products and services that best suit their needs.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actively monitor our service levels, fulfillment speed and quality to maintain a high level of customer care. Customer care team members have metrics-driven incentives that further align their goals and compensation with our focus on the customer while maintaining regulatory compliance.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invest significantly to create a highly recognizable brand, online and offline and we attract a meaningful percentage of unpaid website traffic, underscoring our brand strength and content offering. Our content marketing includes educational initiatives such as our Article Center on our website, where we create content to better inform our customers on how they can plan for and protect themselves, their families, and their businesses.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use a strategic mix of online and offline marketing in combination with inbound sales. Our largest customer acquisition media spend is in search engine marketing to capture demand generated by our other paid and organic channels. We also advertise from time to time across television, radio, podcasts, digital video, and social media.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taking customer calls, our sales team uses a conversational approach to introduce our services, explain features and recommend various partners. When our sales team becomes involved, the average order size frequently increases due to our team’s effectiveness in selling ancillary offerings. Our sales teams also proactively target qualified prospects, such as those who began a questionnaire in our customer experience journey but have yet to purchase. In addition, we acquired Formation Nation in February 2025, which will allow us to benefit from the immediate onboarding of over 140 seasoned small business service experts.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Human Capital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we, together with all our subsidiaries, had 964 employees worldwide. At December 31, 2024, we also engaged approximately 600 contractors and consultants globally and no seasonal workers. None of our employees are represented by a labor union. We have not experienced any work stoppages, and we believe that our employee relations are strong.</w:t>
      </w:r>
    </w:p>
    <w:p>
      <w:pPr>
        <w:pStyle w:val="TextBody"/>
        <w:bidi w:val="0"/>
        <w:spacing w:lineRule="auto" w:line="26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compensation strategy is to promote a pay-for-performance culture. Our guiding principles are anchored on the goals of being able to attract, incentivize, and retain talented employees who can develop, implement, and drive long-term value creation strategies. We’ve designed our compensation approach so that every U.S. based employee has a component of their compensation that is performance or incentive driven. We offer competitive compensation that we believe is aligned with the market and fair relative to our peers.</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LegalZoom, our values are Lift Each Other Up, Champion Our Customers, See the Whole Picture, Focus on Results, and Keep It Simple. These values shine through in all that we do to foster an inclusive and empowering culture, as we continue to focus on the well-being and success of our employees. We monitor the state of our employees’ happiness with regular engagement surveys, open feedback forums, and action planning based on results. We continue to see positive engagement scores, particularly in overall satisfaction, or OSAT, and Net Promoter Score, or NPS, when our employees are asked the likelihood of recommending LegalZoom as a great place to work.</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adopted our remote-first model. Since then, our strategy has been focused on engaging employees virtually to support working from home by launching virtual productivity and collaboration tools, and driving engagement through virtual events. We utilize our office locations in multiple states for engagement events, in-person meetings, team offsites, leadership conferences, and more to build connection and productivity. This approach has allowed us to build foundational infrastructure and establish a stronger culture both virtually and in-person.</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also invested in employee engagement to help improve connectedness in our remote-first work environment. In 2024, we refreshed our employee recognition program that rewards and provides visibility to our employees’ accomplishments. We also continue to fuel our organization’s passion for social good, with our employee giving program and platform that provides dollar-for-dollar matching and paid time off for volunteering. </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we are thriving when every voice is nurtured and heard. We continue to engage our employees with in-person and social impact events, like our annual Impact Week, where we come together to volunteer, learn about causes, and fundraise. We have seven employee resource groups today, including Pride Zoomer Alliance Network, Lift Every Voice Black Network, RiseUp Women’s Network, Women in Tech Network, Asian Pacific American Zoomer Association, Nos Unimos LatinX Network, and LZ Veterans, each with dedicated internal funding and executive sponsorship. These networks, which are open to all employees, have built internal mentorship and development programs, host meaningful and educational events, and have contributed to their broader communities outside of LegalZoom through their initiatives.</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2024, we remained committed to our principles of taking care of our employees holistically while continuously looking for ways to improve our overall benefits offering. We offer competitive benefits including: 100% employer-paid medical, travel reimbursement for out-of-state procedures, dental and vision plans, fertility coverage, mental health coverage and workshops, physical wellness, lifestyle benefits, paid-time off, and 401k match.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Government Regulation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operate in a particularly complex legal and regulatory environment. We are subject to a wide variety of state and federal laws, rules and regulations in the U.S., including those related to internet activities, UPL, the corporate practice of law, or CPL, privacy, data protection, cybersecurity, data retention, consumer protection, content regulation, subscription offerings, virtual mail, the processing of legal documents, commercial registered agents, the provision of online payment services and other matters, which are continuously evolving and developing.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model includes the provision of services that represent an alternative to traditional legal services, which has subjected us to allegations of UPL in the U.S. UPL generally refers to an entity or person giving or offering legal advice who is not licensed to practice law. However, laws and regulations defining UPL, and the governing bodies that enforce UPL rules, differ among the various jurisdictions in which we operate. The regulatory environment in the U.S. is evolving slowly with only a few states approving regulatory reform that permits non-lawyers to co-own law firms and other legal service operations. We received a license to operate one of our U.S. subsidiaries as an ABS in Arizona in September 2021. This Arizona ABS employs and contracts with licensed attorneys to provide limited scope legal services to U.S.-based consumers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purchase such services on our websites. While we believe this ABS structure is legally permissible, it is generally untested in U.S. courts and we cannot assure you that it will insulate us from claims of CPL or UPL. These laws and regulations are regularly evolving and tested in courts, and may be interpreted, applied, created, or amended, in a manner that could harm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are subject to numerous foreign and domestic laws, regulations, and standards regarding privacy and data security governing the personal information and other data that we collect, store, use, or process. Such privacy and data security laws and regulations, as well as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compliance with applicable government laws and regulations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See Part I, Item 1A, “Risk Factors” of this Annual Report on Form 10-K for additional information.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Corporate and Other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headquartered in Mountain View, California. We were incorporated as a California corporation in July 1999 and converted to a Delaware corporation in February 2007. Our website is located at https://www.legalzoom.com/.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Investor Relations website is https://investors.legalzoom.com/ and we encourage investors to use it as a way of easily finding information about us. We make available on this website, free of charge, the reports that we file or furnish with the SEC including our Annual Reports on Form 10-K, Quarterly Reports on Form 10-Q, Current Reports on Form 8-K, and our Proxy Statements, and any amendments to these reports, as soon as reasonably practicable after we file such material with, or furnish it to, the SEC. We also make available certain corporate governance information, including our Code of Business Conduct and Ethics, and select press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significant risks, and the material factors that make an investment in us risky or speculative are described below. You should carefully consider the risks and uncertainties described below, together with all of the other information in this Annual Report on Form 10-K, including our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majority of our transaction revenue is generated by providing business formation services to guide our customers through the transition from being aspiring business owners to launching their entities. In 2024 and 2023,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regulatory obstacles, changes in law (including changes in tax laws and regulations), changes in the business environment from inflation, interest rates, government assistance, increased compliance or operating costs (including wage and benefit pressures) and dissatisfaction with our services.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our customers expanding their use of our platform, including converting our transactional customers to subscribers and our subscribers renewing their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the past few years, a significant amount of our revenue has been derived from our subscriptions for small businesses and individuals. In 2024, approximately 64%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existing subscribers expand their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we provide,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our existing or new customers that will subscribe to our subscription services, including whether customers will continue to subscribe at the same rate as they have historically. During 2024, we experienced a deceleration in our subscription revenue growth rate. If our subscription revenue growth rate does not improve or if we are unable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including our subscription revenue growth rate,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Failure to effectively manage our growth could adversely impact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past, we have experienced significant growth in both operations and headcount, which placed increased demands on our management team and our administrative, operational and financial infrastructure. Our management team, including our new Chief Executive Officer, has developed a strategy to continue growing our business. In addition, we acquired Formation Nation in February 2025, which we are now in the process of integrating into our operations. Our ability to manage this expected growth effectively and to integrate new employees, operations and technologies of Formation Nation into our existing business will require us to continue to expand our operational and financial infrastructure, to improve our management controls and reporting systems and procedures and to continue to retain, attract, train, motivate and manage employees. Failure to effectively manage our growth could result in declines in service quality or customer satisfaction, increased costs, difficulties or delays in introducing new products or services or other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difficulties. Any of these difficulties could 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achieve our growth strategy also impacts our ability to forecast our future operating results. If the assumptions regarding the growth of our business are incorrect or change in reaction to changes in our markets,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pPr>
      <w:r>
        <w:rPr>
          <w:rFonts w:ascii="Work Sans;sans-serif" w:hAnsi="Work Sans;sans-serif"/>
          <w:b/>
          <w:i/>
          <w:color w:val="000000"/>
          <w:sz w:val="18"/>
        </w:rPr>
        <w:t>Our future quarterly results of operations may fluctuate significantly due to a wide range of factors, which makes our future results difficult to predict</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updated strategic execution priorities;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ongoing integration of the operations of Formation Nation, which we acquired in February 2025;</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any new or discontinued products, pricing changes, the bundling of certain product offerings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transactional products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staffing and other practices and the functionality of their websites,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or uncertainty with respect thereto,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and the price of our common stock may be particularly pronounced in the current global macroeconomic environment, including due to uncertainty caused by recessionary fears, elevated inflation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At December 31, 2024, we had an accumulated deficit of $1,069.3 million.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in order to maintain or increase our level of profitability.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quality and value of our services, customer care and customer experience, as well as the quality and accuracy of the services provided by the independent attorneys who participate in our and our partner’s networks, are critical to the success of our business and our ability to attract and retain customers. The failure or perceived failure of our customer support and fulfillment services and/or these independent attorneys to satisfy customer expectations could impede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intend to continue to add new products and services and enhance our existing products and services, both of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or results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changes or developments to our platform will provide us with the benefits we expect.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because our platform is available over the internet and on mobile networks, we need to regularly modify and enhance our platform to keep pace with changes in internet-related hardware, software, communications and database technologies and standards. We expect the number of people who access our platform through mobile devices, including smartphones and handheld tablets or computers, to increase. If we are not able to provide customers with the experience, solutions and functionality they want on mobile devices, we may not be able to attract or retain customers or convert our website traffic into customers and our business may be harmed.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operate in a very competitive industry. We face intense competition from law firms, solo attorneys, online legal document services, legal plans, secretaries of state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have developed and may continue to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and other third party sources related to our business practices, as well as customer care, data privacy or security issues, irrespective of their validity, could diminish confidence in our services and adversely affect our brand and reputation and our ability to attract and retain customers. In addition, our brand and reputation could be impacted by any damage or reputational harm to our newly acquired Inc. Authority and Nevada Corporate Headquarters brands.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who participate in our network and the partners to which we refer our customers for business insurance, tax solutions or banking services, among others. The failure or perceived failure of these third parties to satisfy customer expectations could negatively impact our brand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generative AI into some of our offerings, which may present both compliance risks and reputational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incorporated and intend to continue incorporating a number of generative AI features into our offerings. For instance, in September 2023 we announced the launch of Doc Assist, a document summarization product that uses generative AI to help small businesses review documents. This technology, which is a new and emerging technology that is in its early stages of commercialization, presents a number of risks inherent in its use. Generative AI technologies, including the third-party large language models incorporated into our generative AI offerings, can create accuracy issues, unintended biases and discriminatory outcomes. If the recommendations, content, or analyses that AI applications, including Doc Assist, assist in producing are or are alleged to be deficient or inaccurate or if they are determined to constitute UPL, we could be subjected to competitive harm, potential legal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Additionally, present and future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solutions. Governments have passed and are likely to continue to pass additional laws regulating generative AI. Our use of this technology could result in additional compliance costs, regulatory investigations and actions, and lawsuits.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employees and personnel use generative AI technologies to perform certain functions of their work, and the disclosure and use of personal data in generative AI technologies is subject to various privacy laws and other privacy obligations. If we are unable to use generative AI, it could make our business less efficient and result in competitive disadvantages. Additionally, sensitive information of the Company or our customers could be leaked, disclosed, or revealed as a result of or in connection with our employees’, personnel’s, or vendors’ use of generative AI technologies.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The primary marketing channels that generate traffic for our websites include search engine marketing, social media and other digital channels, television and our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if paid listings prohibit the use of particular words or terms, we have in the past, and may again in the future,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have in the past and could in the future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introduction of new technology or changes in the way in which customers consume information on the internet, such as shifting preferences for AI chat platforms, may diminish the effectiveness of our current marketing practices. We have in the past and may in the future be required to adopt new approaches to marketing to respond to these shifts. Any inability to respond to these changes effectively and in a cost-effective manner, or any reduction or loss of any of our current advertising channels, could adversely affect our ability to attract new customers, which could adversely affect our business, results of operations, financial condition and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Further, integration of employees and operations as a result of our acquisition of Formation Nation may present challenges, which could negatively affect our ability to retain and recruit personnel who are essential to our future success.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if employee relations deteriorate,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in July 2024, we announced the appointment of Jeff Stibel as our new Chief Executive Officer. If we are unable to manage this leadership transition successfully, our ability to operate our business effectively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and attorneys to support our attorney assisted legal offerings, or if these attorneys encounter regulatory issues that prevent them from being able to service the needs of our customers, we may not be able grow and maintain our legal plan subscription business or other assisted legal solutions and, as a result,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third-parties to provide our customers with tax solutions, website development, credit card and banking services, productivity tools and business insurance, among others. Our sales and customer experience depend on our ability to connect and integrate easily to such third 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result in disputes or litigation or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reliance on third party providers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and related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or intellectual property needs.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third parties in connection with the fulfillment and distribution of our services, including the independent attorneys in our legal plan network and to support our registered agent and virtual mail subscription services. We also outsource certain operational functions, including certain sales and customer service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acquisition of Formation Nation and any future acquisitions or investments may divert our management’s attention, result in additional dilution to our stockholders or adversely affect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In February 2025, we acquired Formation Nation, and we may in the future seek to acquire or invest in additional businesses, products or technologies. The risks and uncertainties we face in connection with the recent acquisition of Formation Nation or any future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an acquisition may require us to incur charges or assume substantial debt or other liabilities, cause adverse tax consequences, expose us to claims and disputes by stockholders and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including intellectual property claims and disputes, or may not generate sufficient financial return to offset additional costs and expenses related to the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encountering difficulties or unforeseen expenditures in integrating the business, technologies, products, personnel or operations of any acquired company,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inability to retain personnel, key customers, distributors, vendors and other business partners of the acquired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inability to realize the financial and strategic goals or anticipated synergies of the acquisition or investment on a timely basis, if at all;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incurring higher than anticipated costs to effectively integrate an acquired business, to bring an acquired company into compliance with applicable laws and regulations or due to additional compensation issued or assumed in connection with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disruption to our ongoing business, diversion of resources and distraction of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delays or reductions in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exposure to litigation or other claims in connection with, or inheritance of claims or litigation risk as a result of, an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potential identified or unknown security vulnerabilities in acquired products or technologies that expose us to additional security risks or delay our ability to integrate the products or technologies into our offerings;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difficulty in maintaining controls, procedures and policies during the transition and integration and inability to conclude that our internal controls over financial reporting are effective;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issuance of a significant amount of equity securities in connection with any future acquisitions, existing stockholders may be diluted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For example, our strategic execution priorities, which we believe will increase the predictability of our business, improve operational efficiencies and margins, and help us accelerate and sustain growth at scale, may result in short-term adverse impacts to our business and financial results.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a large portion of our employees are located, is in an earthquake fault zone and because both the Los Angeles area and Frisco, Texas, where a lot of our registered agent and virtual mail operations are currently located, are subject to the increased risk of wildfires, tornadoes and power outages, we are particularly sensitive to the risk of damage to, or total destruction of, our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susceptible to various legal claims, lawsuits, arbitration, regulatory action or other proceedings, including those related to UPL,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U.S. subsidiary, LZ Legal Services, LLC, is licensed as an alternative business structure, which allows corporate entities to become licensed providers of reserved legal activities in Arizona. As a result, LZ Legal Services, LLC may be susceptible to potential claims from clients, such as breach of contract, product liability, negligence or other claims. Any such claims could result in reputational damage or an adverse effect on our results of operations. The professional liability insurance held by LZ Legal Services, LLC and limiting its liability in accordance with engagement letters with clients may not insure or protect against all potential claims or sufficiently indemnify us or the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 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 xml:space="preserve">Risks Relating to Our Financial Condition, Indebtedness and Capital Requirements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and we may be required to revise or cease reporting such metrics or figures. While the numbers we report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investors do not perceive our operating metrics to be accurate,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June 30, 2022 and September 30, 2022. Although we remediated our material weaknesses and management concluded that our internal control over financial reporting was effective as of December 31, 2024,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on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distribute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also contains a financial covenant that requires us to maintain a total net first lien leverage ratio not to exceed 4.50:1.00 on the last day of any fiscal quarter during which our 2021 Revolving Facility usage exceeds 35% of the 2021 Revolving Facility capacity. As a result of the restrictions described above, we may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2021 Revolving Facility will be subject to variable rates of interest and expose us to interest rate risk. Sharp changes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 For example, California imposed limits on the usability of California NOLs to offset taxable income and certain business credits to offset California tax liabilities in tax years beginning after 2023 and before 2027.</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Inflation Reduction Act of 2022, or the IRA, and the Tax Act;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New tax laws, statutes, rules, regulations or ordinances could be enacted at any time. Tax reform remains a legislative priority for the U.S. government and certain legislation has already been enacted. While there is current uncertainty regarding what changes will eventually be enacted, such new laws may affect our operating results and financial conditions. Further, existing tax laws, statutes, rules, regulations or ordinances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could be interpreted differently, changed, modified, or repealed at any time. Any such enactment, interpretation, change, modification, or repeal could adversely 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changes in the tax laws of foreign jurisdictions could arise as a result of the global 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corporate tax rates, the realization of net deferred tax assets, the taxation of foreign earnings and the deductibility of expenses, could potentially have a material impact on the value of our deferred tax assets, could result in significant one-time charges, and could increase our future tax expense.</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other needs of our customers and, as a result, we are subject to a variety of complex and evolving government laws, rules and regulations, including but not limited to, laws and regulations related to labor, advertising, sales and marketing, deceptive trade practices, our subscription offerings and related billing, renewal and cancellation practices, virtual mail, legal document processing services, registered agent services, our legal plans, electronic funds transfer, consumer protection, real estate, e-commerce, promotions, intellectual property (e.g., ownership, examination, registration and infringement), postal, anti-bribery and anti-corruption, insurance, foreign exchange controls and cash repatriation restrictions, anti-competition, environmental, health and safety, and other regulated activities. In recent years, there have been significant new regulations and heightened focus by the government on many of these areas. In addition, as we expand our products and services and evolve our business models, we may become subject to additional government regulation or increased regulatory scrutiny.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federal, state and local laws and regulations to which we are subject is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frequently evolving, and challenges to, changes in, or new interpretations of, such laws and regulations could restrict the types of products and services that we can offer or the prices we can charge or require us to significantly change the ways we currently structure our business and services. For instance, as of the date of this filing, the nationwide preliminary injunction against enforcement of the Corporate Transparency Act’s beneficial ownership information report rule is paused and the deadline for compliance is extended. However, the reporting rule remains subject to legal challenges and the future of the CTA and its mandate to file beneficial ownership information with the Financial Crimes Enforcement Network, as well as our Beneficial Ownership Information Report offering, remains uncertain. These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 Further, in the U.S., we are generally unable to hire attorneys as employees to provide legal advice directly to our customer, because we do not meet certain regulatory requirements, such as being exclusively owned by licensed attorneys.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CPL.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However, 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structure our relationships with the independent attorneys and independent accountants who participate in our and our partners' networks in a manner that we believe results in an independent contractor relationship, not an employee relationship. On the other hand, some of our tax offerings and our intellectual property offerings are currently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ordinary course of business, we collect and otherwise process information from and about our customers and others, which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Many other U.S. states have enacted, or have proposed enacting, similar comprehensive privacy laws that impose certain obligations on covered businesses, including providing specific disclosures in privacy notices, obtaining consumer consent and affording residents with certain rights concerning their personal data. The exercise of these rights may impact our business and ability to provide our products and services. These state laws allow for statutory fines for noncompliance. Outside the U.S., an increasing number of laws, regulations and industry standards govern data privacy and security. For example, we are also subject to the European Union’s General Data Protection Regulation, or GDPR, with respect to some portions of activities. In addition, we are subject to the terms of our privacy policies and obligations to third-parties related to privacy, data protection and information security.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actual or perceived failure by us or third parties working on our behalf to comply with applicable privacy and data security laws, rules and regulations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 parties that process personal information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 xml:space="preserve">Breaches and other types of security incidents of our data, networks or systems, or those of the third parties with whom we work, could negatively impact our ability to conduct our business, our brand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otherwise process data and information about our customers, employees and others, some of which are sensitive, personal and/or confidential. Any actual or perceived breach of our security measures or those of the third parties with whom we work could adversely affect our business, operations and future prospects. Circumvention of our security measures or those of our service providers may result in access, misappropriation, deletion, alteration, publication, modification or other compromise of our information or information security systems,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information systems, cloud-based computing services, and those of our current and any future service providers and third parties with whom we work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adopted a remote-first policy, which permits personnel to work remotely or virtually indefinitely unless the nature of the personnel’s job requires their in-office presence. This policy, which results in a predominantly remote workforce, poses additional data security risks to our information technology systems and data, as our personnel work from home and utilize network connections outside our premises. Additionally, future or past business transactions, acquisitions or integrations, including our recent acquisition of Formation Nation,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 the past and may in the future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 parties. Our ability to monitor these third parties’ information security practices is limited, and these third parties may not have adequate information security measures in place, which could lead to a breach in our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 parties with whom we work,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 We may experience delays in developing and deploying remedial measures designed to address any such identified vulnerabilities. Vulnerabilities could be exploited and result in a security incident.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 parties, and protection and enforcement of our intellectual property rights, including in our trademarks, copyrights, trade secrets and domain names. Third parties may knowingly or unknowingly infringe on or challenge our proprietary rights, and pending and future trademark or other intellectual property applications may not be approved and if approved, may be inadequate to prevent third parties from circumventing such intellectual property rights.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ability to effectively and successfully integrate the operations of Formation Nation into our existing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strategic execution priorities;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macroeconomic, political, regulatory and market conditions, such as those related to recessionary fears, tariffs, inflation and/or elevated interest rates;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incidents of terrorism, a public health pandemic or epidemic, bank failures, or responses to these events.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December 31, 2024, holders of approximately 65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other affiliates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Based upon shares of our common stock outstanding as of December 31, 2024, our executive officers, directors and other affiliates, in the aggregate, own shares, directly or indirectly, representing approximately 21%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Furthermore, Section 22 of the Securities Act of 1933, as amended,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1B. Unresolved Staff Comments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1C. Cybersecurity</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Risk Management and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identify, assess and manage material risks associated with cybersecurity threats, as such term is defined in Item 106(a) of Regulation S-K. These risks include, among other things, operational risks, intellectual property theft, fraud, extortion, harm to personnel and customers, violation of privacy and security laws and other litigation and legal risk, and reputational risks. We have implemented and continue to maintain various cybersecurity processes, technologies, and controls designed to aid in our efforts to assess, identify, and manage such material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identify, assess and manage material risks from cybersecurity threats, our enterprise risk management program considers cybersecurity threat risks alongside other company risks as part of our overall risk assessment process. Our enterprise risk management committee, a multidisciplinary committee that includes our Chief Financial &amp; Operating Officer and Chief Revenue Officer and is chaired by our Chief Legal Officer, collaborates with internal subject matter specialists in an effort to gather information for identifying, assessing and managing material cybersecurity risks, such as information related to their severity, likelihood of occurrence and potential mitigation strategies. At least quarterly, our Chief Information Officer and Senior Director, Information Security, meet with our enterprise risk management committee to present and discuss a cybersecurity risk assessment. Key cybersecurity risks are then incorporated into our enterprise risk management framework. To help inform our cybersecurity risk identification, assessment and management, we also employ a range of tools and services, including network and endpoint monitoring, vulnerability assessments, periodic penetration testing, bug bounty program and tabletop exercises.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an effort designed to provide for the availability of critical data and systems, manage our material risks from cybersecurity threats, and protect against, detect, and respond to cybersecurity incidents, as such term is defined in Item 106(a) of Regulation S-K, we also undertake the below listed activities: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closely monitor emerging data protection laws and implement any necessary changes to our processes;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annual security training for all our employees;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annual cybersecurity management and incident training designed for certain employees such as those who handle sensitive data;</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conduct phishing email simulations for personnel with access to corporate email systems in an effort to enhance awareness and responsiveness to such possible threats;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periodically evaluate customer support interactions to help ensure compliance with security protocols and service standards;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through policy, practice and contract (as applicable) require employees, as well as third-parties who provide services on our behalf, to treat customer information and data with care;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hold regular meetings of an internal multidisciplinary working group to discuss our cybersecurity incident preparedness;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run tabletop exercises to simulate a cybersecurity incident and use findings from such exercises in an effort to improve our processes and technologies;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 regularly review and test a framework designed to help us identify, protect, detect, respond, and recover when there is an actual or potential cybersecurity incident;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carry information security risk insurance designed to mitigate potential losses arising from cybersecurity incidents.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incident response plan coordinates the activities we take to prepare for, detect, respond to and recover from cybersecurity incidents, which include processes designed to triage, assess severity for, escalate, contain, investigate, and remediate the incident, as well as to comply with potentially applicable legal obligations and mitigate brand and reputational damage.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part of the above processes, from time to time we work with third parties that are intended to help us to identify, assess, and manage cybersecurity risks, including professional services firms, threat intelligence service providers, managed cybersecurity service providers and penetration testing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operate our business, we utilize certain service providers to perform a variety of functions, such as professional services, data center facilities and other functions. Our processes are designed to address cybersecurity threat risks associated with our use of service providers, including those in our supply chain or who have access to our customer and employee data or our information systems. Certain risks associated with our use of service providers are included within our enterprise risk management assessment program, as well as our processes designed to identify, assess and manage cybersecurity-specific risks, both of which are discussed above. In addition, cybersecurity considerations may affect the selection and oversight of our service providers. We perform diligence on certain service providers that have access to our systems, data or facilities that house such systems or data. This diligence may include a review of the service providers’ internal and/or external security audits and certifications. Additionally, we may impose specific cybersecurity obligations on certain service providers.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face a number of cybersecurity risks in connection with our business. We have, from time to time, experienced threats to and breaches of our data and systems. For a description of the risks from cybersecurity threats that may materially affect the Company and how they may do so, see Part I, Item 1A, “Risk Factors”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Cybersecurity Governance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Cybersecurity is an area of focus for our board of directors and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audit committee of our board of directors is responsible for overseeing the adequacy and effectiveness of the Company’s information security policies and practices, as well as risks related to information security and cybersecurity. At least semiannually, and more frequently depending upon applicable facts and circumstances, our audit committee receives an overview of our cybersecurity threat risk management and strategy processes, which covers topics such as our incident response plan, results from third-party assessments, our cybersecurity risk roadmap and any threat risks, cybersecurity incidents or developments, and our progress towards risk-mitigation-related goals. The audit committee receives information related to the foregoing matters from our Chief Information Officer and Senior Director, Information Security, as well as with representatives from our enterprise risk management committee.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audit committee also receives an annual information security report, which contains information regarding, among other things, the data security processes and procedures that have been implemented across company business units. In addition, our full board of directors is presented with updates on our cybersecurity threat risk management and strategy processes at least annually.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cybersecurity risk management and strategy processes, which are discussed in greater detail above, are led by our Chief Information Officer and Senior Director, Information Security. Such individuals have collectively over 20 years of prior work experience in various roles involving managing and safeguarding information security, formulating and executing strategies for cybersecurity, and instituting programs for information and cyber protection, as well as several relevant degrees and certifications, including Certified Information Systems Security Professional, or CISSP, Offensive Security Certified Professional, or OCSP, M.S. Cybersecurity and Information Assurance, M.B.A. Information Systems.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Properties</w:t>
      </w:r>
    </w:p>
    <w:p>
      <w:pPr>
        <w:pStyle w:val="TextBody"/>
        <w:bidi w:val="0"/>
        <w:spacing w:lineRule="auto" w:line="288" w:before="120" w:after="120"/>
        <w:ind w:left="0" w:right="0" w:firstLine="450"/>
        <w:jc w:val="left"/>
        <w:rPr/>
      </w:pPr>
      <w:r>
        <w:rPr>
          <w:rFonts w:ascii="Work Sans;sans-serif" w:hAnsi="Work Sans;sans-serif"/>
          <w:b w:val="false"/>
          <w:color w:val="000000"/>
          <w:sz w:val="18"/>
        </w:rPr>
        <w:t>Our corporate headquarters are located in Mountain View, California, under a lease expiring in 2029. We currently own approximately 209,000 square feet of space in Austin, Texas, which is our operating headquarters. We previously announced our intention to sell our operating headquarters in Austin, Texas, which is discussed in more detail in Note 4 to our consolidated financial statements included elsewhere in this Annual Report on Form 10-K. We also lease office spaces in other locations throughout the U.S. and internationally. We believe that these facilities are sufficient for our current needs and that additional facilities will be available to accommodate the expansion of our business should they be needed</w:t>
      </w:r>
      <w:r>
        <w:rPr>
          <w:rFonts w:ascii="Work Sans;sans-serif" w:hAnsi="Work Sans;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a party to various currently pending legal proceedings and government inquiries, and we anticipate that legal proceedings, government investigations, government inquiries or claims could be brought against us in the future. For more information on our material pending legal proceedings and governmental inquiries, see Note 12 to our consolidated financial statements included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Market for Registrant's Common Equity, Related Stockholder Matters and Issuer Purchases of Equity Securities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Market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common stock trades on the Nasdaq Global Select Market under the symbol “LZ.”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Holders of Record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of February 14, 2025, there were 112 holders of record of our common stock.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Dividend Policy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not paid any dividends on our common stock in the last three years and do not intend to pay dividends in the foreseeable future.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Purchases of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stock repurchase program, or the stock repurchase program, authorizing us to repurchase up to $100.0 million of our common stock, with no fixed expiration. In May 2024, our board of directors approved a $75.0 million increase in the stock repurchase program, bringing the aggregate amount authorized to $175.00 million. In November 2024, our board of directors approved an additional $40.0 million increase in the stock repurchase program, bringing the aggregate amount authorized to $215.0 million. At December 31, 2024, approximately $50.0 million remained available for future repurchases of our common stock under the stock repurchase program. The stock repurchase program authorizes us to repurchase our common stock through any manner, including open market transactions, accelerated stock repurchase agreements, or in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Exchange Act. We may also from time to time enter into Rule 10b5-1 plans to facilitate repurchases of our shares of common stock under this authorization. The stock repurchase program does not obligate us to acquire any particular amount of common stock and may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December 31, 2024 was as follows:</w:t>
      </w:r>
    </w:p>
    <w:tbl>
      <w:tblPr>
        <w:tblW w:w="10205" w:type="dxa"/>
        <w:jc w:val="left"/>
        <w:tblInd w:w="0" w:type="dxa"/>
        <w:tblLayout w:type="fixed"/>
        <w:tblCellMar>
          <w:top w:w="28" w:type="dxa"/>
          <w:left w:w="28" w:type="dxa"/>
          <w:bottom w:w="28" w:type="dxa"/>
          <w:right w:w="28" w:type="dxa"/>
        </w:tblCellMar>
      </w:tblPr>
      <w:tblGrid>
        <w:gridCol w:w="662"/>
        <w:gridCol w:w="432"/>
        <w:gridCol w:w="439"/>
        <w:gridCol w:w="647"/>
        <w:gridCol w:w="512"/>
        <w:gridCol w:w="514"/>
        <w:gridCol w:w="109"/>
        <w:gridCol w:w="109"/>
        <w:gridCol w:w="109"/>
        <w:gridCol w:w="305"/>
        <w:gridCol w:w="791"/>
        <w:gridCol w:w="148"/>
        <w:gridCol w:w="109"/>
        <w:gridCol w:w="109"/>
        <w:gridCol w:w="109"/>
        <w:gridCol w:w="796"/>
        <w:gridCol w:w="705"/>
        <w:gridCol w:w="706"/>
        <w:gridCol w:w="109"/>
        <w:gridCol w:w="109"/>
        <w:gridCol w:w="109"/>
        <w:gridCol w:w="355"/>
        <w:gridCol w:w="1962"/>
        <w:gridCol w:w="250"/>
      </w:tblGrid>
      <w:tr>
        <w:trPr/>
        <w:tc>
          <w:tcPr>
            <w:tcW w:w="6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October 1, 2024 through October 31, 2024</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358,706 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358,706 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9,986,329 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November 1, 2024 through November 30, 2024</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49,986,329 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December 1, 2024 through December 31, 2024</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49,986,329 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1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358,706 </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358,706 </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5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Performance Graph</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graph depicts the total cumulative stockholder return on our common stock from June 30, 2021, the first day of trading of our common stock on the Nasdaq Global Select Market, through December 31, 2024, relative to the cumulative total returns of the Nasdaq Composite Index and Nasdaq CTA Internet Index. The graph assumes an initial investment of $100.00 at the close of trading on June 30, 2021 and the reinvestment of all dividends. The performance shown in the graph below is not intended to forecast or be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450"/>
        <w:jc w:val="center"/>
        <w:rPr/>
      </w:pPr>
      <w:r>
        <w:rPr/>
        <w:drawing>
          <wp:inline distT="0" distB="0" distL="0" distR="0">
            <wp:extent cx="6000750" cy="391477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6000750" cy="391477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636"/>
        <w:gridCol w:w="558"/>
        <w:gridCol w:w="561"/>
        <w:gridCol w:w="246"/>
        <w:gridCol w:w="899"/>
        <w:gridCol w:w="118"/>
        <w:gridCol w:w="109"/>
        <w:gridCol w:w="109"/>
        <w:gridCol w:w="109"/>
        <w:gridCol w:w="284"/>
        <w:gridCol w:w="1039"/>
        <w:gridCol w:w="137"/>
        <w:gridCol w:w="109"/>
        <w:gridCol w:w="109"/>
        <w:gridCol w:w="109"/>
        <w:gridCol w:w="313"/>
        <w:gridCol w:w="980"/>
        <w:gridCol w:w="153"/>
        <w:gridCol w:w="109"/>
        <w:gridCol w:w="109"/>
        <w:gridCol w:w="109"/>
        <w:gridCol w:w="284"/>
        <w:gridCol w:w="1039"/>
        <w:gridCol w:w="137"/>
        <w:gridCol w:w="109"/>
        <w:gridCol w:w="109"/>
        <w:gridCol w:w="109"/>
        <w:gridCol w:w="282"/>
        <w:gridCol w:w="1031"/>
        <w:gridCol w:w="200"/>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Composite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136.81 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Nasdaq CTA Internet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92.64 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38"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 Management's Discussion and Analysis of Financial Condition and Results of Operations</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Annual Report on Form 10-K. See “Forward-Looking Statements” preceding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LegalZoom is a leading online platform for legal services, transforming how individuals and small businesses navigate the legal system. By combining intuitive technology with access to experienced attorneys—whether through our vast independent attorney network or LegalZoom Legal Services (LZLS) law firm—we offer the tools and guidance people need to confidently manage everything from business formation and compliance to estate planning and ongoing legal support. We operate across all 50 states and in over 3,000 counties in the U.S. With over two decades of experience and millions of customers served, LegalZoom helps individuals and small businesses navigate legal needs with confidence.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 and Updates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 February 10, 2025, we acquired all of the outstanding equity interests of Formation Nation, Inc., or Formation Nation, for total cash consideration of $64.8 million and 2,205,445 restricted shares of our common stock. The shares are subject to a lock-up and voting agreement, and a portion of the cash consideration is subject to a one year holdback and customary adjustments. The cash consideration was funded with cash on hand. Upon closing of the transaction, Formation Nation, Inc. and its subsidiaries – including Inc Authority and Nevada Corporate Headquarters – became wholly owned subsidiaries of LegalZoom.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In December 2024, we announced a three-year strategic partnership with Accounting Fulfillment Services, LLC, or 1-800Accountant, pursuant to which 1-800Accountant agreed to certain minimum revenue commitments to us across the term of the agreement in exchange for us agreeing to certain obligations to market 1-800Accountant services to its customers, including agreeing to refer a minimum number of our business formation customers to 1-800Accountant in order to offer full service do-it-for-me tax and bookkeeping solutions to our customers. We expect this shift in the way we commercialize our tax offering to be a revenue headwind in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As of the date of this filing, the nationwide preliminary injunction against enforcement of the Corporate Transparency Act’s beneficial ownership information report rule is paused and the deadline for most companies to file a beneficial ownership information report is now extended until March 21, 2025. However, given that this reporting requirement continues to face legal challenges, the future of this filing requirement remains unpredictable and we expect it to be a revenue headwind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Adverse changes in, or uncertainty with respect to, general macroeconomic, political, regulatory and market conditions can negatively impact consumer spending patterns, the success of existing small businesses and the formation of new small businesses. While we continue to actively monitor the impacts of the evolving macroeconomic environment on all aspects of our business, future negative or decelerating impacts from factors such as inflation, tariffs, higher interest rates, regulatory obstacles or changes in laws and regulations remain uncertain.</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 business formations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In 2024, business formations represented the largest share of 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enhance customer lifetime value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 xml:space="preserve">Our future performance depends on our ability to integrate new products and services into our LegalZoom ecosystem and to increase recurring revenue through subscription offerings. As we continue to test new and existing products and services in order to optimize our product line-up, including testing various commercialization strategies for those offerings, we have experienced and expect to continue to experience increased volatility across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39"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our key business metrics. In addition, in an effort to enhance customer lifetime value, we intend to continue to invest in improving our customer experience, which includes investments in our educational content and improving our website and mobile experience.</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integrate experts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 xml:space="preserve">We believe that our expert offerings significantly expand our addressable market. We aim to increase the consumption of our higher-cost expert offerings through targeted cross-selling and promotion of our products, as well as by improving the platforms through which our customers and experts interact. The extent to which we are able to integrate experts into our LegalZoom ecosystem and increase the consumption of our expert offerings by new and existing customers will impact our future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generate revenue from the sources identified below. </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See the section titled “—Critical Accounting Estimates—Revenue Recognition” below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past, and any such future acquisitions could have a similar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gross margin to increase modestly over the longer term as we continue to focus on growing higher-margin subscription revenue and invest in fulfillment automation technologies. In addition, our gross margin could fluctuate from period to period due to fulfillment rates and 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40"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and other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technology and development expenses to remain relatively consistent as a percentage of our revenue for the foreseeable future,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general and administrative expenses to decrease as a percentage of our revenue over the longer term. However, our general and administrative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expense consists primarily of amortization of debt issuance costs related to our Amended and Restated Credit and Guaranty Agreement, or 2021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draw down on our 2021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primarily of interest income generated from our investment in money market funds.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December 31, 2024, we had federal net operating loss, or NOL, carryforwards of $16.6 million, which will begin to expire in 2036. At December 31, 2024, we had state NOL carryforwards of $28.8 million, which will begin to expire in 2025 and we had foreign NOL carryforwards of $35.1 million, which can be carried forward indefinitely and are not subject to expiration. In general, under Sections 382 and 383 of the Internal Revenue Code of 1986, as amended, or the Code, if a corporation undergoes an “ownership change,” generally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41"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an ownership change in prior years, and as a result certain federal and state NOLs were limited pursuant to Section 382 of the Code. This limitation has been accounted for in calculating our available NOL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years ended December 31, 2024 and 2023:</w:t>
      </w:r>
    </w:p>
    <w:tbl>
      <w:tblPr>
        <w:tblW w:w="5726" w:type="dxa"/>
        <w:jc w:val="left"/>
        <w:tblInd w:w="0" w:type="dxa"/>
        <w:tblLayout w:type="fixed"/>
        <w:tblCellMar>
          <w:top w:w="28" w:type="dxa"/>
          <w:left w:w="28" w:type="dxa"/>
          <w:bottom w:w="28" w:type="dxa"/>
          <w:right w:w="28" w:type="dxa"/>
        </w:tblCellMar>
      </w:tblPr>
      <w:tblGrid>
        <w:gridCol w:w="1063"/>
        <w:gridCol w:w="937"/>
        <w:gridCol w:w="940"/>
        <w:gridCol w:w="295"/>
        <w:gridCol w:w="295"/>
        <w:gridCol w:w="295"/>
        <w:gridCol w:w="295"/>
        <w:gridCol w:w="295"/>
        <w:gridCol w:w="295"/>
        <w:gridCol w:w="295"/>
        <w:gridCol w:w="295"/>
        <w:gridCol w:w="426"/>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Work Sans;sans-serif" w:hAnsi="Work Sans;sans-serif"/>
                <w:b w:val="false"/>
                <w:i/>
                <w:color w:val="000000"/>
                <w:sz w:val="18"/>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482</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581</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17% decrease in business formation transactions during the year ended December 31, 2024 compared to the year ended December 31, 2023, primarily due to a challenging macroeconomic environment and the exit of certain partner channel relationships in the third quarter of 2023. Overall U.S. business formations declined 5% during the year ended December 31, 2024, compared to the year ended December 31, 2023, based on a review of U.S. Census data revealing new applications for EINs.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years ended December 31, 2024 and 2023 :</w:t>
      </w:r>
    </w:p>
    <w:tbl>
      <w:tblPr>
        <w:tblW w:w="5036" w:type="dxa"/>
        <w:jc w:val="left"/>
        <w:tblInd w:w="0" w:type="dxa"/>
        <w:tblLayout w:type="fixed"/>
        <w:tblCellMar>
          <w:top w:w="28" w:type="dxa"/>
          <w:left w:w="28" w:type="dxa"/>
          <w:bottom w:w="28" w:type="dxa"/>
          <w:right w:w="28" w:type="dxa"/>
        </w:tblCellMar>
      </w:tblPr>
      <w:tblGrid>
        <w:gridCol w:w="815"/>
        <w:gridCol w:w="715"/>
        <w:gridCol w:w="720"/>
        <w:gridCol w:w="295"/>
        <w:gridCol w:w="295"/>
        <w:gridCol w:w="295"/>
        <w:gridCol w:w="295"/>
        <w:gridCol w:w="295"/>
        <w:gridCol w:w="295"/>
        <w:gridCol w:w="295"/>
        <w:gridCol w:w="295"/>
        <w:gridCol w:w="42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1,123</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1,043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an 8% increase in the number of transactions during the year ended December 31, 2024 compared to the year ended December 31, 2023, primarily from the introduction of our beneficial ownership information report in December 2023 and to a lesser extent an increase in other small business related transactions, including annual reports and corporate dissolutions. These increases were partially offset by the decrease in business formations discussed above.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years ended December 31, 2024 and 2023:</w:t>
      </w:r>
    </w:p>
    <w:tbl>
      <w:tblPr>
        <w:tblW w:w="4722" w:type="dxa"/>
        <w:jc w:val="left"/>
        <w:tblInd w:w="0" w:type="dxa"/>
        <w:tblLayout w:type="fixed"/>
        <w:tblCellMar>
          <w:top w:w="28" w:type="dxa"/>
          <w:left w:w="28" w:type="dxa"/>
          <w:bottom w:w="28" w:type="dxa"/>
          <w:right w:w="28" w:type="dxa"/>
        </w:tblCellMar>
      </w:tblPr>
      <w:tblGrid>
        <w:gridCol w:w="700"/>
        <w:gridCol w:w="616"/>
        <w:gridCol w:w="619"/>
        <w:gridCol w:w="300"/>
        <w:gridCol w:w="700"/>
        <w:gridCol w:w="145"/>
        <w:gridCol w:w="145"/>
        <w:gridCol w:w="145"/>
        <w:gridCol w:w="145"/>
        <w:gridCol w:w="300"/>
        <w:gridCol w:w="700"/>
        <w:gridCol w:w="207"/>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Average order value decreased by 8% during the year ended December 31, 2024 compared to the year ended December 31, 2023. The decrease in average order value was primarily driven by a higher mix of lower priced small business-related transactions, including beneficial ownership information reports, and a reduction in the fees earned from third-party providers from leads generated for such providers through our online platforms.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and have an annual term. Our customers can have multiple subscriptions at the end of a period.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December 31, 2024 and 2023:</w:t>
      </w:r>
    </w:p>
    <w:tbl>
      <w:tblPr>
        <w:tblW w:w="4871" w:type="dxa"/>
        <w:jc w:val="left"/>
        <w:tblInd w:w="0" w:type="dxa"/>
        <w:tblLayout w:type="fixed"/>
        <w:tblCellMar>
          <w:top w:w="28" w:type="dxa"/>
          <w:left w:w="28" w:type="dxa"/>
          <w:bottom w:w="28" w:type="dxa"/>
          <w:right w:w="28" w:type="dxa"/>
        </w:tblCellMar>
      </w:tblPr>
      <w:tblGrid>
        <w:gridCol w:w="1000"/>
        <w:gridCol w:w="877"/>
        <w:gridCol w:w="883"/>
        <w:gridCol w:w="223"/>
        <w:gridCol w:w="223"/>
        <w:gridCol w:w="223"/>
        <w:gridCol w:w="223"/>
        <w:gridCol w:w="223"/>
        <w:gridCol w:w="223"/>
        <w:gridCol w:w="223"/>
        <w:gridCol w:w="223"/>
        <w:gridCol w:w="327"/>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1,766</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color w:val="000000"/>
                <w:sz w:val="18"/>
              </w:rPr>
            </w:pPr>
            <w:r>
              <w:rPr>
                <w:rFonts w:ascii="Work Sans;sans-serif" w:hAnsi="Work Sans;sans-serif"/>
                <w:b w:val="false"/>
                <w:color w:val="000000"/>
                <w:sz w:val="18"/>
              </w:rPr>
              <w:t>1,545</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achieved 14% growth in the number of subscription units from December 31, 2023 to December 31, 2024, primarily driven by an increase in forms and e-signature and accounting solution subscriptions resulting from the bundling of these products into certain business formation offerings and an increase in compliance subscriptions. Growth in subscription units as of December 31, 2024 was partially offset by the discontinuation of new customer acquisition for our tax offering.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December 31, 2024 increased 3% from 1,717 thousand subscription units as of September 30, 2024.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43"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together with subscription units, ARPU provides insight into the impact that higher-value subscriptions have on our ability to grow our subscription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December 31, 2024 and 2023:</w:t>
      </w:r>
    </w:p>
    <w:tbl>
      <w:tblPr>
        <w:tblW w:w="5712" w:type="dxa"/>
        <w:jc w:val="left"/>
        <w:tblInd w:w="0" w:type="dxa"/>
        <w:tblLayout w:type="fixed"/>
        <w:tblCellMar>
          <w:top w:w="28" w:type="dxa"/>
          <w:left w:w="28" w:type="dxa"/>
          <w:bottom w:w="28" w:type="dxa"/>
          <w:right w:w="28" w:type="dxa"/>
        </w:tblCellMar>
      </w:tblPr>
      <w:tblGrid>
        <w:gridCol w:w="1304"/>
        <w:gridCol w:w="1144"/>
        <w:gridCol w:w="1151"/>
        <w:gridCol w:w="228"/>
        <w:gridCol w:w="531"/>
        <w:gridCol w:w="110"/>
        <w:gridCol w:w="110"/>
        <w:gridCol w:w="110"/>
        <w:gridCol w:w="110"/>
        <w:gridCol w:w="228"/>
        <w:gridCol w:w="531"/>
        <w:gridCol w:w="155"/>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ARPU declined 5% as of December 31, 2024 as compared to December 31, 2023 driven primarily by pricing changes to our compliance related subscriptions and virtual mail subscriptions. ARPU as of December 31, 2024 was flat sequentially compared to September 30, 2024.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solutions, our small business legal advisory plan and subscriptions acquired through our purchase of Earth Class Mail Inc. and Revvsales Inc.,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December 31, 2024 was approximately 63%.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consolidated statement of operations data for each of the periods indicated. The period-to-period comparison of financial results should not be considered as a prediction or indicative of our future results.</w:t>
      </w:r>
    </w:p>
    <w:tbl>
      <w:tblPr>
        <w:tblW w:w="6068" w:type="dxa"/>
        <w:jc w:val="left"/>
        <w:tblInd w:w="0" w:type="dxa"/>
        <w:tblLayout w:type="fixed"/>
        <w:tblCellMar>
          <w:top w:w="28" w:type="dxa"/>
          <w:left w:w="28" w:type="dxa"/>
          <w:bottom w:w="28" w:type="dxa"/>
          <w:right w:w="28" w:type="dxa"/>
        </w:tblCellMar>
      </w:tblPr>
      <w:tblGrid>
        <w:gridCol w:w="1136"/>
        <w:gridCol w:w="997"/>
        <w:gridCol w:w="1001"/>
        <w:gridCol w:w="226"/>
        <w:gridCol w:w="946"/>
        <w:gridCol w:w="109"/>
        <w:gridCol w:w="109"/>
        <w:gridCol w:w="109"/>
        <w:gridCol w:w="109"/>
        <w:gridCol w:w="226"/>
        <w:gridCol w:w="94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from operations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Income before income taxes </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44"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6625" w:type="dxa"/>
        <w:jc w:val="left"/>
        <w:tblInd w:w="0" w:type="dxa"/>
        <w:tblLayout w:type="fixed"/>
        <w:tblCellMar>
          <w:top w:w="28" w:type="dxa"/>
          <w:left w:w="28" w:type="dxa"/>
          <w:bottom w:w="28" w:type="dxa"/>
          <w:right w:w="28" w:type="dxa"/>
        </w:tblCellMar>
      </w:tblPr>
      <w:tblGrid>
        <w:gridCol w:w="1391"/>
        <w:gridCol w:w="1220"/>
        <w:gridCol w:w="1229"/>
        <w:gridCol w:w="234"/>
        <w:gridCol w:w="855"/>
        <w:gridCol w:w="112"/>
        <w:gridCol w:w="112"/>
        <w:gridCol w:w="112"/>
        <w:gridCol w:w="112"/>
        <w:gridCol w:w="234"/>
        <w:gridCol w:w="855"/>
        <w:gridCol w:w="159"/>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38,027 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Stock-based compensation expense increased for the year ended December 31, 2024 compared to the year ended December 31, 2023 due to time-based restricted stock units, or RSUs, RSUs with performance and market conditions, and RSUs with market conditions granted to eligible employees and members of our senior leadership team </w:t>
      </w:r>
      <w:r>
        <w:rPr>
          <w:rFonts w:ascii="Work Sans;sans-serif" w:hAnsi="Work Sans;sans-serif"/>
          <w:b w:val="false"/>
          <w:color w:val="000000"/>
          <w:sz w:val="18"/>
          <w:shd w:fill="FFFFFF" w:val="clear"/>
        </w:rPr>
        <w:t xml:space="preserve">in </w:t>
      </w:r>
      <w:r>
        <w:rPr>
          <w:rFonts w:ascii="Work Sans;sans-serif" w:hAnsi="Work Sans;sans-serif"/>
          <w:b w:val="false"/>
          <w:color w:val="000000"/>
          <w:sz w:val="18"/>
        </w:rPr>
        <w:t>2024. Refer to Note 14 to our consolidated financial statements included elsewhere in this Annual Report on Form 10-K.</w:t>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6927" w:type="dxa"/>
        <w:jc w:val="center"/>
        <w:tblInd w:w="0" w:type="dxa"/>
        <w:tblLayout w:type="fixed"/>
        <w:tblCellMar>
          <w:top w:w="28" w:type="dxa"/>
          <w:left w:w="28" w:type="dxa"/>
          <w:bottom w:w="28" w:type="dxa"/>
          <w:right w:w="28" w:type="dxa"/>
        </w:tblCellMar>
      </w:tblPr>
      <w:tblGrid>
        <w:gridCol w:w="1499"/>
        <w:gridCol w:w="1315"/>
        <w:gridCol w:w="1325"/>
        <w:gridCol w:w="233"/>
        <w:gridCol w:w="854"/>
        <w:gridCol w:w="112"/>
        <w:gridCol w:w="112"/>
        <w:gridCol w:w="112"/>
        <w:gridCol w:w="112"/>
        <w:gridCol w:w="233"/>
        <w:gridCol w:w="854"/>
        <w:gridCol w:w="166"/>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Year Ended December 31, 2024 and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7689" w:type="dxa"/>
        <w:jc w:val="left"/>
        <w:tblInd w:w="0" w:type="dxa"/>
        <w:tblLayout w:type="fixed"/>
        <w:tblCellMar>
          <w:top w:w="28" w:type="dxa"/>
          <w:left w:w="28" w:type="dxa"/>
          <w:bottom w:w="28" w:type="dxa"/>
          <w:right w:w="28" w:type="dxa"/>
        </w:tblCellMar>
      </w:tblPr>
      <w:tblGrid>
        <w:gridCol w:w="667"/>
        <w:gridCol w:w="587"/>
        <w:gridCol w:w="5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The 3% increase in total revenue for the year ended </w:t>
      </w:r>
      <w:r>
        <w:rPr>
          <w:rFonts w:ascii="Work Sans;sans-serif" w:hAnsi="Work Sans;sans-serif"/>
          <w:b w:val="false"/>
          <w:color w:val="000000"/>
          <w:sz w:val="18"/>
          <w:shd w:fill="FFFFFF" w:val="clear"/>
        </w:rPr>
        <w:t>December 31, 2024</w:t>
      </w:r>
      <w:r>
        <w:rPr>
          <w:color w:val="000000"/>
        </w:rPr>
        <w:t xml:space="preserve"> </w:t>
      </w:r>
      <w:r>
        <w:rPr>
          <w:rFonts w:ascii="Work Sans;sans-serif" w:hAnsi="Work Sans;sans-serif"/>
          <w:b w:val="false"/>
          <w:color w:val="000000"/>
          <w:sz w:val="18"/>
        </w:rPr>
        <w:t xml:space="preserve">compared to the year ended </w:t>
      </w:r>
      <w:r>
        <w:rPr>
          <w:rFonts w:ascii="Work Sans;sans-serif" w:hAnsi="Work Sans;sans-serif"/>
          <w:b w:val="false"/>
          <w:color w:val="000000"/>
          <w:sz w:val="18"/>
          <w:shd w:fill="FFFFFF" w:val="clear"/>
        </w:rPr>
        <w:t>December 31, 2023</w:t>
      </w:r>
      <w:r>
        <w:rPr>
          <w:color w:val="000000"/>
        </w:rPr>
        <w:t xml:space="preserve"> </w:t>
      </w:r>
      <w:r>
        <w:rPr>
          <w:rFonts w:ascii="Work Sans;sans-serif" w:hAnsi="Work Sans;sans-serif"/>
          <w:b w:val="false"/>
          <w:color w:val="000000"/>
          <w:sz w:val="18"/>
        </w:rPr>
        <w:t>was driven by an increase in subscription revenue. Subscription revenue was 64% and 62% of total revenue for the year ended December 31, 2024 and 2023, respectively, and transaction revenue was 36% and 38% of total revenue for the year ended December 31, 2024 and 2023, respectively.</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 xml:space="preserve">Transaction revenue decreased </w:t>
      </w:r>
      <w:r>
        <w:rPr>
          <w:rFonts w:ascii="Work Sans;sans-serif" w:hAnsi="Work Sans;sans-serif"/>
          <w:b w:val="false"/>
          <w:color w:val="000000"/>
          <w:sz w:val="18"/>
        </w:rPr>
        <w:t>1%</w:t>
      </w:r>
      <w:r>
        <w:rPr>
          <w:color w:val="000000"/>
          <w:shd w:fill="FFFFFF" w:val="clear"/>
        </w:rPr>
        <w:t xml:space="preserve"> </w:t>
      </w:r>
      <w:r>
        <w:rPr>
          <w:rFonts w:ascii="Work Sans;sans-serif" w:hAnsi="Work Sans;sans-serif"/>
          <w:b w:val="false"/>
          <w:color w:val="000000"/>
          <w:sz w:val="18"/>
          <w:shd w:fill="FFFFFF" w:val="clear"/>
        </w:rPr>
        <w:t>year-over-year for the year ended December 31, 2024 primarily due to a 17% decrease in business formations and a reduction in fees earned from third-party providers from leads generated from such providers through our online platform, partially offset by the introduction of our beneficial ownership information report and an increase in other small business related transactions, including annual reports and dissolutions.</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 xml:space="preserve">Subscription revenue increased </w:t>
      </w:r>
      <w:r>
        <w:rPr>
          <w:rFonts w:ascii="Work Sans;sans-serif" w:hAnsi="Work Sans;sans-serif"/>
          <w:b w:val="false"/>
          <w:color w:val="000000"/>
          <w:sz w:val="18"/>
        </w:rPr>
        <w:t>6%</w:t>
      </w:r>
      <w:r>
        <w:rPr>
          <w:color w:val="000000"/>
          <w:shd w:fill="FFFFFF" w:val="clear"/>
        </w:rPr>
        <w:t xml:space="preserve"> </w:t>
      </w:r>
      <w:r>
        <w:rPr>
          <w:rFonts w:ascii="Work Sans;sans-serif" w:hAnsi="Work Sans;sans-serif"/>
          <w:b w:val="false"/>
          <w:color w:val="000000"/>
          <w:sz w:val="18"/>
          <w:shd w:fill="FFFFFF" w:val="clear"/>
        </w:rPr>
        <w:t xml:space="preserve">year-over-year for the year ended December 31, 2024 primarily due to our compliance-related subscriptions and legal advisory subscriptions, partially offset by the discontinuation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45"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Work Sans;sans-serif" w:hAnsi="Work Sans;sans-serif"/>
          <w:b w:val="false"/>
          <w:color w:val="000000"/>
          <w:sz w:val="18"/>
          <w:shd w:fill="FFFFFF" w:val="clear"/>
        </w:rPr>
        <w:t xml:space="preserve">of new customer acquisition for our tax offerings and the exit of certain channel partner relationships in the third quarter of </w:t>
      </w:r>
      <w:r>
        <w:rPr>
          <w:rFonts w:ascii="Work Sans;sans-serif" w:hAnsi="Work Sans;sans-serif"/>
          <w:b w:val="false"/>
          <w:color w:val="000000"/>
          <w:sz w:val="18"/>
        </w:rPr>
        <w:t>2023</w:t>
      </w:r>
      <w:r>
        <w:rPr>
          <w:rFonts w:ascii="Work Sans;sans-serif" w:hAnsi="Work Sans;sans-serif"/>
          <w:b w:val="false"/>
          <w:color w:val="000000"/>
          <w:sz w:val="18"/>
          <w:shd w:fill="FFFFFF" w:val="clear"/>
        </w:rPr>
        <w: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250" w:type="dxa"/>
        <w:jc w:val="left"/>
        <w:tblInd w:w="0" w:type="dxa"/>
        <w:tblLayout w:type="fixed"/>
        <w:tblCellMar>
          <w:top w:w="28" w:type="dxa"/>
          <w:left w:w="28" w:type="dxa"/>
          <w:bottom w:w="28" w:type="dxa"/>
          <w:right w:w="28" w:type="dxa"/>
        </w:tblCellMar>
      </w:tblPr>
      <w:tblGrid>
        <w:gridCol w:w="554"/>
        <w:gridCol w:w="486"/>
        <w:gridCol w:w="490"/>
        <w:gridCol w:w="226"/>
        <w:gridCol w:w="946"/>
        <w:gridCol w:w="109"/>
        <w:gridCol w:w="109"/>
        <w:gridCol w:w="109"/>
        <w:gridCol w:w="109"/>
        <w:gridCol w:w="226"/>
        <w:gridCol w:w="946"/>
        <w:gridCol w:w="109"/>
        <w:gridCol w:w="109"/>
        <w:gridCol w:w="109"/>
        <w:gridCol w:w="109"/>
        <w:gridCol w:w="271"/>
        <w:gridCol w:w="632"/>
        <w:gridCol w:w="133"/>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830 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Cost of revenue for the year ended December 31, 2024 increased by $0.8 million mainly due to a $6.1 million increase i</w:t>
      </w:r>
      <w:r>
        <w:rPr>
          <w:rFonts w:ascii="Work Sans;sans-serif" w:hAnsi="Work Sans;sans-serif"/>
          <w:b w:val="false"/>
          <w:color w:val="000000"/>
          <w:sz w:val="18"/>
        </w:rPr>
        <w:t xml:space="preserve">n depreciation and amortization expense primarily resulting from higher capitalization of internal-use software development costs and a </w:t>
      </w:r>
      <w:r>
        <w:rPr>
          <w:rFonts w:ascii="Work Sans;sans-serif" w:hAnsi="Work Sans;sans-serif"/>
          <w:b w:val="false"/>
          <w:color w:val="000000"/>
          <w:sz w:val="18"/>
          <w:shd w:fill="FFFFFF" w:val="clear"/>
        </w:rPr>
        <w:t>$1.5 million increase in stock-based compensation expense</w:t>
      </w:r>
      <w:r>
        <w:rPr>
          <w:rFonts w:ascii="Work Sans;sans-serif" w:hAnsi="Work Sans;sans-serif"/>
          <w:b w:val="false"/>
          <w:color w:val="000000"/>
          <w:sz w:val="18"/>
        </w:rPr>
        <w:t xml:space="preserve">, </w:t>
      </w:r>
      <w:r>
        <w:rPr>
          <w:rFonts w:ascii="Work Sans;sans-serif" w:hAnsi="Work Sans;sans-serif"/>
          <w:b w:val="false"/>
          <w:color w:val="000000"/>
          <w:sz w:val="18"/>
          <w:shd w:fill="FFFFFF" w:val="clear"/>
        </w:rPr>
        <w:t>partially offset by</w:t>
      </w:r>
      <w:r>
        <w:rPr>
          <w:color w:val="000000"/>
        </w:rPr>
        <w:t xml:space="preserve"> </w:t>
      </w:r>
      <w:r>
        <w:rPr>
          <w:rFonts w:ascii="Work Sans;sans-serif" w:hAnsi="Work Sans;sans-serif"/>
          <w:b w:val="false"/>
          <w:color w:val="000000"/>
          <w:sz w:val="18"/>
          <w:shd w:fill="FFFFFF" w:val="clear"/>
        </w:rPr>
        <w:t>a $4.8 million decrease in filing fees</w:t>
      </w:r>
      <w:r>
        <w:rPr>
          <w:color w:val="000000"/>
        </w:rPr>
        <w:t xml:space="preserve"> </w:t>
      </w:r>
      <w:r>
        <w:rPr>
          <w:rFonts w:ascii="Work Sans;sans-serif" w:hAnsi="Work Sans;sans-serif"/>
          <w:b w:val="false"/>
          <w:color w:val="000000"/>
          <w:sz w:val="18"/>
        </w:rPr>
        <w:t xml:space="preserve">and </w:t>
      </w:r>
      <w:r>
        <w:rPr>
          <w:rFonts w:ascii="Work Sans;sans-serif" w:hAnsi="Work Sans;sans-serif"/>
          <w:b w:val="false"/>
          <w:color w:val="000000"/>
          <w:sz w:val="18"/>
          <w:shd w:fill="FFFFFF" w:val="clear"/>
        </w:rPr>
        <w:t>a $3.3 million decrease in third party staffing fees</w:t>
      </w:r>
      <w:r>
        <w:rPr>
          <w:rFonts w:ascii="Work Sans;sans-serif" w:hAnsi="Work Sans;sans-serif"/>
          <w:b w:val="false"/>
          <w:color w:val="000000"/>
          <w:sz w:val="18"/>
        </w:rPr>
        <w:t>. The decrease in filing fees was primarily driven by the decrease in business formations during the year ended December 31, 2024 compared to the year ended</w:t>
      </w:r>
      <w:r>
        <w:rPr>
          <w:color w:val="000000"/>
          <w:shd w:fill="FFFFFF" w:val="clear"/>
        </w:rPr>
        <w:t xml:space="preserve"> </w:t>
      </w:r>
      <w:r>
        <w:rPr>
          <w:rFonts w:ascii="Work Sans;sans-serif" w:hAnsi="Work Sans;sans-serif"/>
          <w:b w:val="false"/>
          <w:color w:val="000000"/>
          <w:sz w:val="18"/>
          <w:shd w:fill="FFFFFF" w:val="clear"/>
        </w:rPr>
        <w:t>December 31, 2023</w:t>
      </w:r>
      <w:r>
        <w:rPr>
          <w:rFonts w:ascii="Work Sans;sans-serif" w:hAnsi="Work Sans;sans-serif"/>
          <w:b w:val="false"/>
          <w:color w:val="000000"/>
          <w:sz w:val="18"/>
        </w:rPr>
        <w:t xml:space="preserv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014" w:type="dxa"/>
        <w:jc w:val="left"/>
        <w:tblInd w:w="0" w:type="dxa"/>
        <w:tblLayout w:type="fixed"/>
        <w:tblCellMar>
          <w:top w:w="28" w:type="dxa"/>
          <w:left w:w="28" w:type="dxa"/>
          <w:bottom w:w="28" w:type="dxa"/>
          <w:right w:w="28" w:type="dxa"/>
        </w:tblCellMar>
      </w:tblPr>
      <w:tblGrid>
        <w:gridCol w:w="423"/>
        <w:gridCol w:w="372"/>
        <w:gridCol w:w="374"/>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The increase in gross profit was driven by a $21.2 million increase in revenue partially offset by a $0.8 million increase in cost of revenue as discussed above.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795" w:type="dxa"/>
        <w:jc w:val="left"/>
        <w:tblInd w:w="0" w:type="dxa"/>
        <w:tblLayout w:type="fixed"/>
        <w:tblCellMar>
          <w:top w:w="28" w:type="dxa"/>
          <w:left w:w="28" w:type="dxa"/>
          <w:bottom w:w="28" w:type="dxa"/>
          <w:right w:w="28" w:type="dxa"/>
        </w:tblCellMar>
      </w:tblPr>
      <w:tblGrid>
        <w:gridCol w:w="718"/>
        <w:gridCol w:w="629"/>
        <w:gridCol w:w="633"/>
        <w:gridCol w:w="226"/>
        <w:gridCol w:w="946"/>
        <w:gridCol w:w="109"/>
        <w:gridCol w:w="109"/>
        <w:gridCol w:w="109"/>
        <w:gridCol w:w="109"/>
        <w:gridCol w:w="226"/>
        <w:gridCol w:w="946"/>
        <w:gridCol w:w="109"/>
        <w:gridCol w:w="109"/>
        <w:gridCol w:w="109"/>
        <w:gridCol w:w="109"/>
        <w:gridCol w:w="226"/>
        <w:gridCol w:w="796"/>
        <w:gridCol w:w="109"/>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Sales and marketing expenses for the year ended December 31, 2024 decreased by </w:t>
      </w:r>
      <w:r>
        <w:rPr>
          <w:rFonts w:ascii="Work Sans;sans-serif" w:hAnsi="Work Sans;sans-serif"/>
          <w:b w:val="false"/>
          <w:color w:val="000000"/>
          <w:sz w:val="18"/>
        </w:rPr>
        <w:t>$3.2 million</w:t>
      </w:r>
      <w:r>
        <w:rPr>
          <w:color w:val="000000"/>
          <w:shd w:fill="FFFFFF" w:val="clear"/>
        </w:rPr>
        <w:t xml:space="preserve"> </w:t>
      </w:r>
      <w:r>
        <w:rPr>
          <w:rFonts w:ascii="Work Sans;sans-serif" w:hAnsi="Work Sans;sans-serif"/>
          <w:b w:val="false"/>
          <w:color w:val="000000"/>
          <w:sz w:val="18"/>
          <w:shd w:fill="FFFFFF" w:val="clear"/>
        </w:rPr>
        <w:t xml:space="preserve">primarily due to a $15.4 million reduction in payroll and related benefits, partially offset by a $12.2 million increase in customer acquisition media spend. The decrease in payroll and related benefits was largely due to decreased sales and marketing headcount. Customer acquisition media spend was $157.6 million and $145.3 million for the year ended December 31, 2024 and </w:t>
      </w:r>
      <w:r>
        <w:rPr>
          <w:rFonts w:ascii="Work Sans;sans-serif" w:hAnsi="Work Sans;sans-serif"/>
          <w:b w:val="false"/>
          <w:color w:val="000000"/>
          <w:sz w:val="18"/>
        </w:rPr>
        <w:t>2023</w:t>
      </w:r>
      <w:r>
        <w:rPr>
          <w:rFonts w:ascii="Work Sans;sans-serif" w:hAnsi="Work Sans;sans-serif"/>
          <w:b w:val="false"/>
          <w:color w:val="000000"/>
          <w:sz w:val="18"/>
          <w:shd w:fill="FFFFFF" w:val="clear"/>
        </w:rPr>
        <w:t>, respectively, as we continued to invest in expanding our customer base and building our digital brand leadership and awareness.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380" w:type="dxa"/>
        <w:jc w:val="left"/>
        <w:tblInd w:w="0" w:type="dxa"/>
        <w:tblLayout w:type="fixed"/>
        <w:tblCellMar>
          <w:top w:w="28" w:type="dxa"/>
          <w:left w:w="28" w:type="dxa"/>
          <w:bottom w:w="28" w:type="dxa"/>
          <w:right w:w="28" w:type="dxa"/>
        </w:tblCellMar>
      </w:tblPr>
      <w:tblGrid>
        <w:gridCol w:w="1016"/>
        <w:gridCol w:w="893"/>
        <w:gridCol w:w="895"/>
        <w:gridCol w:w="234"/>
        <w:gridCol w:w="856"/>
        <w:gridCol w:w="112"/>
        <w:gridCol w:w="112"/>
        <w:gridCol w:w="112"/>
        <w:gridCol w:w="112"/>
        <w:gridCol w:w="234"/>
        <w:gridCol w:w="856"/>
        <w:gridCol w:w="112"/>
        <w:gridCol w:w="109"/>
        <w:gridCol w:w="109"/>
        <w:gridCol w:w="109"/>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Technology and development expenses for the year ended December 31, 2024 increased primarily due to an increase in payroll and related benefits largely due to increased technology and development headcount during </w:t>
      </w:r>
      <w:r>
        <w:rPr>
          <w:rFonts w:ascii="Work Sans;sans-serif" w:hAnsi="Work Sans;sans-serif"/>
          <w:b w:val="false"/>
          <w:color w:val="000000"/>
          <w:sz w:val="18"/>
          <w:shd w:fill="FFFFFF" w:val="clear"/>
        </w:rPr>
        <w:t>the year ended December 31, 2024</w:t>
      </w:r>
      <w:r>
        <w:rPr>
          <w:rFonts w:ascii="Work Sans;sans-serif" w:hAnsi="Work Sans;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46"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290" w:type="dxa"/>
        <w:jc w:val="left"/>
        <w:tblInd w:w="0" w:type="dxa"/>
        <w:tblLayout w:type="fixed"/>
        <w:tblCellMar>
          <w:top w:w="28" w:type="dxa"/>
          <w:left w:w="28" w:type="dxa"/>
          <w:bottom w:w="28" w:type="dxa"/>
          <w:right w:w="28" w:type="dxa"/>
        </w:tblCellMar>
      </w:tblPr>
      <w:tblGrid>
        <w:gridCol w:w="929"/>
        <w:gridCol w:w="816"/>
        <w:gridCol w:w="820"/>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General and administrative expenses for the year ended December 31, 2024 increased primarily due to a $1.4 million</w:t>
      </w:r>
      <w:r>
        <w:rPr>
          <w:color w:val="000000"/>
        </w:rPr>
        <w:t xml:space="preserve"> </w:t>
      </w:r>
      <w:r>
        <w:rPr>
          <w:rFonts w:ascii="Work Sans;sans-serif" w:hAnsi="Work Sans;sans-serif"/>
          <w:b w:val="false"/>
          <w:color w:val="000000"/>
          <w:sz w:val="18"/>
          <w:shd w:fill="FFFFFF" w:val="clear"/>
        </w:rPr>
        <w:t xml:space="preserve">increase in </w:t>
      </w:r>
      <w:r>
        <w:rPr>
          <w:rFonts w:ascii="Work Sans;sans-serif" w:hAnsi="Work Sans;sans-serif"/>
          <w:b w:val="false"/>
          <w:color w:val="000000"/>
          <w:sz w:val="18"/>
        </w:rPr>
        <w:t xml:space="preserve">severance and related termination benefits costs primarily related to the reduction of our global workforce during </w:t>
      </w:r>
      <w:r>
        <w:rPr>
          <w:rFonts w:ascii="Work Sans;sans-serif" w:hAnsi="Work Sans;sans-serif"/>
          <w:b w:val="false"/>
          <w:color w:val="000000"/>
          <w:sz w:val="18"/>
          <w:shd w:fill="FFFFFF" w:val="clear"/>
        </w:rPr>
        <w:t>the year ended December 31, 2024</w:t>
      </w:r>
      <w:r>
        <w:rPr>
          <w:rFonts w:ascii="Work Sans;sans-serif" w:hAnsi="Work Sans;sans-serif"/>
          <w:b w:val="false"/>
          <w:color w:val="000000"/>
          <w:sz w:val="18"/>
        </w:rPr>
        <w:t xml:space="preserve">, and a </w:t>
      </w:r>
      <w:r>
        <w:rPr>
          <w:rFonts w:ascii="Work Sans;sans-serif" w:hAnsi="Work Sans;sans-serif"/>
          <w:b w:val="false"/>
          <w:color w:val="000000"/>
          <w:sz w:val="18"/>
          <w:shd w:fill="FFFFFF" w:val="clear"/>
        </w:rPr>
        <w:t>$1.3 million increase in stock-based compensation.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225" w:type="dxa"/>
        <w:jc w:val="left"/>
        <w:tblInd w:w="0" w:type="dxa"/>
        <w:tblLayout w:type="fixed"/>
        <w:tblCellMar>
          <w:top w:w="28" w:type="dxa"/>
          <w:left w:w="28" w:type="dxa"/>
          <w:bottom w:w="28" w:type="dxa"/>
          <w:right w:w="28" w:type="dxa"/>
        </w:tblCellMar>
      </w:tblPr>
      <w:tblGrid>
        <w:gridCol w:w="591"/>
        <w:gridCol w:w="520"/>
        <w:gridCol w:w="524"/>
        <w:gridCol w:w="302"/>
        <w:gridCol w:w="704"/>
        <w:gridCol w:w="146"/>
        <w:gridCol w:w="146"/>
        <w:gridCol w:w="146"/>
        <w:gridCol w:w="146"/>
        <w:gridCol w:w="302"/>
        <w:gridCol w:w="704"/>
        <w:gridCol w:w="146"/>
        <w:gridCol w:w="109"/>
        <w:gridCol w:w="109"/>
        <w:gridCol w:w="109"/>
        <w:gridCol w:w="309"/>
        <w:gridCol w:w="576"/>
        <w:gridCol w:w="151"/>
        <w:gridCol w:w="109"/>
        <w:gridCol w:w="109"/>
        <w:gridCol w:w="109"/>
        <w:gridCol w:w="240"/>
        <w:gridCol w:w="241"/>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2021 Revolving Facility.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230" w:type="dxa"/>
        <w:jc w:val="left"/>
        <w:tblInd w:w="0" w:type="dxa"/>
        <w:tblLayout w:type="fixed"/>
        <w:tblCellMar>
          <w:top w:w="28" w:type="dxa"/>
          <w:left w:w="28" w:type="dxa"/>
          <w:bottom w:w="28" w:type="dxa"/>
          <w:right w:w="28" w:type="dxa"/>
        </w:tblCellMar>
      </w:tblPr>
      <w:tblGrid>
        <w:gridCol w:w="559"/>
        <w:gridCol w:w="492"/>
        <w:gridCol w:w="494"/>
        <w:gridCol w:w="257"/>
        <w:gridCol w:w="804"/>
        <w:gridCol w:w="124"/>
        <w:gridCol w:w="124"/>
        <w:gridCol w:w="124"/>
        <w:gridCol w:w="124"/>
        <w:gridCol w:w="257"/>
        <w:gridCol w:w="804"/>
        <w:gridCol w:w="124"/>
        <w:gridCol w:w="109"/>
        <w:gridCol w:w="109"/>
        <w:gridCol w:w="109"/>
        <w:gridCol w:w="226"/>
        <w:gridCol w:w="796"/>
        <w:gridCol w:w="109"/>
        <w:gridCol w:w="109"/>
        <w:gridCol w:w="109"/>
        <w:gridCol w:w="109"/>
        <w:gridCol w:w="240"/>
        <w:gridCol w:w="241"/>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of interest income generated from our money market investments.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income (expense), net</w:t>
      </w:r>
    </w:p>
    <w:tbl>
      <w:tblPr>
        <w:tblW w:w="8412" w:type="dxa"/>
        <w:jc w:val="left"/>
        <w:tblInd w:w="0" w:type="dxa"/>
        <w:tblLayout w:type="fixed"/>
        <w:tblCellMar>
          <w:top w:w="28" w:type="dxa"/>
          <w:left w:w="28" w:type="dxa"/>
          <w:bottom w:w="28" w:type="dxa"/>
          <w:right w:w="28" w:type="dxa"/>
        </w:tblCellMar>
      </w:tblPr>
      <w:tblGrid>
        <w:gridCol w:w="989"/>
        <w:gridCol w:w="869"/>
        <w:gridCol w:w="871"/>
        <w:gridCol w:w="294"/>
        <w:gridCol w:w="528"/>
        <w:gridCol w:w="141"/>
        <w:gridCol w:w="141"/>
        <w:gridCol w:w="141"/>
        <w:gridCol w:w="141"/>
        <w:gridCol w:w="294"/>
        <w:gridCol w:w="919"/>
        <w:gridCol w:w="141"/>
        <w:gridCol w:w="109"/>
        <w:gridCol w:w="109"/>
        <w:gridCol w:w="109"/>
        <w:gridCol w:w="226"/>
        <w:gridCol w:w="796"/>
        <w:gridCol w:w="109"/>
        <w:gridCol w:w="109"/>
        <w:gridCol w:w="109"/>
        <w:gridCol w:w="109"/>
        <w:gridCol w:w="240"/>
        <w:gridCol w:w="24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income (expense), net, between 2024 and 2023 was primarily due to changes in foreign currency movements related to our intercompany loans which were denominated in British Pound Sterling, or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income taxes</w:t>
      </w:r>
    </w:p>
    <w:tbl>
      <w:tblPr>
        <w:tblW w:w="8390" w:type="dxa"/>
        <w:jc w:val="left"/>
        <w:tblInd w:w="0" w:type="dxa"/>
        <w:tblLayout w:type="fixed"/>
        <w:tblCellMar>
          <w:top w:w="28" w:type="dxa"/>
          <w:left w:w="28" w:type="dxa"/>
          <w:bottom w:w="28" w:type="dxa"/>
          <w:right w:w="28" w:type="dxa"/>
        </w:tblCellMar>
      </w:tblPr>
      <w:tblGrid>
        <w:gridCol w:w="897"/>
        <w:gridCol w:w="786"/>
        <w:gridCol w:w="791"/>
        <w:gridCol w:w="226"/>
        <w:gridCol w:w="826"/>
        <w:gridCol w:w="271"/>
        <w:gridCol w:w="109"/>
        <w:gridCol w:w="109"/>
        <w:gridCol w:w="109"/>
        <w:gridCol w:w="226"/>
        <w:gridCol w:w="826"/>
        <w:gridCol w:w="271"/>
        <w:gridCol w:w="109"/>
        <w:gridCol w:w="109"/>
        <w:gridCol w:w="109"/>
        <w:gridCol w:w="226"/>
        <w:gridCol w:w="796"/>
        <w:gridCol w:w="109"/>
        <w:gridCol w:w="109"/>
        <w:gridCol w:w="109"/>
        <w:gridCol w:w="109"/>
        <w:gridCol w:w="240"/>
        <w:gridCol w:w="241"/>
        <w:gridCol w:w="67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 xml:space="preserve">The $4.4 million favorable change in our provision for income taxes in 2024 as compared to 2023 was primarily due to lower non-deductible stock-based compensation, lower shortfalls on stock-based compensation and a decrease in unrecognized tax benefits for the year ended December 31, 2024 compared to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47"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Years Ended December 31, 2023 and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 discussion related to the results of operations and changes in financial condition for the year ended December 31, 2023 compared to the year ended December 31, 2022, refer to Part II, Item 7, “Management’s Discussion and Analysis of Financial Condition and Results of Operations” in our Annual Report on Form 10-K for the year ended December 31, 2023, which was filed with the SEC on February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w:t>
      </w:r>
      <w:r>
        <w:rPr>
          <w:rFonts w:ascii="Work Sans;sans-serif" w:hAnsi="Work Sans;sans-serif"/>
          <w:b w:val="false"/>
          <w:color w:val="000000"/>
          <w:sz w:val="18"/>
          <w:shd w:fill="FFFFFF" w:val="clear"/>
        </w:rPr>
        <w:t>rporate purposes. At December 31, 2024, our principal sources of liquidity were cash and cash equivalents of $142.1 million, which consisted of cash on deposit with banks and money market funds, of which approximately $3.3 million related to our foreign subsidiaries. Our cash and cash equivalents decreased by $83.7 million from December 31, 2023 to December 31, 2024, primarily as a result of purchases of property and equipment and stock repurchases, partially offset by cash provided by operating activities during the year. Subsequent to year end, we used $50.1 million of cash in connection with our acquisition of all of the outstanding equity interests of Formation Nation.</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We currently anticipate that our available cash, cash equivalents</w:t>
      </w:r>
      <w:r>
        <w:rPr>
          <w:color w:val="000000"/>
        </w:rPr>
        <w:t xml:space="preserve"> </w:t>
      </w:r>
      <w:r>
        <w:rPr>
          <w:rFonts w:ascii="Work Sans;sans-serif" w:hAnsi="Work Sans;sans-serif"/>
          <w:b w:val="false"/>
          <w:color w:val="000000"/>
          <w:sz w:val="18"/>
        </w:rPr>
        <w:t xml:space="preserve">and cash provided by operating activities will be sufficient to meet our operational cash needs for at least the next twelve months and in the foreseeable future. We have the ability to supplement our liquidity needs with borrowings under our 2021 Revolving Facility. In addition, we previously announced our intention to sell our operating headquarters in Austin, Texas, which is discussed in more detail in Note 4 to our consolidated financial statements included elsewhere in this Annual Report on Form 10-K. During the fourth quarter of 2024, we entered into a purchase and sale agreement for the sale of this property for a purchase price of </w:t>
      </w:r>
      <w:r>
        <w:rPr>
          <w:rFonts w:ascii="Work Sans;sans-serif" w:hAnsi="Work Sans;sans-serif"/>
          <w:b w:val="false"/>
          <w:color w:val="000000"/>
          <w:sz w:val="18"/>
          <w:shd w:fill="FFFFFF" w:val="clear"/>
        </w:rPr>
        <w:t xml:space="preserve">$37.8 million, which is expected to close on </w:t>
      </w:r>
      <w:r>
        <w:rPr>
          <w:rFonts w:ascii="Work Sans;sans-serif" w:hAnsi="Work Sans;sans-serif"/>
          <w:b w:val="false"/>
          <w:color w:val="000000"/>
          <w:sz w:val="18"/>
        </w:rPr>
        <w:t>March 31,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October 2023, our board of directors approved a stock repurchase program, pursuant to which our management is authorized to repurchase up to </w:t>
      </w:r>
      <w:r>
        <w:rPr>
          <w:rFonts w:ascii="Work Sans;sans-serif" w:hAnsi="Work Sans;sans-serif"/>
          <w:b w:val="false"/>
          <w:color w:val="000000"/>
          <w:sz w:val="18"/>
          <w:shd w:fill="FFFFFF" w:val="clear"/>
        </w:rPr>
        <w:t>$100.0 million</w:t>
      </w:r>
      <w:r>
        <w:rPr>
          <w:color w:val="000000"/>
        </w:rPr>
        <w:t xml:space="preserve"> </w:t>
      </w:r>
      <w:r>
        <w:rPr>
          <w:rFonts w:ascii="Work Sans;sans-serif" w:hAnsi="Work Sans;sans-serif"/>
          <w:b w:val="false"/>
          <w:color w:val="000000"/>
          <w:sz w:val="18"/>
        </w:rPr>
        <w:t xml:space="preserve">of shares of our common stock from time to time. In May 2024, our board of directors approved a </w:t>
      </w:r>
      <w:r>
        <w:rPr>
          <w:rFonts w:ascii="Work Sans;sans-serif" w:hAnsi="Work Sans;sans-serif"/>
          <w:b w:val="false"/>
          <w:color w:val="000000"/>
          <w:sz w:val="18"/>
          <w:shd w:fill="FFFFFF" w:val="clear"/>
        </w:rPr>
        <w:t>$75.0 million</w:t>
      </w:r>
      <w:r>
        <w:rPr>
          <w:color w:val="000000"/>
        </w:rPr>
        <w:t xml:space="preserve"> </w:t>
      </w:r>
      <w:r>
        <w:rPr>
          <w:rFonts w:ascii="Work Sans;sans-serif" w:hAnsi="Work Sans;sans-serif"/>
          <w:b w:val="false"/>
          <w:color w:val="000000"/>
          <w:sz w:val="18"/>
        </w:rPr>
        <w:t xml:space="preserve">increase in the stock repurchase program and in November 2024, our board of directors approved an additional </w:t>
      </w:r>
      <w:r>
        <w:rPr>
          <w:rFonts w:ascii="Work Sans;sans-serif" w:hAnsi="Work Sans;sans-serif"/>
          <w:b w:val="false"/>
          <w:color w:val="000000"/>
          <w:sz w:val="18"/>
          <w:shd w:fill="FFFFFF" w:val="clear"/>
        </w:rPr>
        <w:t>$40.0 million</w:t>
      </w:r>
      <w:r>
        <w:rPr>
          <w:color w:val="000000"/>
        </w:rPr>
        <w:t xml:space="preserve"> </w:t>
      </w:r>
      <w:r>
        <w:rPr>
          <w:rFonts w:ascii="Work Sans;sans-serif" w:hAnsi="Work Sans;sans-serif"/>
          <w:b w:val="false"/>
          <w:color w:val="000000"/>
          <w:sz w:val="18"/>
        </w:rPr>
        <w:t xml:space="preserve">increase in the stock repurchase program. At </w:t>
      </w:r>
      <w:r>
        <w:rPr>
          <w:rFonts w:ascii="Work Sans;sans-serif" w:hAnsi="Work Sans;sans-serif"/>
          <w:b w:val="false"/>
          <w:color w:val="000000"/>
          <w:sz w:val="18"/>
          <w:shd w:fill="FFFFFF" w:val="clear"/>
        </w:rPr>
        <w:t>December 31, 2024</w:t>
      </w:r>
      <w:r>
        <w:rPr>
          <w:rFonts w:ascii="Work Sans;sans-serif" w:hAnsi="Work Sans;sans-serif"/>
          <w:b w:val="false"/>
          <w:color w:val="000000"/>
          <w:sz w:val="18"/>
        </w:rPr>
        <w:t xml:space="preserve">, approximately </w:t>
      </w:r>
      <w:r>
        <w:rPr>
          <w:rFonts w:ascii="Work Sans;sans-serif" w:hAnsi="Work Sans;sans-serif"/>
          <w:b w:val="false"/>
          <w:color w:val="000000"/>
          <w:sz w:val="18"/>
          <w:shd w:fill="FFFFFF" w:val="clear"/>
        </w:rPr>
        <w:t>$50.0 million</w:t>
      </w:r>
      <w:r>
        <w:rPr>
          <w:color w:val="000000"/>
        </w:rPr>
        <w:t xml:space="preserve"> </w:t>
      </w:r>
      <w:r>
        <w:rPr>
          <w:rFonts w:ascii="Work Sans;sans-serif" w:hAnsi="Work Sans;sans-serif"/>
          <w:b w:val="false"/>
          <w:color w:val="000000"/>
          <w:sz w:val="18"/>
        </w:rPr>
        <w:t>remained available for future repurchases of our common stock under the stock repurchase program. For additional information regarding our stock repurchase programs, refer to</w:t>
      </w:r>
      <w:r>
        <w:rPr>
          <w:color w:val="000000"/>
        </w:rPr>
        <w:t xml:space="preserve"> </w:t>
      </w:r>
      <w:r>
        <w:rPr>
          <w:rFonts w:ascii="Work Sans;sans-serif" w:hAnsi="Work Sans;sans-serif"/>
          <w:b w:val="false"/>
          <w:color w:val="000000"/>
          <w:sz w:val="18"/>
        </w:rPr>
        <w:t>Note 13 to our consolidated financial statements included elsewhere in this Annual Report on Form 10-K.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Revolving Facility</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On July 2, 2021, we entered into our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 xml:space="preserve">2021 Revolving Facility with JPMorgan Chase Bank, N.A., as the administrative agent. The 2021 Revolving Facility, as amended, provides for the issuance of up to </w:t>
      </w:r>
      <w:r>
        <w:rPr>
          <w:rFonts w:ascii="Work Sans;sans-serif" w:hAnsi="Work Sans;sans-serif"/>
          <w:b w:val="false"/>
          <w:color w:val="000000"/>
          <w:sz w:val="18"/>
          <w:shd w:fill="FFFFFF" w:val="clear"/>
        </w:rPr>
        <w:t>$20.0 million</w:t>
      </w:r>
      <w:r>
        <w:rPr>
          <w:color w:val="000000"/>
        </w:rPr>
        <w:t xml:space="preserve"> </w:t>
      </w:r>
      <w:r>
        <w:rPr>
          <w:rFonts w:ascii="Work Sans;sans-serif" w:hAnsi="Work Sans;sans-serif"/>
          <w:b w:val="false"/>
          <w:color w:val="000000"/>
          <w:sz w:val="18"/>
        </w:rPr>
        <w:t xml:space="preserve">of letters of credit as well as borrowings on same-day notice, referred to as swingline loans, in an amount of up to </w:t>
      </w:r>
      <w:r>
        <w:rPr>
          <w:rFonts w:ascii="Work Sans;sans-serif" w:hAnsi="Work Sans;sans-serif"/>
          <w:b w:val="false"/>
          <w:color w:val="000000"/>
          <w:sz w:val="18"/>
          <w:shd w:fill="FFFFFF" w:val="clear"/>
        </w:rPr>
        <w:t>$10.0 million</w:t>
      </w:r>
      <w:r>
        <w:rPr>
          <w:rFonts w:ascii="Work Sans;sans-serif" w:hAnsi="Work Sans;sans-serif"/>
          <w:b w:val="false"/>
          <w:color w:val="000000"/>
          <w:sz w:val="18"/>
        </w:rPr>
        <w:t xml:space="preserve">. At December 31, 2024, we had no borrowings outstanding and </w:t>
      </w:r>
      <w:r>
        <w:rPr>
          <w:rFonts w:ascii="Work Sans;sans-serif" w:hAnsi="Work Sans;sans-serif"/>
          <w:b w:val="false"/>
          <w:color w:val="000000"/>
          <w:sz w:val="18"/>
          <w:shd w:fill="FFFFFF" w:val="clear"/>
        </w:rPr>
        <w:t>$150.0 million</w:t>
      </w:r>
      <w:r>
        <w:rPr>
          <w:color w:val="000000"/>
        </w:rPr>
        <w:t xml:space="preserve"> </w:t>
      </w:r>
      <w:r>
        <w:rPr>
          <w:rFonts w:ascii="Work Sans;sans-serif" w:hAnsi="Work Sans;sans-serif"/>
          <w:b w:val="false"/>
          <w:color w:val="000000"/>
          <w:sz w:val="18"/>
        </w:rPr>
        <w:t>was available for use under our 2021 Revolving Facility.</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Subject to the satisfaction of certain criteria, we will be able to increase the 2021 Revolving Facility by an amount equal to the sum of (i) the greater of </w:t>
      </w:r>
      <w:r>
        <w:rPr>
          <w:rFonts w:ascii="Work Sans;sans-serif" w:hAnsi="Work Sans;sans-serif"/>
          <w:b w:val="false"/>
          <w:color w:val="000000"/>
          <w:sz w:val="18"/>
          <w:shd w:fill="FFFFFF" w:val="clear"/>
        </w:rPr>
        <w:t>$90.0 million</w:t>
      </w:r>
      <w:r>
        <w:rPr>
          <w:color w:val="000000"/>
        </w:rPr>
        <w:t xml:space="preserve"> </w:t>
      </w:r>
      <w:r>
        <w:rPr>
          <w:rFonts w:ascii="Work Sans;sans-serif" w:hAnsi="Work Sans;sans-serif"/>
          <w:b w:val="false"/>
          <w:color w:val="000000"/>
          <w:sz w:val="18"/>
        </w:rPr>
        <w:t xml:space="preserve">and 75% of consolidated last twelve months cash earnings before interest expense, tax, depreciation and amortization, or LTM CEBITDA, plus (ii) unused amounts under the general debt basket (i.e., an amount equal to the greater of </w:t>
      </w:r>
      <w:r>
        <w:rPr>
          <w:rFonts w:ascii="Work Sans;sans-serif" w:hAnsi="Work Sans;sans-serif"/>
          <w:b w:val="false"/>
          <w:color w:val="000000"/>
          <w:sz w:val="18"/>
          <w:shd w:fill="FFFFFF" w:val="clear"/>
        </w:rPr>
        <w:t>$50.0 million</w:t>
      </w:r>
      <w:r>
        <w:rPr>
          <w:color w:val="000000"/>
        </w:rPr>
        <w:t xml:space="preserve"> </w:t>
      </w:r>
      <w:r>
        <w:rPr>
          <w:rFonts w:ascii="Work Sans;sans-serif" w:hAnsi="Work Sans;sans-serif"/>
          <w:b w:val="false"/>
          <w:color w:val="000000"/>
          <w:sz w:val="18"/>
        </w:rPr>
        <w:t>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48"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Work Sans;sans-serif" w:hAnsi="Work Sans;sans-serif"/>
          <w:b w:val="false"/>
          <w:color w:val="000000"/>
          <w:sz w:val="18"/>
        </w:rPr>
        <w:t xml:space="preserve">customary letter of credit fees and agency fees. At December 31, 2024, the interest rate applicable to the 2021 Revolving Facility was subject to a 1.0% floor and was at a rate equal to </w:t>
      </w:r>
      <w:r>
        <w:rPr>
          <w:rFonts w:ascii="Work Sans;sans-serif" w:hAnsi="Work Sans;sans-serif"/>
          <w:b w:val="false"/>
          <w:color w:val="000000"/>
          <w:sz w:val="18"/>
          <w:shd w:fill="FFFFFF" w:val="clear"/>
        </w:rPr>
        <w:t xml:space="preserve">the greatest of: (i) the administrative agent’s prime rate; (ii) the federal funds effective rate plus 1/2 of 1.0%; and (iii) </w:t>
      </w:r>
      <w:r>
        <w:rPr>
          <w:rFonts w:ascii="Work Sans;sans-serif" w:hAnsi="Work Sans;sans-serif"/>
          <w:b w:val="false"/>
          <w:color w:val="000000"/>
          <w:sz w:val="18"/>
        </w:rPr>
        <w:t>the secured overnight financing rate, or SOFR, plus a 0.10% credit spread adjustment to the SOFR benchmark, or Adjusted Term SOFR, plus 1.00%;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on July 1, 2026.</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9393" w:type="dxa"/>
        <w:jc w:val="left"/>
        <w:tblInd w:w="0" w:type="dxa"/>
        <w:tblLayout w:type="fixed"/>
        <w:tblCellMar>
          <w:top w:w="28" w:type="dxa"/>
          <w:left w:w="28" w:type="dxa"/>
          <w:bottom w:w="28" w:type="dxa"/>
          <w:right w:w="28" w:type="dxa"/>
        </w:tblCellMar>
      </w:tblPr>
      <w:tblGrid>
        <w:gridCol w:w="2103"/>
        <w:gridCol w:w="1845"/>
        <w:gridCol w:w="1857"/>
        <w:gridCol w:w="655"/>
        <w:gridCol w:w="380"/>
        <w:gridCol w:w="294"/>
        <w:gridCol w:w="294"/>
        <w:gridCol w:w="294"/>
        <w:gridCol w:w="294"/>
        <w:gridCol w:w="575"/>
        <w:gridCol w:w="371"/>
        <w:gridCol w:w="431"/>
      </w:tblGrid>
      <w:tr>
        <w:trPr/>
        <w:tc>
          <w:tcPr>
            <w:tcW w:w="210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(31,555)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(183,285)</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(56,150)</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and cash equivalents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cash and cash equivalents</w:t>
            </w:r>
          </w:p>
        </w:tc>
        <w:tc>
          <w:tcPr>
            <w:tcW w:w="10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(83,655)</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36,637 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 discussion of our cash flows for the year ended December 31, 2022, refer to Part II, Item 7, “Management’s Discussion and Analysis of Financial Condition and Results of Operations” in our Annual Report on Form 10-K for the year ended December 31, 2023, which was filed with the SEC on February 29, 2024.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 party consulting expenses. Net cash provided by operating activities is impacted by our net income adjusted for certain non-cash items, including depreciation and amortization expense, stock-based compensation and impairments of long-lived assets, as well as the effect of changes in operating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2024, cash provided by operating activities was $135.6 million resulting from a net income of $30.0 million, adjusted for stock-based compensation and other non-cash expenses of $104.9 million and net cash flows provided by changes in operating assets and liabilities of $0.8 million. The $0.8 million of net cash flows provided by changes in our operating assets and liabilities included a $6.6 million increase in deferred revenue largely due to the growth of our subscription units, which are predominantly billed in advance of our revenue recognition, and a net $0.5 million decrease in accounts receivable, prepaid expenses and other 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49"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partially offset by a $6.9 million decrease in accounts payable, accrued expenses and other liabilities, and operating lease liabilities due to the timing of our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cash provided by operating activities was $124.3 million resulting from a net income of $14.0 million, adjusted for stock-based compensation and other non-cash expenses of $96.8 million and net cash flows provided by changes in operating assets and liabilities of $13.6 million. The $13.6 million of net cash flows provided from changes in our operating assets and liabilities included a net $6.8 million increase in accounts payable, accrued expenses and other liabilities, and operating lease liabilities due to the timing of our payments, a $3.3 million increase in deferred revenue largely due to growth of our subscription units, which are predominantly billed in advance of our revenue recognition, and a $3.0 million decrease in accounts receivable, prepaid expenses and other current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2024, net cash used in investing activities was $35.7 million, resulting primarily from purchase of property and equipment, including capitalized internal-use software.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net cash used in investing activities was $31.6 million, resulting primarily from purchase of property and equipment, including capitalized internal-use software.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 options and RSUs. Net cash provided by financing activities is primarily impacted by exercises of stock options by our employees and issuances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2024, net cash used in financing activities was $183.3 million, primarily for the repurchase of common stock under our 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2023, net cash used in financing activities was $56.2 million, primarily for the repurchase of common stock under our 2022 stock repurchase program.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$36.4 million over a three-year period, of which $25.2 million remains to be paid as of December 31, 2024.</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we had various non-cancelable operating leases for office space, which expire between June 2025 and February 2033. At December 31, 2024, we had total minimum operating lease maturities of $8.8 million, $1.9 million of which mature within twelve months. See Note 8 of our consolidated financial statements included elsewhere in this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3350"/>
                <wp:effectExtent l="0" t="0" r="0" b="0"/>
                <wp:wrapNone/>
                <wp:docPr id="50"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expense, interest income, provision for (benefit from) income taxes, depreciation and amortization, other expense (income), net, stock-based compensation, impairment of goodwill, long-lived and other assets, restructuring expenses, legal expenses, transaction-related expenses and certain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(loss), which is the nearest GAAP equivalent of Adjusted EBITDA. Some of these limitations include that the non-GAAP financial measure: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does not reflect certain other expenses that we do not consider representative of our underlying operating performance, but that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to Adjusted EBITDA for each of the periods indicated:</w:t>
      </w:r>
    </w:p>
    <w:tbl>
      <w:tblPr>
        <w:tblW w:w="7958" w:type="dxa"/>
        <w:jc w:val="left"/>
        <w:tblInd w:w="0" w:type="dxa"/>
        <w:tblLayout w:type="fixed"/>
        <w:tblCellMar>
          <w:top w:w="28" w:type="dxa"/>
          <w:left w:w="28" w:type="dxa"/>
          <w:bottom w:w="28" w:type="dxa"/>
          <w:right w:w="28" w:type="dxa"/>
        </w:tblCellMar>
      </w:tblPr>
      <w:tblGrid>
        <w:gridCol w:w="1820"/>
        <w:gridCol w:w="1599"/>
        <w:gridCol w:w="1605"/>
        <w:gridCol w:w="226"/>
        <w:gridCol w:w="946"/>
        <w:gridCol w:w="109"/>
        <w:gridCol w:w="109"/>
        <w:gridCol w:w="109"/>
        <w:gridCol w:w="109"/>
        <w:gridCol w:w="226"/>
        <w:gridCol w:w="94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to Adjusted EBITDA</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Work Sans;sans-serif" w:hAnsi="Work Sans;sans-serif"/>
                <w:b w:val="false"/>
                <w:color w:val="000000"/>
                <w:sz w:val="18"/>
              </w:rPr>
              <w:t>Certain non-recurring expenses</w:t>
            </w:r>
            <w:r>
              <w:rPr>
                <w:rFonts w:ascii="Work Sans;sans-serif" w:hAnsi="Work Sans;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148,114 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118,691 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51"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tbl>
      <w:tblPr>
        <w:tblW w:w="5128" w:type="dxa"/>
        <w:jc w:val="left"/>
        <w:tblInd w:w="0" w:type="dxa"/>
        <w:tblLayout w:type="fixed"/>
        <w:tblCellMar>
          <w:top w:w="28" w:type="dxa"/>
          <w:left w:w="28" w:type="dxa"/>
          <w:bottom w:w="28" w:type="dxa"/>
          <w:right w:w="28" w:type="dxa"/>
        </w:tblCellMar>
      </w:tblPr>
      <w:tblGrid>
        <w:gridCol w:w="848"/>
        <w:gridCol w:w="742"/>
        <w:gridCol w:w="749"/>
        <w:gridCol w:w="224"/>
        <w:gridCol w:w="224"/>
        <w:gridCol w:w="559"/>
        <w:gridCol w:w="224"/>
        <w:gridCol w:w="224"/>
        <w:gridCol w:w="224"/>
        <w:gridCol w:w="224"/>
        <w:gridCol w:w="224"/>
        <w:gridCol w:w="662"/>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4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5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6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4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5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6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For 2024, restructuring costs related to the reduction of our global workforce. For 2023, restructuring costs related to the reduction of our U.S. and U.K. headcount. Restructuring expenses include salary and benefits for the impacted employees and are included in general and administrative expenses in the accompanying consolidated statements of operations appearing elsewhere in this Annual Report on Form 10-K.</w:t>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 xml:space="preserve">(2)    Certain non-recurring expenses included costs incurred by us in conjunction with secondary offerings of shares of our common stock by a selling stockholder in September 2023 and November 2023. </w:t>
      </w:r>
    </w:p>
    <w:p>
      <w:pPr>
        <w:pStyle w:val="TextBody"/>
        <w:bidi w:val="0"/>
        <w:spacing w:lineRule="auto" w:line="288" w:before="120" w:after="120"/>
        <w:ind w:left="0" w:right="0" w:firstLine="45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The increase in Adjusted EBITDA of $29.4 million for the year ended December 31, 2024 reflects an increase in revenue of $21.2 million, a reduction in cost of revenue, excluding non-cash and non-recurring items, of $6.8 million, and a $3.0 million decrease in operating expenses, excluding non-cash and non-recurring items.</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635"/>
        <w:gridCol w:w="2315"/>
        <w:gridCol w:w="2320"/>
        <w:gridCol w:w="226"/>
        <w:gridCol w:w="946"/>
        <w:gridCol w:w="109"/>
        <w:gridCol w:w="109"/>
        <w:gridCol w:w="109"/>
        <w:gridCol w:w="109"/>
        <w:gridCol w:w="226"/>
        <w:gridCol w:w="946"/>
        <w:gridCol w:w="155"/>
      </w:tblGrid>
      <w:tr>
        <w:trPr/>
        <w:tc>
          <w:tcPr>
            <w:tcW w:w="263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(31,593)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12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0"/>
              <w:jc w:val="right"/>
              <w:rPr>
                <w:rFonts w:ascii="Work Sans;sans-serif" w:hAnsi="Work Sans;sans-serif"/>
                <w:b w:val="false"/>
                <w:color w:val="000000"/>
                <w:sz w:val="18"/>
              </w:rPr>
            </w:pPr>
            <w:r>
              <w:rPr>
                <w:rFonts w:ascii="Work Sans;sans-serif" w:hAnsi="Work Sans;sans-serif"/>
                <w:b w:val="false"/>
                <w:color w:val="000000"/>
                <w:sz w:val="18"/>
              </w:rPr>
              <w:t>$99,943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92,715 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increase in our free cash flow of $7.2 million for the year ended December 31, 2024 was primarily due to an $11.3 million increase in net cash provided by operating activities. The increase in net cash provided by operating activities resulted from a $24.1 million increase in net income after adjusting for stock-based compensation and other non-cash items, partially offset by a $12.8 million unfavorable change in our operating assets and liabilities. Free cash flow was also impacted by higher capital expenditures for the purchase of property and equipment, including capitalization of internal-use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2 to our consolidated financial statements appearing elsewhere in this Annual Report on Form 10-K for further information on certain accounting standards adopted in 2024 and recent accounting announcements that have not yet been required to be implemented and may be applicable to our future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350"/>
                <wp:effectExtent l="0" t="0" r="0" b="0"/>
                <wp:wrapNone/>
                <wp:docPr id="52"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credit reserves, available-for-sale debt securities, recoverability of long-lived assets and goodwill, income taxes, commitments and contingencies, valuation of assets and liabilities acquired in business combinations, valuation of assets in asset acquisitions, fair value of derivative instruments and stock-based compensation. Actual results could differ materially from those estimates. Our most critical accounting policies are summarized below. See Note 2 to our consolidated financial statements included elsewhere in this Annual Report on Form 10-K for a discussion of our other significant accounting policies.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 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 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generally pay for transactions in advance by credit or debit card except for certain services provided under installment plans where we allow customers to pay for their order in either two, three or twelve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SaaS services in the U.K. and virtual mail subscriptions,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document storage, registered agent services, and free trial periods of our subscriptions. At contract inception, we assess the services promised in our contracts with customers and identify performance obligations for each promise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53"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For our partner-based services, we recognize revenue at a point-in-time when the related performance-based criteria have been met.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do not have significant financing components in arrangements with our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 party as cost of revenue. We are the principal in most of our legal document preparation and registered agent services, including legal entity formations and similar arrangements and formation, and since December 2021, tax advisory and preparation services through our fulfilled tax subscription, LZ Tax. For these services, revenue includes filing and similar fees. Our alternative business structures, or ABS, offer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not the principal, we record revenue on a net basis, which is equal to the amount billed to our customer, net of sales allowances and the fee payable to the third party or partner that is primarily responsible for performing the services for the customer. Except for our Arizona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350"/>
                <wp:effectExtent l="0" t="0" r="0" b="0"/>
                <wp:wrapNone/>
                <wp:docPr id="54"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For these arrangements, we recognize revenue on a net basis as an agent. For other services provided by third parties, including deed transfer, accounting, business data protection, revenue is recognized net of fees payable to third-parties. For partner revenue, we receive a fee for the referral of our customer to the partner or we retain a portion of the fee paid by the customer and share the remainder with the partner. Our partner controls the service to the customer and the partner is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perform valuations of assets acquired and liabilities assumed for an acquisition and allocate the purchase price to their respective net tangible and intangible assets. Determining the fair value of assets acquired and liabilities assumed requires management to use significant judgment and estimates. Intangible assets consist primarily of customer relationships and developed technology. Judgment and estimates include the selection of valuation methodologies, estimates of future revenue and cash flows, the rate of customer subscription non-renewals, discount rates, the estimated level of effort and related costs of reproducing or replacing the assets acquired, and selection of comparable companies. We generally engage the assistance of third-party valuation specialists in determining fair values of assets acquired and liabilities assumed and contingent consideration, if any,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accompanying consolidated statements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our goodwill impairment test performed in the fourth quarter of 2024 and 2023, the fair value of our consolidated reporting unit significantly exceeded our carrying value.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relevant information available to us. The determination of the likelihood of loss or the range of loss requires significant management judgment. We expense legal costs for defending legal proceedings as incurred.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See Note 12 to our consolidated financial statements included elsewhere in this Annual Report on Form 10-K for further information.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account for income taxes using the asset and liability method, which requires the recognition of deferred tax assets and liabilities for the expected future tax consequences of events that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350"/>
                <wp:effectExtent l="0" t="0" r="0" b="0"/>
                <wp:wrapNone/>
                <wp:docPr id="55"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on a jurisdictional basis. A valuation allowance is established if, based upon the available evidence, it is more likely than not that some or all of the deferred tax assets will not be realized. We consider all available evidence, both positive and negative, including historical levels of income. We also consider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(benefit from) income taxes and the related impact on our net income (loss).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See Note 18 to our consolidated financial statements included elsewhere in this Annual Report on Form 10-K for further information on our income taxes.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Black-Scholes option pricing model and the Monte Carlo simulation model requires us to make certain assumptions including the fair value of our underlying common stock, the expected term, the expected stock price volatility, the risk-free interest rates and the expected dividend yield of our common stock. These assumptions, other than the fair value of our common stock, are estimated as follows: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term</w:t>
      </w:r>
      <w:r>
        <w:rPr>
          <w:rFonts w:ascii="Work Sans;sans-serif" w:hAnsi="Work Sans;sans-serif"/>
          <w:b/>
          <w:color w:val="000000"/>
          <w:sz w:val="18"/>
        </w:rPr>
        <w:t xml:space="preserve">. </w:t>
      </w: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 The expected term of restricted stock units is defined as the remaining term from the grant date to the end of the performance period.</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Risk-free interest rate</w:t>
      </w:r>
      <w:r>
        <w:rPr>
          <w:rFonts w:ascii="Work Sans;sans-serif" w:hAnsi="Work Sans;sans-serif"/>
          <w:b/>
          <w:color w:val="000000"/>
          <w:sz w:val="18"/>
        </w:rPr>
        <w:t xml:space="preserve">. </w:t>
      </w:r>
      <w:r>
        <w:rPr>
          <w:rFonts w:ascii="Work Sans;sans-serif" w:hAnsi="Work Sans;sans-serif"/>
          <w:b w:val="false"/>
          <w:color w:val="000000"/>
          <w:sz w:val="18"/>
        </w:rPr>
        <w:t>The risk-free interest rate assumption is based upon observed interest rates on the U.S. government securities appropriate for the expected term of our stock options and restricted stock units with market condition.</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volatility</w:t>
      </w:r>
      <w:r>
        <w:rPr>
          <w:rFonts w:ascii="Work Sans;sans-serif" w:hAnsi="Work Sans;sans-serif"/>
          <w:b/>
          <w:color w:val="000000"/>
          <w:sz w:val="18"/>
        </w:rPr>
        <w:t xml:space="preserve">. </w:t>
      </w: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companies’ common stock for a period equal to the expected term of the options. We periodically assess the comparable companies and other relevant factors used to measure expected volatility for future stock option and restricted stock units with market conditions grants.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Expected dividend yield</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The dividend yield assumption is based on our history and expectation of dividend payouts. Other than the special dividends declared in 2015, 2017, 2018, 2020 and 2021 which resulted in corresponding reductions in the exercise price of the stock options, we have not declared any cash dividends on our common stock, and we do not anticipate paying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350"/>
                <wp:effectExtent l="0" t="0" r="0" b="0"/>
                <wp:wrapNone/>
                <wp:docPr id="56"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Common stock valuation. </w:t>
      </w:r>
      <w:r>
        <w:rPr>
          <w:rFonts w:ascii="Work Sans;sans-serif" w:hAnsi="Work Sans;sans-serif"/>
          <w:b w:val="false"/>
          <w:color w:val="000000"/>
          <w:sz w:val="18"/>
        </w:rPr>
        <w:t>We utilize our common stock values as traded in the public market as an input into our valuation models.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 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any of the assumptions used in the Black-Scholes option pricing model and the Monte Carlo simulation model change significantly, stock-based compensation for future awards may differ materially compared with the awards granted previously.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(loss) for 2024, 2023 and 2022 may have been materially different.</w:t>
      </w:r>
    </w:p>
    <w:p>
      <w:pPr>
        <w:pStyle w:val="TextBody"/>
        <w:bidi w:val="0"/>
        <w:spacing w:lineRule="auto" w:line="288" w:before="120" w:after="120"/>
        <w:ind w:left="0" w:right="0" w:firstLine="450"/>
        <w:jc w:val="left"/>
        <w:rPr/>
      </w:pPr>
      <w:r>
        <w:rPr>
          <w:rFonts w:ascii="Work Sans;sans-serif" w:hAnsi="Work Sans;sans-serif"/>
          <w:b/>
          <w:i/>
          <w:color w:val="000000"/>
          <w:sz w:val="18"/>
        </w:rPr>
        <w:t>Options</w:t>
      </w:r>
      <w:r>
        <w:rPr>
          <w:rFonts w:ascii="Work Sans;sans-serif" w:hAnsi="Work Sans;sans-serif"/>
          <w:b/>
          <w:color w:val="000000"/>
          <w:sz w:val="18"/>
        </w:rPr>
        <w:t xml:space="preserve">. </w:t>
      </w:r>
      <w:r>
        <w:rPr>
          <w:rFonts w:ascii="Work Sans;sans-serif" w:hAnsi="Work Sans;sans-serif"/>
          <w:b w:val="false"/>
          <w:color w:val="000000"/>
          <w:sz w:val="18"/>
        </w:rPr>
        <w:t>The weighted-average assumptions that were used to calculate the grant-date fair-value of our stock option grants were as follows:</w:t>
      </w:r>
    </w:p>
    <w:tbl>
      <w:tblPr>
        <w:tblW w:w="5870" w:type="dxa"/>
        <w:jc w:val="center"/>
        <w:tblInd w:w="0" w:type="dxa"/>
        <w:tblLayout w:type="fixed"/>
        <w:tblCellMar>
          <w:top w:w="28" w:type="dxa"/>
          <w:left w:w="28" w:type="dxa"/>
          <w:bottom w:w="28" w:type="dxa"/>
          <w:right w:w="28" w:type="dxa"/>
        </w:tblCellMar>
      </w:tblPr>
      <w:tblGrid>
        <w:gridCol w:w="830"/>
        <w:gridCol w:w="731"/>
        <w:gridCol w:w="734"/>
        <w:gridCol w:w="109"/>
        <w:gridCol w:w="109"/>
        <w:gridCol w:w="445"/>
        <w:gridCol w:w="445"/>
        <w:gridCol w:w="445"/>
        <w:gridCol w:w="255"/>
        <w:gridCol w:w="255"/>
        <w:gridCol w:w="255"/>
        <w:gridCol w:w="255"/>
        <w:gridCol w:w="255"/>
        <w:gridCol w:w="74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3.4%-3.8%</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50.4%-50.7%</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i/>
          <w:color w:val="000000"/>
          <w:sz w:val="18"/>
        </w:rPr>
        <w:t>Restricted stock units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RSUs that vest upon the satisfaction of service-based vesting conditions, which is typically over a four-year period. For these RSUs, we recognize stock-based compensation expense on a straight-line basis over the vesting period of 4 years. RSUs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our RSUs with a performance and market conditions granted during the year ended December 31, 2024, using a Monte Carlo simulation model were as follows:</w:t>
      </w:r>
    </w:p>
    <w:tbl>
      <w:tblPr>
        <w:tblW w:w="541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816"/>
        <w:gridCol w:w="816"/>
        <w:gridCol w:w="115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0.4-0.8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5.2%-5.4%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47.4%-66.1%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granted in July 2024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59.4 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350"/>
                <wp:effectExtent l="0" t="0" r="0" b="0"/>
                <wp:wrapNone/>
                <wp:docPr id="57"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granted in November 2024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7A.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and 2023, we had cash and cash equivalents of $142.1 million and $225.7 million, respectively, which consisted of cash on deposit with banks and in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December 31, 2024 and 2023,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foreign currency risks related to our revenue, expenses, and intercompany balances denominated in currencies other than our functional currency, the U.S. Dollar, principally GBP. The volatility of exchange rates depends on many factors that we cannot forecast with reliable accuracy. We have experienced and will continue to experience fluctuations in our net income as a result of transaction gains and losses related to translating certain cash balances, trade accounts receivable and payable balances and intercompany loans that are denominated in currencies other than the U.S. Dollar. We recognized foreign currency transaction loss of $0.6 million in the year ended December 31, 2024. A 10% adverse change in foreign exchange rates on foreign-denominated accounts for the year ended December 31, 2024, including intercompany balances, would have resulted in a $0.5 million increase in our reported foreign currency loss for the year ended December 31, 2024.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350"/>
                <wp:effectExtent l="0" t="0" r="0" b="0"/>
                <wp:wrapNone/>
                <wp:docPr id="58"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INDEX TO CONSOLIDATED FINANCIAL STATEMENTS</w:t>
      </w:r>
    </w:p>
    <w:tbl>
      <w:tblPr>
        <w:tblW w:w="7425" w:type="dxa"/>
        <w:jc w:val="left"/>
        <w:tblInd w:w="0" w:type="dxa"/>
        <w:tblLayout w:type="fixed"/>
        <w:tblCellMar>
          <w:top w:w="28" w:type="dxa"/>
          <w:left w:w="28" w:type="dxa"/>
          <w:bottom w:w="28" w:type="dxa"/>
          <w:right w:w="28" w:type="dxa"/>
        </w:tblCellMar>
      </w:tblPr>
      <w:tblGrid>
        <w:gridCol w:w="2479"/>
        <w:gridCol w:w="2177"/>
        <w:gridCol w:w="2183"/>
        <w:gridCol w:w="171"/>
        <w:gridCol w:w="171"/>
        <w:gridCol w:w="244"/>
      </w:tblGrid>
      <w:tr>
        <w:trPr/>
        <w:tc>
          <w:tcPr>
            <w:tcW w:w="247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68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00">
              <w:r>
                <w:rPr>
                  <w:rStyle w:val="InternetLink"/>
                  <w:rFonts w:ascii="Work Sans;sans-serif" w:hAnsi="Work Sans;sans-serif"/>
                  <w:b w:val="false"/>
                  <w:color w:val="0000FF"/>
                  <w:sz w:val="18"/>
                  <w:u w:val="single"/>
                </w:rPr>
                <w:t>Report of Independent Registered Public Accounting Firm</w:t>
              </w:r>
            </w:hyperlink>
            <w:r>
              <w:rPr>
                <w:color w:val="000000"/>
              </w:rPr>
              <w:t xml:space="preserve"> </w:t>
            </w:r>
            <w:r>
              <w:rPr>
                <w:rFonts w:ascii="Work Sans;sans-serif" w:hAnsi="Work Sans;sans-serif"/>
                <w:b w:val="false"/>
                <w:color w:val="000000"/>
                <w:sz w:val="18"/>
              </w:rPr>
              <w:t>(PCAOB ID 238)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00">
              <w:r>
                <w:rPr>
                  <w:rStyle w:val="InternetLink"/>
                  <w:rFonts w:ascii="Work Sans;sans-serif" w:hAnsi="Work Sans;sans-serif"/>
                  <w:b w:val="false"/>
                  <w:color w:val="0000FF"/>
                  <w:sz w:val="18"/>
                  <w:u w:val="single"/>
                </w:rPr>
                <w:t>55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03">
              <w:r>
                <w:rPr>
                  <w:rStyle w:val="InternetLink"/>
                  <w:rFonts w:ascii="Work Sans;sans-serif" w:hAnsi="Work Sans;sans-serif"/>
                  <w:b w:val="false"/>
                  <w:color w:val="0000FF"/>
                  <w:sz w:val="18"/>
                  <w:u w:val="single"/>
                </w:rPr>
                <w:t>Audited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03">
              <w:r>
                <w:rPr>
                  <w:rStyle w:val="InternetLink"/>
                  <w:rFonts w:ascii="Work Sans;sans-serif" w:hAnsi="Work Sans;sans-serif"/>
                  <w:b w:val="false"/>
                  <w:color w:val="0000FF"/>
                  <w:sz w:val="18"/>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03">
              <w:r>
                <w:rPr>
                  <w:rStyle w:val="InternetLink"/>
                  <w:rFonts w:ascii="Work Sans;sans-serif" w:hAnsi="Work Sans;sans-serif"/>
                  <w:b w:val="false"/>
                  <w:color w:val="0000FF"/>
                  <w:sz w:val="18"/>
                  <w:u w:val="single"/>
                </w:rPr>
                <w:t>57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06">
              <w:r>
                <w:rPr>
                  <w:rStyle w:val="InternetLink"/>
                  <w:rFonts w:ascii="Work Sans;sans-serif" w:hAnsi="Work Sans;sans-serif"/>
                  <w:b w:val="false"/>
                  <w:color w:val="0000FF"/>
                  <w:sz w:val="18"/>
                  <w:u w:val="single"/>
                </w:rPr>
                <w:t>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06">
              <w:r>
                <w:rPr>
                  <w:rStyle w:val="InternetLink"/>
                  <w:rFonts w:ascii="Work Sans;sans-serif" w:hAnsi="Work Sans;sans-serif"/>
                  <w:b w:val="false"/>
                  <w:color w:val="0000FF"/>
                  <w:sz w:val="18"/>
                  <w:u w:val="single"/>
                </w:rPr>
                <w:t>58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09">
              <w:r>
                <w:rPr>
                  <w:rStyle w:val="InternetLink"/>
                  <w:rFonts w:ascii="Work Sans;sans-serif" w:hAnsi="Work Sans;sans-serif"/>
                  <w:b w:val="false"/>
                  <w:color w:val="0000FF"/>
                  <w:sz w:val="18"/>
                  <w:u w:val="single"/>
                </w:rPr>
                <w:t>Consolidated Statements of Comprehensive Income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09">
              <w:r>
                <w:rPr>
                  <w:rStyle w:val="InternetLink"/>
                  <w:rFonts w:ascii="Work Sans;sans-serif" w:hAnsi="Work Sans;sans-serif"/>
                  <w:b w:val="false"/>
                  <w:color w:val="0000FF"/>
                  <w:sz w:val="18"/>
                  <w:u w:val="single"/>
                </w:rPr>
                <w:t>59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5f40ef452b344afb28acaae24f770a6_112">
              <w:r>
                <w:rPr>
                  <w:rStyle w:val="InternetLink"/>
                  <w:rFonts w:ascii="Work Sans;sans-serif" w:hAnsi="Work Sans;sans-serif"/>
                  <w:b w:val="false"/>
                  <w:color w:val="000080"/>
                  <w:sz w:val="18"/>
                  <w:u w:val="single"/>
                </w:rPr>
                <w:t xml:space="preserve">Consolidated Statements of </w:t>
              </w:r>
            </w:hyperlink>
            <w:hyperlink w:anchor="ie5f40ef452b344afb28acaae24f770a6_112">
              <w:r>
                <w:rPr>
                  <w:rStyle w:val="InternetLink"/>
                  <w:rFonts w:ascii="Work Sans;sans-serif" w:hAnsi="Work Sans;sans-serif"/>
                  <w:b w:val="false"/>
                  <w:color w:val="000080"/>
                  <w:sz w:val="18"/>
                  <w:u w:val="single"/>
                </w:rPr>
                <w:t>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12">
              <w:r>
                <w:rPr>
                  <w:rStyle w:val="InternetLink"/>
                  <w:rFonts w:ascii="Work Sans;sans-serif" w:hAnsi="Work Sans;sans-serif"/>
                  <w:b w:val="false"/>
                  <w:color w:val="0000FF"/>
                  <w:sz w:val="18"/>
                  <w:u w:val="single"/>
                </w:rPr>
                <w:t>60</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15">
              <w:r>
                <w:rPr>
                  <w:rStyle w:val="InternetLink"/>
                  <w:rFonts w:ascii="Work Sans;sans-serif" w:hAnsi="Work Sans;sans-serif"/>
                  <w:b w:val="false"/>
                  <w:color w:val="0000FF"/>
                  <w:sz w:val="18"/>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15">
              <w:r>
                <w:rPr>
                  <w:rStyle w:val="InternetLink"/>
                  <w:rFonts w:ascii="Work Sans;sans-serif" w:hAnsi="Work Sans;sans-serif"/>
                  <w:b w:val="false"/>
                  <w:color w:val="0000FF"/>
                  <w:sz w:val="18"/>
                  <w:u w:val="single"/>
                </w:rPr>
                <w:t>61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40ef452b344afb28acaae24f770a6_118">
              <w:r>
                <w:rPr>
                  <w:rStyle w:val="InternetLink"/>
                  <w:rFonts w:ascii="Work Sans;sans-serif" w:hAnsi="Work Sans;sans-serif"/>
                  <w:b w:val="false"/>
                  <w:color w:val="0000FF"/>
                  <w:sz w:val="18"/>
                  <w:u w:val="single"/>
                </w:rPr>
                <w:t>Notes to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f40ef452b344afb28acaae24f770a6_118">
              <w:r>
                <w:rPr>
                  <w:rStyle w:val="InternetLink"/>
                  <w:rFonts w:ascii="Work Sans;sans-serif" w:hAnsi="Work Sans;sans-serif"/>
                  <w:b w:val="false"/>
                  <w:color w:val="0000FF"/>
                  <w:sz w:val="18"/>
                  <w:u w:val="singl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350"/>
                <wp:effectExtent l="0" t="0" r="0" b="0"/>
                <wp:wrapNone/>
                <wp:docPr id="59"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Report of Independent Registered Public Accounting Firm</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To the Board of Directors and Stockholders of LegalZoom.com, Inc.</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Opinions on the Financial Statements and Internal Control over Financial Reporting</w:t>
      </w:r>
    </w:p>
    <w:p>
      <w:pPr>
        <w:pStyle w:val="TextBody"/>
        <w:bidi w:val="0"/>
        <w:spacing w:lineRule="auto" w:line="268" w:before="0" w:after="0"/>
        <w:jc w:val="left"/>
        <w:rPr/>
      </w:pPr>
      <w:r>
        <w:rPr>
          <w:rFonts w:ascii="Work Sans;sans-serif" w:hAnsi="Work Sans;sans-serif"/>
          <w:b w:val="false"/>
          <w:color w:val="000000"/>
          <w:sz w:val="18"/>
        </w:rPr>
        <w:t xml:space="preserve">We have audited the accompanying consolidated balance sheets of LegalZoom.com, Inc. and its subsidiaries (the "Company") as of December 31, 2024 and 2023, and the related consolidated statements of operations,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Work Sans;sans-serif" w:hAnsi="Work Sans;sans-serif"/>
          <w:b w:val="false"/>
          <w:i/>
          <w:color w:val="000000"/>
          <w:sz w:val="18"/>
        </w:rPr>
        <w:t>Internal Control - Integrated Framework</w:t>
      </w:r>
      <w:r>
        <w:rPr>
          <w:color w:val="000000"/>
        </w:rPr>
        <w:t xml:space="preserve"> </w:t>
      </w:r>
      <w:r>
        <w:rPr>
          <w:rFonts w:ascii="Work Sans;sans-serif" w:hAnsi="Work Sans;sans-serif"/>
          <w:b w:val="false"/>
          <w:color w:val="000000"/>
          <w:sz w:val="18"/>
        </w:rPr>
        <w:t>(2013) issued by the Committee of Sponsoring Organizations of the Treadway Commission (COSO).</w:t>
      </w:r>
    </w:p>
    <w:p>
      <w:pPr>
        <w:pStyle w:val="TextBody"/>
        <w:bidi w:val="0"/>
        <w:spacing w:before="0" w:after="0"/>
        <w:jc w:val="left"/>
        <w:rPr/>
      </w:pPr>
      <w:r>
        <w:rPr/>
      </w:r>
    </w:p>
    <w:p>
      <w:pPr>
        <w:pStyle w:val="TextBody"/>
        <w:bidi w:val="0"/>
        <w:spacing w:lineRule="auto" w:line="276" w:before="0" w:after="0"/>
        <w:jc w:val="left"/>
        <w:rPr/>
      </w:pPr>
      <w:r>
        <w:rPr>
          <w:rFonts w:ascii="Work Sans;sans-serif" w:hAnsi="Work Sans;sans-serif"/>
          <w:b w:val="false"/>
          <w:color w:val="000000"/>
          <w:sz w:val="18"/>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Work Sans;sans-serif" w:hAnsi="Work Sans;sans-serif"/>
          <w:b w:val="false"/>
          <w:i/>
          <w:color w:val="000000"/>
          <w:sz w:val="18"/>
        </w:rPr>
        <w:t>Internal Control - Integrated Framework</w:t>
      </w:r>
      <w:r>
        <w:rPr>
          <w:color w:val="000000"/>
        </w:rPr>
        <w:t xml:space="preserve"> </w:t>
      </w:r>
      <w:r>
        <w:rPr>
          <w:rFonts w:ascii="Work Sans;sans-serif" w:hAnsi="Work Sans;sans-serif"/>
          <w:b w:val="false"/>
          <w:color w:val="000000"/>
          <w:sz w:val="18"/>
        </w:rPr>
        <w:t>(2013) issued by the COSO.</w:t>
      </w:r>
    </w:p>
    <w:p>
      <w:pPr>
        <w:pStyle w:val="TextBody"/>
        <w:bidi w:val="0"/>
        <w:spacing w:lineRule="auto" w:line="288" w:before="120" w:after="120"/>
        <w:jc w:val="left"/>
        <w:rPr/>
      </w:pPr>
      <w:r>
        <w:rPr>
          <w:rFonts w:ascii="Work Sans;sans-serif" w:hAnsi="Work Sans;sans-serif"/>
          <w:b/>
          <w:i/>
          <w:color w:val="000000"/>
          <w:sz w:val="18"/>
        </w:rPr>
        <w:t>Basis for Opinions</w:t>
      </w:r>
      <w:r>
        <w:rPr>
          <w:color w:val="000000"/>
        </w:rPr>
        <w:t xml:space="preserve"> </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Definition and Limitations of Internal Control over Financial Reporting</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350"/>
                <wp:effectExtent l="0" t="0" r="0" b="0"/>
                <wp:wrapNone/>
                <wp:docPr id="60"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Critical Audit Matters</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As described in Note 2 to the consolidated financial statements, the Company’s total consolidated revenue was $681.9 million for the year ended December 31, 2024. The Company recognizes revenue when the performance obligation is satisfied by transferring the promised good or service to the customer. For transaction-based services, revenue is generally recognized at a point-in-time when the services are delivered to the customer. For subscription-based services, revenue is generally recognized on a straight-line basis over the subscription term. Revenue earned from leads generated to third-party providers is recognized at a point-in-time when the related performance-based criteria have been met. Services can generally either be purchased on a stand-alone basis or bundled together as part of a package of services. Accordingly, a significant number of the Company’s arrangements include multiple performance obligations. The transaction price is based on the contractual amounts and is allocated to each separate performance obligation based on the amount of consideration which management expects to be entitled in exchange for the services provided. </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 xml:space="preserve">The principal consideration for our determination that performing procedures relating to revenue recognition is a critical audit matter is a high degree of auditor effort in performing procedures related to the Company’s revenue recognition. </w:t>
      </w:r>
    </w:p>
    <w:p>
      <w:pPr>
        <w:pStyle w:val="TextBody"/>
        <w:bidi w:val="0"/>
        <w:spacing w:before="0" w:after="0"/>
        <w:jc w:val="left"/>
        <w:rPr/>
      </w:pPr>
      <w:r>
        <w:rPr/>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at the transaction price based on contractual amounts. These procedures also included, among others (i) testing the revenue recognized for a sample of revenue transactions by obtaining and inspecting source documents, such as invoices, customer contracts, proof of fulfillment, and subsequent payment receipts and (ii) testing a sample of outstanding customer invoice balances as of December 31, 2024 by obtaining and inspecting source documents, such as invoices, customer contracts, and subsequent payment receipts.</w:t>
      </w:r>
    </w:p>
    <w:p>
      <w:pPr>
        <w:pStyle w:val="TextBody"/>
        <w:bidi w:val="0"/>
        <w:spacing w:before="120" w:after="12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Los Angeles, California</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February 26, 2025</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have served as the Company’s auditor since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350"/>
                <wp:effectExtent l="0" t="0" r="0" b="0"/>
                <wp:wrapNone/>
                <wp:docPr id="61"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085"/>
        <w:gridCol w:w="2101"/>
        <w:gridCol w:w="2068"/>
        <w:gridCol w:w="228"/>
        <w:gridCol w:w="958"/>
        <w:gridCol w:w="109"/>
        <w:gridCol w:w="109"/>
        <w:gridCol w:w="109"/>
        <w:gridCol w:w="109"/>
        <w:gridCol w:w="226"/>
        <w:gridCol w:w="946"/>
        <w:gridCol w:w="157"/>
      </w:tblGrid>
      <w:tr>
        <w:trPr/>
        <w:tc>
          <w:tcPr>
            <w:tcW w:w="308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Accounts receivable, net of allowances of $2,121 and $4,906, respectively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Current assets held for sale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275,338 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security (amortized cost of $848 and $836)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167,951 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263,963 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280,626 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278,984 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 (Note 12)</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December 31, 2024 and 2023, none issued or outstanding at December 31, 2024 and 2023</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and 1,000,000 shares authorized; 173,619 and 188,538 shares issued and outstanding at December 31, 2024 and 2023,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1,101,474 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(1,069,317)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(933,061)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Total stockholders’ equity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3350"/>
                <wp:effectExtent l="0" t="0" r="0" b="0"/>
                <wp:wrapNone/>
                <wp:docPr id="62"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24"/>
        <w:gridCol w:w="1718"/>
        <w:gridCol w:w="1720"/>
        <w:gridCol w:w="226"/>
        <w:gridCol w:w="946"/>
        <w:gridCol w:w="109"/>
        <w:gridCol w:w="109"/>
        <w:gridCol w:w="109"/>
        <w:gridCol w:w="109"/>
        <w:gridCol w:w="226"/>
        <w:gridCol w:w="946"/>
        <w:gridCol w:w="109"/>
        <w:gridCol w:w="109"/>
        <w:gridCol w:w="109"/>
        <w:gridCol w:w="109"/>
        <w:gridCol w:w="226"/>
        <w:gridCol w:w="946"/>
        <w:gridCol w:w="155"/>
      </w:tblGrid>
      <w:tr>
        <w:trPr/>
        <w:tc>
          <w:tcPr>
            <w:tcW w:w="222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408,884 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(41,739)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Income (loss) before income taxes </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 basic:</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 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diluted:</w:t>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182,865 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3350"/>
                <wp:effectExtent l="0" t="0" r="0" b="0"/>
                <wp:wrapNone/>
                <wp:docPr id="63"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9072" w:type="dxa"/>
        <w:jc w:val="left"/>
        <w:tblInd w:w="0" w:type="dxa"/>
        <w:tblLayout w:type="fixed"/>
        <w:tblCellMar>
          <w:top w:w="28" w:type="dxa"/>
          <w:left w:w="28" w:type="dxa"/>
          <w:bottom w:w="28" w:type="dxa"/>
          <w:right w:w="28" w:type="dxa"/>
        </w:tblCellMar>
      </w:tblPr>
      <w:tblGrid>
        <w:gridCol w:w="1739"/>
        <w:gridCol w:w="1525"/>
        <w:gridCol w:w="1536"/>
        <w:gridCol w:w="226"/>
        <w:gridCol w:w="826"/>
        <w:gridCol w:w="109"/>
        <w:gridCol w:w="109"/>
        <w:gridCol w:w="109"/>
        <w:gridCol w:w="109"/>
        <w:gridCol w:w="226"/>
        <w:gridCol w:w="826"/>
        <w:gridCol w:w="109"/>
        <w:gridCol w:w="109"/>
        <w:gridCol w:w="109"/>
        <w:gridCol w:w="109"/>
        <w:gridCol w:w="226"/>
        <w:gridCol w:w="91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2022</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comprehensive income (loss), net of tax:</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Unrealized gains (losses),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change in available-for-sale debt securities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other comprehensive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(45,441)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3350"/>
                <wp:effectExtent l="0" t="0" r="0" b="0"/>
                <wp:wrapNone/>
                <wp:docPr id="64"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612" w:type="dxa"/>
        <w:jc w:val="left"/>
        <w:tblInd w:w="0" w:type="dxa"/>
        <w:tblLayout w:type="fixed"/>
        <w:tblCellMar>
          <w:top w:w="28" w:type="dxa"/>
          <w:left w:w="28" w:type="dxa"/>
          <w:bottom w:w="28" w:type="dxa"/>
          <w:right w:w="28" w:type="dxa"/>
        </w:tblCellMar>
      </w:tblPr>
      <w:tblGrid>
        <w:gridCol w:w="670"/>
        <w:gridCol w:w="272"/>
        <w:gridCol w:w="274"/>
        <w:gridCol w:w="109"/>
        <w:gridCol w:w="109"/>
        <w:gridCol w:w="109"/>
        <w:gridCol w:w="171"/>
        <w:gridCol w:w="171"/>
        <w:gridCol w:w="171"/>
        <w:gridCol w:w="171"/>
        <w:gridCol w:w="368"/>
        <w:gridCol w:w="368"/>
        <w:gridCol w:w="205"/>
        <w:gridCol w:w="109"/>
        <w:gridCol w:w="109"/>
        <w:gridCol w:w="109"/>
        <w:gridCol w:w="231"/>
        <w:gridCol w:w="496"/>
        <w:gridCol w:w="129"/>
        <w:gridCol w:w="225"/>
        <w:gridCol w:w="225"/>
        <w:gridCol w:w="226"/>
        <w:gridCol w:w="196"/>
        <w:gridCol w:w="871"/>
        <w:gridCol w:w="109"/>
        <w:gridCol w:w="109"/>
        <w:gridCol w:w="109"/>
        <w:gridCol w:w="109"/>
        <w:gridCol w:w="196"/>
        <w:gridCol w:w="941"/>
        <w:gridCol w:w="109"/>
        <w:gridCol w:w="109"/>
        <w:gridCol w:w="109"/>
        <w:gridCol w:w="109"/>
        <w:gridCol w:w="245"/>
        <w:gridCol w:w="714"/>
        <w:gridCol w:w="137"/>
        <w:gridCol w:w="109"/>
        <w:gridCol w:w="109"/>
        <w:gridCol w:w="109"/>
        <w:gridCol w:w="196"/>
        <w:gridCol w:w="736"/>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w:t>
              <w:br/>
              <w:t>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198,084 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(748,012)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(1,795)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197,551 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82,995 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(9,256)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(95,126)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3,292 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(48,733)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(48,733)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190,822 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(891,862)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8,445 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70,071 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(5,868)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(54,873)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188,538 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(933,061)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168,834 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5,875 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(19,228)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29,963 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173,619 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1,161,538 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(1,069,317)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93,257 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3350"/>
                <wp:effectExtent l="0" t="0" r="0" b="0"/>
                <wp:wrapNone/>
                <wp:docPr id="65"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427"/>
        <w:gridCol w:w="1768"/>
        <w:gridCol w:w="1779"/>
        <w:gridCol w:w="226"/>
        <w:gridCol w:w="826"/>
        <w:gridCol w:w="109"/>
        <w:gridCol w:w="109"/>
        <w:gridCol w:w="109"/>
        <w:gridCol w:w="109"/>
        <w:gridCol w:w="226"/>
        <w:gridCol w:w="826"/>
        <w:gridCol w:w="109"/>
        <w:gridCol w:w="109"/>
        <w:gridCol w:w="109"/>
        <w:gridCol w:w="109"/>
        <w:gridCol w:w="226"/>
        <w:gridCol w:w="873"/>
        <w:gridCol w:w="156"/>
      </w:tblGrid>
      <w:tr>
        <w:trPr/>
        <w:tc>
          <w:tcPr>
            <w:tcW w:w="2427"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to reconcile net income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right-of-use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fair value of 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foreign exchange loss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Changes in operating assets and liabilities, net of effects of business combinations, asset acquisition and disposal of business: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Acquisitions,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Asset acquisition, net of cash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acquisition working capital adjustment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(30,622)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Repayment of 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contingent consideration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Repurchase and retirement of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Payment of stock repurchase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Shares surrendered for settlement of minimum statutory tax withholding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Proceeds from issuance of stock under employee stock plans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3350"/>
                <wp:effectExtent l="0" t="0" r="0" b="0"/>
                <wp:wrapNone/>
                <wp:docPr id="66"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Consolidated Statements of Cash Flows (continued)</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255"/>
        <w:gridCol w:w="1701"/>
        <w:gridCol w:w="1706"/>
        <w:gridCol w:w="226"/>
        <w:gridCol w:w="946"/>
        <w:gridCol w:w="109"/>
        <w:gridCol w:w="109"/>
        <w:gridCol w:w="109"/>
        <w:gridCol w:w="109"/>
        <w:gridCol w:w="226"/>
        <w:gridCol w:w="946"/>
        <w:gridCol w:w="109"/>
        <w:gridCol w:w="109"/>
        <w:gridCol w:w="109"/>
        <w:gridCol w:w="109"/>
        <w:gridCol w:w="226"/>
        <w:gridCol w:w="946"/>
        <w:gridCol w:w="155"/>
      </w:tblGrid>
      <w:tr>
        <w:trPr/>
        <w:tc>
          <w:tcPr>
            <w:tcW w:w="225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(183,285)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exchange rate changes on cash and cash equivalents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cash and cash equivalents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(50,215)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at beginning of the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239,297 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Cash and cash equivalents, at end of the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Supplemental cash flow data</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paid during the year for: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Non-cash operating, investing, and financing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assets obtained in exchange for new operating lease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 included in accounts payable and accrued expenses and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stock repurchase excise tax</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3350"/>
                <wp:effectExtent l="0" t="0" r="0" b="0"/>
                <wp:wrapNone/>
                <wp:docPr id="67"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 provider of services that meet the legal needs of small businesses and consumers. Our position at business inception allows us to become a trusted business advisor, supporting the evolving needs of a new business across its lifecycle, and we have expanded our platform to include professional expertise and other products, both legal and non-legal, to better meet the needs of small businesses. Along with business formation, our offerings include ongoing compliance,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Summary of Significant Accounting Policies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accompanying consolidated financial statements are presented in accordance with accounting principles generally accepted in the United States of America, or GAAP. All intercompany balances and transactions have been eliminated in consolidation.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occasion, we enter into relationships or investments with other entities that may be a variable interest entity, or VIE. We analyze our interests, including agreements, loans, guarantees, and equity investments on a periodic basis to determine if such interests are variable interests. If variable interests are identified, then the related entity is assessed to determine if it is a VIE. If we determine that the entity is a VIE, we then assess if we must consolidate the VIE as the primary beneficiary. Our determination of whether we are the primary beneficiary is based upon qualitative and quantitative analyses, which assess the purpose and design of the VIE, the nature of the VIE’s risks and the risks that we absorb, the power to direct activities that most significantly impact the economic performance of the VIE, and the obligation to absorb losses or the right to receive benefits that could be significant to the VIE.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Business Combinations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purchase consideration over the fair value of assets acquired and liabilities assumed is recognized as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perform valuations of assets acquired and liabilities assumed for an acquisition and allocate the purchase price to their respective net tangible and intangible assets. Determining the fair value of assets acquired and liabilities assumed requires management to use judgment and estimates, including the selection of valuation methodologies, estimates of cash flows, discount rates and selection of comparable companies. We generally engage the assistance of a third-party valuation firm in determining fair values of assets acquired and liabilities assumed and contingent consideration, if any, in a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3350"/>
                <wp:effectExtent l="0" t="0" r="0" b="0"/>
                <wp:wrapNone/>
                <wp:docPr id="68"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costs associated with business combinations are expensed as incurred and are included in general and administrative expenses in the accompanying consolidated statements of operations.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Asset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evaluate acquisitions to determine whether the acquisition should be classified as either a business combination or an asset acquisition. Acquisitions for which substantially all of the fair value of the gross assets acquired are concentrated in a single identifiable asset or a group of similar identifiable assets are accounted for as an asset acquisition. If the gross assets are not concentrated in a single asset or group of similar assets, we then determine if the set of assets acquired represents a business. A business is an integrated set of activities and assets capable of being conducted and managed for the purpose of providing a return. Depending on the nature of the acquisition, judgment may be required to determine if the set of assets acquired is a business combination or not. We allocate the purchase price on a relative fair value basis and capitalize direct acquisition related costs as part of the purchase price. In making estimates of fair values for purposes of allocating the purchase price, we utilize an independent third-party to value the net tangible and identified intangible assets in connection with the acquisition.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Chief Executive Officer, as the Chief Operating Decision Maker, organizes our company, manages resource allocations, and measures performance on the basis of one operating segment. Refer to Note 21 to our consolidated financial statements.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Foreign Currency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British Pound Sterling is the functional currency for our foreign subsidiaries domiciled in the U.K.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consolidated statements of stockholders’ equity. We recognized foreign currency transaction loss in the accompanying consolidated statement of operations of $0.6 million for 2024, a gain of $1.4 million for 2023, and a loss of $3.6 million for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tbl>
      <w:tblPr>
        <w:tblW w:w="10205" w:type="dxa"/>
        <w:jc w:val="left"/>
        <w:tblInd w:w="0" w:type="dxa"/>
        <w:tblLayout w:type="fixed"/>
        <w:tblCellMar>
          <w:top w:w="28" w:type="dxa"/>
          <w:left w:w="28" w:type="dxa"/>
          <w:bottom w:w="28" w:type="dxa"/>
          <w:right w:w="28" w:type="dxa"/>
        </w:tblCellMar>
      </w:tblPr>
      <w:tblGrid>
        <w:gridCol w:w="363"/>
        <w:gridCol w:w="319"/>
        <w:gridCol w:w="324"/>
        <w:gridCol w:w="2861"/>
        <w:gridCol w:w="2613"/>
        <w:gridCol w:w="3725"/>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1 —</w:t>
            </w:r>
          </w:p>
        </w:tc>
        <w:tc>
          <w:tcPr>
            <w:tcW w:w="9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Quoted prices in active markets for identical assets and liabilities.</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2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Quoted prices for identical assets and liabilities in markets that are not active, quoted prices for similar assets and liabilities in active markets or financial instruments for which significant inputs are observable, either directly or indirectly.</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Level 3 —</w:t>
            </w:r>
          </w:p>
        </w:tc>
        <w:tc>
          <w:tcPr>
            <w:tcW w:w="9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Unobservable inputs that are supported by little or no market activity and that are significant to the fair value of the assets or liabilities.</w:t>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December 31, 2024 and 2023, our financial assets recorded at fair value on a recurring basis consist of cash equivalents and available-for-sale debt securities. The cash equivalent consists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the U.S. banks with funds insured by the Federal Deposit Insurance Corporation, or FDIC. Our bank accounts may, at times, exceed the FDIC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3350"/>
                <wp:effectExtent l="0" t="0" r="0" b="0"/>
                <wp:wrapNone/>
                <wp:docPr id="69"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Due to a large and diverse customer base, no individual customer represented more than 10% of total revenue in December 31, 2024, 2023 or 2022. At December 31, 2024 and 2023, there were no customers with an outstanding balance of 10% or more of our accounts receivable balance.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Cash and Cash Equivalents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Cash and cash equivalents consist of highly liquid investments with original maturities of ninety days or less at the date of purchase. At December 31, 2024 and 2023, our cash consisted of bank account deposits and our cash equivalents consisted of $114.7 million and $209.0 million, respectively, invested in money market funds.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accounts receivable balances, which are not collateralized and do not bear interest, primarily consist of amounts receivable from our credit and debit card merchant processors, customer receivables, and fees due from third parties for services purchased by our customers from such third 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December 31, 2024 and 2023,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Property and equipment are stated at cost, less accumulated depreciation. Repairs and maintenance are expensed as incurred whereas significant renewals and enhancements are capitalized. When assets are retired or otherwise disposed of, the cost and the related accumulated depreciation are removed from the respective accounts and any resulting gain or loss is reflected in our results of operations. Depreciation is calculated using the straight-line method over the estimated useful lives of the related assets as follows:</w:t>
      </w:r>
    </w:p>
    <w:tbl>
      <w:tblPr>
        <w:tblW w:w="7364" w:type="dxa"/>
        <w:jc w:val="left"/>
        <w:tblInd w:w="0" w:type="dxa"/>
        <w:tblLayout w:type="fixed"/>
        <w:tblCellMar>
          <w:top w:w="28" w:type="dxa"/>
          <w:left w:w="28" w:type="dxa"/>
          <w:bottom w:w="28" w:type="dxa"/>
          <w:right w:w="28" w:type="dxa"/>
        </w:tblCellMar>
      </w:tblPr>
      <w:tblGrid>
        <w:gridCol w:w="1925"/>
        <w:gridCol w:w="1690"/>
        <w:gridCol w:w="1695"/>
        <w:gridCol w:w="601"/>
        <w:gridCol w:w="601"/>
        <w:gridCol w:w="852"/>
      </w:tblGrid>
      <w:tr>
        <w:trPr/>
        <w:tc>
          <w:tcPr>
            <w:tcW w:w="192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Useful Life</w:t>
              <w:br/>
              <w:t>(Years)</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Purchased and internally developed internal-use software</w:t>
            </w:r>
          </w:p>
        </w:tc>
        <w:tc>
          <w:tcPr>
            <w:tcW w:w="20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5–30</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Land improvements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7</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5</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Land</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Indefinite</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Shorter of lease term</w:t>
              <w:br/>
              <w:t>or useful life</w:t>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Internal-use Software and Cloud Computing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Software development costs include costs to develop software to be used to meet internal needs and applications used to deliver our services. We capitalize development costs related to these software applications once the preliminary project stage is complete and it is probable that the project will be completed and the software will be used to perform the function intended. We amortize internal-use software costs on a straight-line basis over their estimated useful life of three years commencing when the internal-use software is substantially complete and ready for its intended purpose. Costs related to development of internal-use software are included in the accompanying consolidated balance sheets in property and equipment, net. Costs related to implementation of cloud computing arrangements that do not include a software license are included in the accompanying consolidated balance sheets in prepaid expenses and other current and non-current assets and are amortized over the contractual term of the underlying service arrangement.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Intangible Assets and Other Long-Lived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are stated at cost, net of accumulated amortization. Intangible assets with finite lives are amortized on a straight-line basis over their estimated useful lives, which approximates the pattern in which the economic benefits are consumed. We amortize our intangible assets over an estimated useful life of two to six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3350"/>
                <wp:effectExtent l="0" t="0" r="0" b="0"/>
                <wp:wrapNone/>
                <wp:docPr id="70"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assess the impairment of long-lived assets, which consist primarily of property and equipment, right of use assets, acquired intangible assets, and capitalized internal-use software costs, whenever events or changes in circumstances indicate that such assets might be impaired and the carrying value may not be recoverable. Impairment testing is performed at an asset level that represents the lowest level for which identifiable cash flows are largely independent of the cash flows of other assets and liabilities, or an asset group. If an asset group is considered impaired, an impairment loss equal to the excess of the asset group’s carrying value over their fair value is recorded. Fair value is determined based on the present value of estimated expected future cash flows using a discount rate commensurate with the risk involved, quoted market prices, or appraised values, depending on the nature of the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Goodwill represents the excess of the aggregate fair value of the consideration transferred in a business combination over the fair value of the assets acquired, net of liabilities assumed. Goodwill is not amortized, however, it is subject to impairment testing at the reporting unit level annually during the fourth quarter of our fiscal year or more frequently if events or changes in circumstances indicate that goodwill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assessing impairment, we have the option to first assess qualitative factors to determine whether or not a reporting unit is impaired. Alternatively, we may perform a quantitative impairment assessment, or if the qualitative assessment indicates that it is more-likely-than-not that the reporting unit’s fair value is less than its carrying amount, a quantitative analysis is required. The quantitative analysis compares the estimated fair value of the reporting unit with its respective carrying amount, including goodwill. If the estimated fair value of the reporting unit exceeds its carrying amount including goodwill, goodwill is considered not to be impaired. If the fair value is less than the carrying amount including goodwill, then a goodwill impairment charge is recorded by the amount that the carrying value exceeds the fair value, up to the carrying amount of goodwill.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and 2023, we held a long-term investment in a privately held company through the purchase of a convertible promissory note. This investment is classified as an available-for-sale debt security. For available-for-sale debt securities that have the estimated fair values below their amortized cost basis, we evaluate our intent to sell the security or whether we will more likely than not be required to sell the security before recovery of its amortized cost basis. If either of these criteria are met, the security’s amortized cost basis is written down to its fair value through earnings. If these criteria are not met, we evaluate whether the decline in fair value has resulted from credit loss or other factors. If the assessment indicates a credit loss exists, the credit-related portion of the loss is recorded as allowance for credit loss with a corresponding credit loss expense, included in the consolidated statement of operations. If the assessment indicates a credit loss does not exist, impairment is recognized in other comprehensive income (loss), net of applicable taxes.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hold investments in equity securities of certain privately held companies, which do not have readily determinable fair values. We have elected to measure these non-marketable investments at cost, with remeasurements to fair value only upon the occurrence of observable price changes in orderly transactions for identical or similar securities of the same issuer, or in the event of any impairment. This election is reassessed each reporting period to determine whether a non-marketable equity security has a readily determinable fair value, in which case they would no longer be eligible for this election. We evaluate our non-marketable equity securities for impairment at each reporting period based on a qualitative assessment that considers various potential impairment indicators. If an impairment exists, a loss is recognized in the consolidated statements of operations for the amount by which the carrying value exceeds the fair value of the investment. We include investments in equity securities within other assets in the accompanying consolidated balance sheets.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classify long-lived assets or asset groups we plan to sell as held for sale on our consolidated balance sheets only after certain criteria have been met including: management has the authority and commits to a plan to sell the asset, the asset is available for immediate sale in its present condition, an active program to locate a buyer and the plan to sell the asset have been initiated, the sale of the asset is probable within twelve months (subject to events and circumstances outside our control which may extend the period required to complete the sale beyond one year), the asset is being actively marketed at a reasonable sales price relative to its current fair value, and it is unlikely that the plan to sell will be withdrawn or that significant changes to the plan will be made. We record assets or asset groups held for sale at the lower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3350"/>
                <wp:effectExtent l="0" t="0" r="0" b="0"/>
                <wp:wrapNone/>
                <wp:docPr id="71"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their carrying value or fair value less costs to sell. Once classified as held for sale, depreciation and amortization is not recorded for any long-lived assets.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whether an arrangement is a lease, or contains a lease, at inception if we are able to identify an asset and can conclude we have the right to control the identified asset for a period of time. Leases are included in operating lease right-of-use, or ROU, assets and operating lease liabilities in the accompanying consolidated balance sheets. Leases with an initial term of twelve months or less are not recorded in our accompanying consolidated balance sheet.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made accounting policy elections, including a short-term lease exception policy, permitting us to not apply the recognition requirements of this standard to short-term leases, which are leases with expected terms of twelve months or less, and an accounting policy to account for lease and certain non-lease components as a single component for certain classes of assets. Additionally, we use the portfolio approach when applying the discount rate selected based on the dollar amount and term of the obligation.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The incremental borrowing rate used is estimated based on what we would be required to pay for a collateralized loan over a similar term. Our leases typically do not include any residual value guarantees, bargain purchase options, or asset retirement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agreements may contain variable lease payments. We include variable lease payments that depend on an index or a rate and exclude those which depend on facts or circumstances occurring after the commencement date, other than the passage of time.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3350"/>
                <wp:effectExtent l="0" t="0" r="0" b="0"/>
                <wp:wrapNone/>
                <wp:docPr id="72"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transaction and subscription revenue is as follows (in thousands):</w:t>
      </w:r>
    </w:p>
    <w:tbl>
      <w:tblPr>
        <w:tblW w:w="5891" w:type="dxa"/>
        <w:jc w:val="left"/>
        <w:tblInd w:w="0" w:type="dxa"/>
        <w:tblLayout w:type="fixed"/>
        <w:tblCellMar>
          <w:top w:w="28" w:type="dxa"/>
          <w:left w:w="28" w:type="dxa"/>
          <w:bottom w:w="28" w:type="dxa"/>
          <w:right w:w="28" w:type="dxa"/>
        </w:tblCellMar>
      </w:tblPr>
      <w:tblGrid>
        <w:gridCol w:w="488"/>
        <w:gridCol w:w="429"/>
        <w:gridCol w:w="432"/>
        <w:gridCol w:w="226"/>
        <w:gridCol w:w="946"/>
        <w:gridCol w:w="109"/>
        <w:gridCol w:w="109"/>
        <w:gridCol w:w="109"/>
        <w:gridCol w:w="109"/>
        <w:gridCol w:w="226"/>
        <w:gridCol w:w="946"/>
        <w:gridCol w:w="109"/>
        <w:gridCol w:w="109"/>
        <w:gridCol w:w="109"/>
        <w:gridCol w:w="109"/>
        <w:gridCol w:w="226"/>
        <w:gridCol w:w="94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revenue recognition through the following five steps: identification of a contract with a customer; identification of the performance obligations in the contract; determination of the transaction price; allocation of the transaction price to the performance obligations in the contract; and recognition of revenue when or as the performance obligations are satisfied.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customers generally pay for transactions in advance by credit or debit card except for certain services provided under installment plans where we allow customers to pay for their order in three equal payments. The first installment due under the installment plans is charged to the customer’s debit or credit card on the date the order is placed, and the remaining installments are generally charged on a monthly basis thereafter. We recognize revenue for the amount we expect to be entitled to for providing the services to our customers. The total fees collected by us for our services include, as applicable, expedited services fees, government filing fees and shipping fees.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services are generally paid monthly or annually in advance of the subscription period except for SaaS services in the U.K. and virtual mail subscriptions, which are invoiced monthly in arrears. Amounts collected in advance of revenue recognition are recorded in deferred revenue. Customers may pay for services, however, may not provide the necessary information to complete a transaction. We attempt to contact the customer to complete the abandoned order. We recognize revenue on abandoned services, or breakage, when it is likely to occur and the amount can be recognized without significant risk of reversal. We recognize breakage in proportion to the pattern of rights exercised by the customer. Judgment is required to determine the amount of breakage and when breakage is likely to occur, which we estimate based on historical data of breakage for similar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Services we offer can generally either be purchased on a stand-alone basis or bundled together as part of a package of services. Accordingly, a significant number of our arrangements include multiple performance obligations, such as the preparation of legal documents combined with related document revision, registered agent services, and free trial periods of our subscriptions. At contract inception, we assess the services promised in our contracts with customers and identify performance obligations for each promise to transfer to the customer a service or bundle of services that is distinct. The identification of distinct performance obligations within our packages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transaction price allocated to each separate performance obligation represents the amount of consideration to which we expect to be entitled in exchange for the services we provide. The transaction price is based on the contractual amounts in our contracts and is reduced for estimated sales allowances for price concessions, charge-backs, sales credits and refunds, which are accounted for as variable consideration when estimating the amount of revenue to recognize. We only include variable consideration in the transaction price to the extent that it is probable that a significant reversal in the amount of cumulative revenue recognized will not occur. We estimate sales allowances using the expected value method. We recognize a liability or a reduction of accounts receivable, and a reduction to revenue based on the estimated amount of sales allowances. We record sales allowances as a reduction of accounts receivable where we expect not to collect the full amount of the outstanding accounts receivable and we record sales allowances as a liability for estimated refunds or credits where we have collected the amounts due from the customer. We have established a sufficient history of estimating sales allowances given the large number of homogeneous transactions. The majority of our allowances and reserves are known within a relatively short period of time following our balance sheet date. The estimated provision for sales allowances has varied from actual results within ranges consistent with management’s expectations. The transaction price excludes sales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Contracts with our customers may include options to purchase additional future services, and in the case of subscription services, options to auto-renew the subscription service. Additional consideration attributable to either the option to purchase additional future services or the option to renew are excluded from the transaction price until such time that the option is exercised, unless these options provide a material right to the customer.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arrangements that contain multiple performance obligations, such as our bundled arrangements, we allocate the transaction price to each performance obligation based on estimates of the standalone selling price of each performance obligation within the bundle. For the services we sell on a standalone basis, we use the sales price of these services in the allocation of the transaction price in bundled arrangements. Where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3350"/>
                <wp:effectExtent l="0" t="0" r="0" b="0"/>
                <wp:wrapNone/>
                <wp:docPr id="73"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do not sell the service on a standalone basis, we estimate the standalone selling price based on the adjusted market assessment approach or the expected cost plus a margin approach when market information is not observable. In these cases, the determination of the standalone selling price may require significant judgment.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when we satisfy the performance obligation by transferring the promised good or service to the customer. For our transaction-based services, we generally recognize revenue at a point-in-time when the services are delivered to the customer. For our subscription-based services we generally recognize revenue on a straight-line basis over the subscription term. Revenue earned from leads generated to third-party providers is recognized at a point-in-time when the related performance-based criteria have been met. We assess whether performance criteria have been met on a cost-per-click or cost-per-action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elected the practical expedient not to adjust the promised amount of consideration for the effects of a significant financing component if the period between revenue recognition and when the customer pays for the product or service will be one year or less.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Principal Agent Considerations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certain of our arrangements, another party may be involved in providing services to our customer. We evaluate whether we can recognize revenue gross as a principal or net as an agent. We record revenue on a gross basis when we are the principal in the arrangement. To determine whether we are a principal or an agent, we identify the specified good or service to be provided to the customer and assess whether we control the specified good or service before that good or service is transferred to the customer. We evaluate a number of indicators of whether we control the good or service before it is transferred to the customer, including whether we have primary fulfillment responsibility and obligation to perform the services being sold to the customer; we have latitude in establishing the sales price; and we have inventory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arrangements in which we are the principal, we record as revenue the amounts we have billed to our customer, net of sales allowance, and we record the fee payable to the third-party as cost of revenue. We are the principal in most of our legal document preparation and registered agent services, including legal entity formations and similar arrangements and formation in the U.K. and since December 2021, tax advisory and preparation services through our fulfilled tax subscription, LZ Tax. For these services, revenue includes filing and similar fees. Our alternative business structure, or ABS, offers legal advisory services that are marketed through our websites. Our ABS provides independent legal advice to our customers and is directly responsible for, and control the fulfillment of, the legal services. Accordingly, for services provided by our ABS, we recognize revenue as the principal.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arrangements in which we are not the principal, we record revenue on a net basis, which is equal to the amount billed to our customer, net of sales allowances and the fee payable to the third party or partner that is primarily responsible for performing the services for the customer. Except for our ABS, we are not a law firm in the U.S. and cannot provide legal advice through our U.S. entities. Therefore, the participating independent law firms in our legal plans control the service to the customer and have the primary service obligation to provide attorney consultations to our customers, for which we pay the law firms a monthly fee. For these arrangements, we recognize revenue on a net basis as an agent. For other services provided by third parties, including deed transfer, accounting, business data protection, revenue is recognized net of fees payable to third parties. For revenue earned from leads generated to third party providers, we receive a fee for the referral of our customer to a third party provider or we retain a portion of the fee paid by the customer and share the remainder with a third-party. The third party providers control the service to the customer and are responsible for fulfilling the referred service to the customer; accordingly, we recognize revenue for these arrangements on a net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includes shipping and handling fees charged to customers.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At December 31, 2024 and 2023, there was $1.7 million and $1.7 million, respectively, in deferred cost of revenue included in prepaid expenses and other current assets in the accompanying consolidated balance sheets. Filing fees of $83.3 million, $88.1 million and $74.1 million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3350"/>
                <wp:effectExtent l="0" t="0" r="0" b="0"/>
                <wp:wrapNone/>
                <wp:docPr id="74" name="Frame7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recorded in cost of revenue in the accompanying consolidated statements of operations for years ended December 31, 2024, 2023, and 2022,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Sales and Marketing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 Advertising expenses, consisting of customer acquisition media costs, were $157.6 million, $145.3 million and $174.6 million for the years ended December 31, 2024, 2023, and 2022,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Technology and Development Expenses</w:t>
      </w:r>
    </w:p>
    <w:p>
      <w:pPr>
        <w:pStyle w:val="TextBody"/>
        <w:bidi w:val="0"/>
        <w:spacing w:lineRule="auto" w:line="288" w:before="120" w:after="120"/>
        <w:ind w:left="0" w:right="0" w:firstLine="450"/>
        <w:jc w:val="left"/>
        <w:rPr/>
      </w:pPr>
      <w:r>
        <w:rPr>
          <w:rFonts w:ascii="Work Sans;sans-serif" w:hAnsi="Work Sans;sans-serif"/>
          <w:b w:val="false"/>
          <w:color w:val="000000"/>
          <w:sz w:val="18"/>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 as previously described under </w:t>
      </w:r>
      <w:r>
        <w:rPr>
          <w:rFonts w:ascii="Work Sans;sans-serif" w:hAnsi="Work Sans;sans-serif"/>
          <w:b w:val="false"/>
          <w:i/>
          <w:color w:val="000000"/>
          <w:sz w:val="18"/>
        </w:rPr>
        <w:t>Internal-use Software and Cloud Computing Arrangements</w:t>
      </w:r>
      <w:r>
        <w:rPr>
          <w:rFonts w:ascii="Work Sans;sans-serif" w:hAnsi="Work Sans;sans-serif"/>
          <w:b w:val="false"/>
          <w:color w:val="000000"/>
          <w:sz w:val="18"/>
        </w:rPr>
        <w: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General and Administrative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estimate the fair value of employee stock-based payment awards on the grant-date and recognize the resulting fair value, net of estimated forfeitures, over the requisite service period. We use the Black-Scholes option pricing model for estimating the fair value of options granted under our stock option plans that vest based on service and performance conditions. The fair value of restricted stock units, or RSUs, that vest based on service and performance conditions is determined based on the value of the underlying common stock at the date of grant. For awards that contain market conditions, we estimate the fair value using a Monte Carlo simulation model. We record expense for awards that contain performance conditions only to the extent that we determine it is probable that the performance condition will be achieved. Expense for awards containing market conditions is not reversed even if the market condition is not achieved. We have elected to treat stock-based payment awards with graded vesting schedules and time-based service conditions as a single award and recognize stock-based compensation on a straight-line basis, net of estimated forfeitures, over the requisite service period. Awards with performance or market conditions are recognized using graded vesting.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Black-Scholes option pricing model and the Monte Carlo simulation model requires us to make certain assumptions including the fair value of the underlying common stock, the expected term, the expected stock price volatility, the risk-free interest rates and the dividend yield.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fair value of the shares of common stock underlying stock options and RSUs is based upon our publicly listed share price on the date of grant.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expected term of employee stock options represents the weighted-average period that the stock options are expected to remain outstanding. The expected term of options granted is estimated based upon actual historical exercise and post-vesting cancellations, adjusted for expected future exercise behavior. The expected term of restricted stock units is defined as the remaining term from the grant date to the end of the performance period.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our common stock has limited publicly traded history, we estimate the expected volatility from the historical volatility of selected public companies with comparable characteristics to us, including similarity in size, lines of business, market capitalization and revenue and financial leverage. We determine the expected volatility assumption using the frequency of daily historical prices of comparable public companies’ common stock for a period equal to the expected term of the options. We periodically assess the comparable companies and other relevant factors used to measure expected volatility for future stock option and restricted stock units with market conditions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3350"/>
                <wp:effectExtent l="0" t="0" r="0" b="0"/>
                <wp:wrapNone/>
                <wp:docPr id="75" name="Frame7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risk-free interest rate assumption is based upon observed interest rates on the U.S. government securities appropriate for the expected term of our stock options and restricted stock units with market conditions.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dividend yield assumption is based on our history and expectation of dividend payouts. We have not declared or paid any cash dividends on our common stock, and we do not anticipate paying any cash dividends in the foreseeable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Stock-based compensation expense is recognized based on awards that are ultimately expected to vest.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Forfeitures are estimated at the time of grant and revised, if necessary, in subsequent periods if actual forfeitures differ from those estimates. Forfeitures are estimated based on our historical experience and future expectations.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determination of stock-based compensation is inherently uncertain and subjective and involves the application of valuation models and assumptions requiring the use of judgment. If we had made different assumptions, our stock-based compensation expense, and our net income (loss) for the years ended December 31, 2024, 2023, and 2022 may have been materially different.</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Loss Contingencies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occasion we are involved in legal proceedings, claims, and regulatory, indirect tax examinations or government inquiries and investigations that may arise in the ordinary course of business. We record loss contingencies in our consolidated financial statements in the period when they are probable and reasonably estimable. If the amount is probable and we are able to reasonably estimate a range of loss, we accrue the amount that is the best estimate within that range, and if no amount is better than any other in the range, we record the amount at the low end in the range. We disclose those contingencies that we believe are at least reasonably possible but not probable regardless of whether they are reasonably estimable. The likelihood of a loss is determined using several factors including the nature of the matter, advice of our internal and external counsel, previous experience and historical and other relevant information available to us. The determination of the likelihood of loss or the range of loss requires significant management judgment. Legal fees and other costs associated with such actions are expensed as incurred.</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Deferred income tax assets and liabilities are measured using enacted tax rates anticipated to be in effect when those tax assets and liabilities are expected to be realized or settled. The effect of a change in tax rates on deferred tax assets and liabilities is recognized in the consolidated statements of operations in the period that includes the enactment date.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make judgments in evaluating whether deferred tax assets will be recovered from future taxable income.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 associated with estimates of future taxable income in assessing the need for a valuation allowance. If our assumptions and consequently our estimates, change in the future, the valuation allowance may be increased or decreased, resulting in an increase or decrease, which may be material, to our provision for income taxes and the related impact on our net income (loss).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tax benefits from an uncertain position only if it is more likely than not that the tax position will be sustained on examination by the taxing authorities, based on the technical merits. If this threshold is met, we measure the tax benefit as the largest amount of the benefit that is greater than fifty percent likely to be realized upon ultimate settlement. We recognize penalties and interest accrued with respect to uncertain tax positions as a component of the income tax provision. At December 31, 2024 and 2023, accrued penalties and interest related to uncertain tax positions were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Net Income (Loss)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Basic net income (loss) per share is calculated by dividing net income (loss) by the weighted-average number of shares of common stock outstanding, net of unvested restricted stock, if any, during the period. We compute diluted net income (loss) per share by dividing net income (loss) by the weighted-average number of shares of common stock outstanding, including dilutive common shares outstanding during the period. Dilutive shares outstanding include stock options, restricted stock units, and employee stock purchase plans, or ESPPs, computed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3350"/>
                <wp:effectExtent l="0" t="0" r="0" b="0"/>
                <wp:wrapNone/>
                <wp:docPr id="76" name="Frame7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2016, the Financial Standards Accounting Board, or FASB, issued Accounting Standards Update, or ASU,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which revises the impairment model to utilize an expected loss methodology in place of the currently used incurred loss methodology, and which results in more timely recognition of losses on financial instruments, including, but not limited to, available-for-sale debt securities and accounts receivable. We adopted ASU 2016-13 effective January 1, 2022.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August 2020, the FASB issued ASU 2020-06, </w:t>
      </w:r>
      <w:r>
        <w:rPr>
          <w:rFonts w:ascii="Work Sans;sans-serif" w:hAnsi="Work Sans;sans-serif"/>
          <w:b w:val="false"/>
          <w:i/>
          <w:color w:val="000000"/>
          <w:sz w:val="18"/>
        </w:rPr>
        <w:t>Debt—Debt with Conversion and Other Options (Subtopic 470-20) and Derivatives and Hedging—Contracts in Entity's Own Equity (Subtopic 815-40): Accounting for Convertible Instruments and Contracts in an Entity's Own Equity</w:t>
      </w:r>
      <w:r>
        <w:rPr>
          <w:rFonts w:ascii="Work Sans;sans-serif" w:hAnsi="Work Sans;sans-serif"/>
          <w:b w:val="false"/>
          <w:color w:val="000000"/>
          <w:sz w:val="18"/>
        </w:rPr>
        <w:t>. This standard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We adopted ASU 2020-06 on January 1, 2022 and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2022, the FASB issued ASU 2022-03, </w:t>
      </w:r>
      <w:r>
        <w:rPr>
          <w:rFonts w:ascii="Work Sans;sans-serif" w:hAnsi="Work Sans;sans-serif"/>
          <w:b w:val="false"/>
          <w:i/>
          <w:color w:val="000000"/>
          <w:sz w:val="18"/>
        </w:rPr>
        <w:t>Fair Value Measurement—Fair Value Measurement of Equity Securities Subject to Contractual Sale Restrictions (Topic 820)</w:t>
      </w:r>
      <w:r>
        <w:rPr>
          <w:rFonts w:ascii="Work Sans;sans-serif" w:hAnsi="Work Sans;sans-serif"/>
          <w:b w:val="false"/>
          <w:color w:val="000000"/>
          <w:sz w:val="18"/>
        </w:rPr>
        <w:t>, or ASU 2022-03,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early adopted ASU 2022-03 during the three months ended June 30,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FASB issued ASU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which requires that a buyer in a supplier finance program disclose qualitative and quantitative information about its supplier finance programs. We adopted ASU 2022-04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2023, the FASB issued ASU 2023-07, </w:t>
      </w:r>
      <w:r>
        <w:rPr>
          <w:rFonts w:ascii="Work Sans;sans-serif" w:hAnsi="Work Sans;sans-serif"/>
          <w:b w:val="false"/>
          <w:i/>
          <w:color w:val="000000"/>
          <w:sz w:val="18"/>
        </w:rPr>
        <w:t>Segment Reporting (Topic 280): Improvements to Reportable Segment Disclosures</w:t>
      </w:r>
      <w:r>
        <w:rPr>
          <w:rFonts w:ascii="Work Sans;sans-serif" w:hAnsi="Work Sans;sans-serif"/>
          <w:b w:val="false"/>
          <w:color w:val="000000"/>
          <w:sz w:val="18"/>
        </w:rPr>
        <w:t xml:space="preserve">,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We adopted ASU 2023-07 in 2024. Refer to Note 21 to our consolidated financial statements.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March 2024, the FASB issued ASU 2024-01, which clarifies how an entity determines whether a profits interest or similar award is a share-based payment arrangement that is within the scope of ASC 718, Compensation - Stock Compensation.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 profits interest and similar awards granted or modified on or after the date at which the entity first applies this accounting standard. We early adopted ASU 2024-01 effective January 1, 2024 and will apply the amendments prospectively to profits interest and similar awards granted or modified on or after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3350"/>
                <wp:effectExtent l="0" t="0" r="0" b="0"/>
                <wp:wrapNone/>
                <wp:docPr id="77" name="Frame7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2024.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2024, the FASB issued ASU 2024-02, </w:t>
      </w:r>
      <w:r>
        <w:rPr>
          <w:rFonts w:ascii="Work Sans;sans-serif" w:hAnsi="Work Sans;sans-serif"/>
          <w:b w:val="false"/>
          <w:i/>
          <w:color w:val="000000"/>
          <w:sz w:val="18"/>
        </w:rPr>
        <w:t>Codification Improvements</w:t>
      </w:r>
      <w:r>
        <w:rPr>
          <w:color w:val="000000"/>
        </w:rPr>
        <w:t xml:space="preserve"> </w:t>
      </w:r>
      <w:r>
        <w:rPr>
          <w:rFonts w:ascii="Work Sans;sans-serif" w:hAnsi="Work Sans;sans-serif"/>
          <w:b w:val="false"/>
          <w:color w:val="000000"/>
          <w:sz w:val="18"/>
        </w:rPr>
        <w:t>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early adopted ASU 2024-02 effective January 1, 2024 and will apply the amendments prospectively to all new transactions recognized on or after January 1, 2024. The adoption of this accounting standard did not have a material impact on our consolidated financial statements.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Accounting Pronouncements Not Yet Adopted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December 2023, the FASB issued ASU 2023-09, </w:t>
      </w:r>
      <w:r>
        <w:rPr>
          <w:rFonts w:ascii="Work Sans;sans-serif" w:hAnsi="Work Sans;sans-serif"/>
          <w:b w:val="false"/>
          <w:i/>
          <w:color w:val="000000"/>
          <w:sz w:val="18"/>
        </w:rPr>
        <w:t xml:space="preserve">Income Taxes (Topic 740): Improvements to Income Tax Disclosures, </w:t>
      </w:r>
      <w:r>
        <w:rPr>
          <w:rFonts w:ascii="Work Sans;sans-serif" w:hAnsi="Work Sans;sans-serif"/>
          <w:b w:val="false"/>
          <w:color w:val="000000"/>
          <w:sz w:val="18"/>
        </w:rPr>
        <w:t>which requires entities to disclose more detailed information in the reconciliation of their statutory tax rate to their effective tax rate. This accounting standard is effective for fiscal years beginning after December 15, 2024. ASU 2023-09 will be applied prospectively with an option for retroactive application to each period in the financial statements, and early adoption is permitted.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FASB issued ASU 2024-03, </w:t>
      </w:r>
      <w:r>
        <w:rPr>
          <w:rFonts w:ascii="Work Sans;sans-serif" w:hAnsi="Work Sans;sans-serif"/>
          <w:b w:val="false"/>
          <w:i/>
          <w:color w:val="000000"/>
          <w:sz w:val="18"/>
        </w:rPr>
        <w:t>Income Statement—Reporting Comprehensive Income—Expense Disaggregation Disclosures (Subtopic 220-40): Disaggregation of Income Statement Expenses</w:t>
      </w:r>
      <w:r>
        <w:rPr>
          <w:rFonts w:ascii="Work Sans;sans-serif" w:hAnsi="Work Sans;sans-serif"/>
          <w:b w:val="false"/>
          <w:color w:val="000000"/>
          <w:sz w:val="18"/>
        </w:rPr>
        <w:t xml:space="preserve">, which requires public business entities to disaggregate certain expense captions into specific categories in disclosures within the notes to the financial statements. As further clarified by ASU 2025-01, </w:t>
      </w:r>
      <w:r>
        <w:rPr>
          <w:rFonts w:ascii="Work Sans;sans-serif" w:hAnsi="Work Sans;sans-serif"/>
          <w:b w:val="false"/>
          <w:i/>
          <w:color w:val="000000"/>
          <w:sz w:val="18"/>
        </w:rPr>
        <w:t xml:space="preserve">Income Statement—Reporting Comprehensive Income—Expense Disaggregation Disclosures (Subtopic 220-40), </w:t>
      </w:r>
      <w:r>
        <w:rPr>
          <w:rFonts w:ascii="Work Sans;sans-serif" w:hAnsi="Work Sans;sans-serif"/>
          <w:b w:val="false"/>
          <w:color w:val="000000"/>
          <w:sz w:val="18"/>
        </w:rPr>
        <w:t>issued by FASB in January 2025, this accounting standard is effective for fiscal years beginning after December 15, 2026, and interim periods within fiscal years beginning after December 15, 2027. The amendments in ASU 2024-03 should be applied either prospectively or retrospectively to any or all prior periods presented in the financial statements, and early adoption is permitted.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2024, FASB issued ASU 2024-04, </w:t>
      </w:r>
      <w:r>
        <w:rPr>
          <w:rFonts w:ascii="Work Sans;sans-serif" w:hAnsi="Work Sans;sans-serif"/>
          <w:b w:val="false"/>
          <w:i/>
          <w:color w:val="000000"/>
          <w:sz w:val="18"/>
        </w:rPr>
        <w:t>Debt—Debt with Conversion and Other Options (Subtopic 470-20): Induced Conversions of Convertible Debt Instruments</w:t>
      </w:r>
      <w:r>
        <w:rPr>
          <w:rFonts w:ascii="Work Sans;sans-serif" w:hAnsi="Work Sans;sans-serif"/>
          <w:b w:val="false"/>
          <w:color w:val="000000"/>
          <w:sz w:val="18"/>
        </w:rPr>
        <w:t>,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Entities may apply the new guidance prospectively to settlements of convertible debt instruments that take place during annual reporting periods (and interim reporting periods within those annual reporting periods) beginning after the effective date of ASU 2024-04. Retrospective application may be elected as of the beginning of the first comparative reporting period in which the entity has also applied ASU 2020-06. We are currently evaluating the impact of the adoption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2320"/>
        <w:gridCol w:w="2027"/>
        <w:gridCol w:w="2034"/>
        <w:gridCol w:w="226"/>
        <w:gridCol w:w="706"/>
        <w:gridCol w:w="109"/>
        <w:gridCol w:w="109"/>
        <w:gridCol w:w="109"/>
        <w:gridCol w:w="109"/>
        <w:gridCol w:w="226"/>
        <w:gridCol w:w="706"/>
        <w:gridCol w:w="109"/>
        <w:gridCol w:w="109"/>
        <w:gridCol w:w="109"/>
        <w:gridCol w:w="109"/>
        <w:gridCol w:w="226"/>
        <w:gridCol w:w="706"/>
        <w:gridCol w:w="156"/>
      </w:tblGrid>
      <w:tr>
        <w:trPr/>
        <w:tc>
          <w:tcPr>
            <w:tcW w:w="232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2022</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(Less) add: allowance for credit losses recognized in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(7,969)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3350"/>
                <wp:effectExtent l="0" t="0" r="0" b="0"/>
                <wp:wrapNone/>
                <wp:docPr id="78" name="Frame7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7193" w:type="dxa"/>
        <w:jc w:val="left"/>
        <w:tblInd w:w="0" w:type="dxa"/>
        <w:tblLayout w:type="fixed"/>
        <w:tblCellMar>
          <w:top w:w="28" w:type="dxa"/>
          <w:left w:w="28" w:type="dxa"/>
          <w:bottom w:w="28" w:type="dxa"/>
          <w:right w:w="28" w:type="dxa"/>
        </w:tblCellMar>
      </w:tblPr>
      <w:tblGrid>
        <w:gridCol w:w="1631"/>
        <w:gridCol w:w="1433"/>
        <w:gridCol w:w="1435"/>
        <w:gridCol w:w="226"/>
        <w:gridCol w:w="826"/>
        <w:gridCol w:w="109"/>
        <w:gridCol w:w="109"/>
        <w:gridCol w:w="109"/>
        <w:gridCol w:w="109"/>
        <w:gridCol w:w="226"/>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7449" w:type="dxa"/>
        <w:jc w:val="left"/>
        <w:tblInd w:w="0" w:type="dxa"/>
        <w:tblLayout w:type="fixed"/>
        <w:tblCellMar>
          <w:top w:w="28" w:type="dxa"/>
          <w:left w:w="28" w:type="dxa"/>
          <w:bottom w:w="28" w:type="dxa"/>
          <w:right w:w="28" w:type="dxa"/>
        </w:tblCellMar>
      </w:tblPr>
      <w:tblGrid>
        <w:gridCol w:w="1722"/>
        <w:gridCol w:w="1514"/>
        <w:gridCol w:w="1519"/>
        <w:gridCol w:w="226"/>
        <w:gridCol w:w="826"/>
        <w:gridCol w:w="109"/>
        <w:gridCol w:w="109"/>
        <w:gridCol w:w="109"/>
        <w:gridCol w:w="109"/>
        <w:gridCol w:w="226"/>
        <w:gridCol w:w="82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December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sales allowances relating to charge-backs, sales credits and refunds consisted of the following (in thousands):</w:t>
      </w:r>
    </w:p>
    <w:tbl>
      <w:tblPr>
        <w:tblW w:w="6927" w:type="dxa"/>
        <w:jc w:val="left"/>
        <w:tblInd w:w="0" w:type="dxa"/>
        <w:tblLayout w:type="fixed"/>
        <w:tblCellMar>
          <w:top w:w="28" w:type="dxa"/>
          <w:left w:w="28" w:type="dxa"/>
          <w:bottom w:w="28" w:type="dxa"/>
          <w:right w:w="28" w:type="dxa"/>
        </w:tblCellMar>
      </w:tblPr>
      <w:tblGrid>
        <w:gridCol w:w="1124"/>
        <w:gridCol w:w="989"/>
        <w:gridCol w:w="992"/>
        <w:gridCol w:w="226"/>
        <w:gridCol w:w="706"/>
        <w:gridCol w:w="109"/>
        <w:gridCol w:w="109"/>
        <w:gridCol w:w="109"/>
        <w:gridCol w:w="109"/>
        <w:gridCol w:w="226"/>
        <w:gridCol w:w="706"/>
        <w:gridCol w:w="109"/>
        <w:gridCol w:w="109"/>
        <w:gridCol w:w="109"/>
        <w:gridCol w:w="109"/>
        <w:gridCol w:w="226"/>
        <w:gridCol w:w="70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increase in sales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utilization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8321" w:type="dxa"/>
        <w:jc w:val="left"/>
        <w:tblInd w:w="0" w:type="dxa"/>
        <w:tblLayout w:type="fixed"/>
        <w:tblCellMar>
          <w:top w:w="28" w:type="dxa"/>
          <w:left w:w="28" w:type="dxa"/>
          <w:bottom w:w="28" w:type="dxa"/>
          <w:right w:w="28" w:type="dxa"/>
        </w:tblCellMar>
      </w:tblPr>
      <w:tblGrid>
        <w:gridCol w:w="1499"/>
        <w:gridCol w:w="1315"/>
        <w:gridCol w:w="1325"/>
        <w:gridCol w:w="226"/>
        <w:gridCol w:w="826"/>
        <w:gridCol w:w="109"/>
        <w:gridCol w:w="109"/>
        <w:gridCol w:w="109"/>
        <w:gridCol w:w="109"/>
        <w:gridCol w:w="226"/>
        <w:gridCol w:w="826"/>
        <w:gridCol w:w="109"/>
        <w:gridCol w:w="109"/>
        <w:gridCol w:w="109"/>
        <w:gridCol w:w="109"/>
        <w:gridCol w:w="226"/>
        <w:gridCol w:w="82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Deferred revenue as of December 31, 2024 and 2023 was $175.0 million and $168.4 million, respectively. Revenue recognized in 2024, 2023 and 2022 that was included in deferred revenue at the beginning of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3350"/>
                <wp:effectExtent l="0" t="0" r="0" b="0"/>
                <wp:wrapNone/>
                <wp:docPr id="79" name="Frame7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was $168.0 million, $163.4 million and $146.6 million, respectively. We expect to recognize substantially all of the deferred revenue as of December 31, 2024 as revenue in 2025.</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Assets Held for Sale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September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December 31, 2024, the total carrying value of the assets held for sale remains at $22.7 million as follows (in thousands):</w:t>
      </w:r>
    </w:p>
    <w:tbl>
      <w:tblPr>
        <w:tblW w:w="5845" w:type="dxa"/>
        <w:jc w:val="left"/>
        <w:tblInd w:w="0" w:type="dxa"/>
        <w:tblLayout w:type="fixed"/>
        <w:tblCellMar>
          <w:top w:w="28" w:type="dxa"/>
          <w:left w:w="28" w:type="dxa"/>
          <w:bottom w:w="28" w:type="dxa"/>
          <w:right w:w="28" w:type="dxa"/>
        </w:tblCellMar>
      </w:tblPr>
      <w:tblGrid>
        <w:gridCol w:w="1237"/>
        <w:gridCol w:w="1084"/>
        <w:gridCol w:w="1098"/>
        <w:gridCol w:w="109"/>
        <w:gridCol w:w="109"/>
        <w:gridCol w:w="109"/>
        <w:gridCol w:w="392"/>
        <w:gridCol w:w="1437"/>
        <w:gridCol w:w="270"/>
      </w:tblGrid>
      <w:tr>
        <w:trPr/>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December 31, 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Land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estimated fair value less costs to sell the assets held for sale exceed their carrying values and hence no impairment was necessary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Acquisitions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Revvsales, Inc.</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2022, we completed an asset acquisition of Revvsales Inc, or Revv, consisting substantially of acquired developed technology for their self-service document automation and electronic signature platform. Revv’s proprietary technology enhanced our forms library and legal template offerings and has been leveraged to develop modern product experiences and services for small businesses. A purchase price of $6.6 million, which was subject to customary adjustments, was paid at closing and funded by our available cash on hand. The acquisition was accounted for as an asset acquisition because substantially all the value of the assets acquired were concentrated in the acquired technology. Revv’s operations have been included in our consolidated financial statements commencing on the acquisition date.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allocated the accumulated cost of the acquisition to the assets acquired based on their relative fair values. The accumulated cost of the acquisition included direct acquisition-related costs and applicable taxes. The estimated fair value of developed technology was $6.5 million and an assembled workforce of $0.1 million, which were determined by using a replacement cost approach. The replacement cost approach consists of developing an estimate of the current cost of a similar new asset having the nearest equivalent utility to the asset being valued. The developed technology rights and assembled workforce is amortized over a weighted-average period of three years by using the straight-line method.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Separate from the asset acquisition, up to $2.6 million was payable to certain of the sellers on the first and second anniversaries of the asset acquisition date as compensation for maintaining an assembled workforce. During each of the years ended December 31, 2024 and 2023, payments of $1.3 million were made to these sellers pursuant to the foregoing compensation arrangement.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United Agency Services, Corp.</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August 2022, we acquired certain assets and liabilities of United Agency Services, Corp., or UA Services, a company providing registered agent services and corporate compliance solutions for $3.5 million, of which $2.6 million was paid in cash on the acquisition date and up to $1.0 million was payable in cash within twelve months from the acquisition date based upon the achievement of certain earnout metrics. During the year ended December 31, 2023, we recorded a $0.8 million reduction in fair value of contingent consideration as a component of cost of revenue because the earnout metrics were not achieved. Furthermore, an additional payment of up to $0.4 million to the seller of UA Services was contingent on certain service conditions being met. This amount was excluded from the purchase consideration and was recorded as compensation expense in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acquisition was completed in order to build a more durable registered agency platform and has been accounted for as a business combination. The purchase price was allocated to the assets acquired and liabilities assumed. Goodwill of $3.3 million arising from the acquisition consisted largely of the assembled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3350"/>
                <wp:effectExtent l="0" t="0" r="0" b="0"/>
                <wp:wrapNone/>
                <wp:docPr id="80" name="Frame7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workforce and synergies expected from combining our operations. The acquired goodwill was deductible for tax purposes. There were no intangible assets acquired in connection with this acquisition. Acquisition costs related to this transaction of approximately $0.4 million were expensed as incurred and are included in general and administrative expenses in the accompanying consolidated statements of operations during the year ended December 31,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revenue and earnings of the acquired business were included in our results of operations since the acquisition date and were not material to the consolidated financial results for the year ended December 31, 2022. Pro forma revenues and results of operations for this acquisition are not presented as the impact on our consolidated financial statements for the year ended December 31, 2022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Investments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Available-for-sale Debt Security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2019, we invested in Legal Vision Pty Ltd., or Legal Vision, an Australian proprietary limited company that provides online legal services to small and medium size businesses, through the purchase of a convertible promissory note for a total of Australian Dollar, or AUD, $1.0 million (USD $0.7 million). The convertible promissory note has a maturity term of ten years, which is convertible into Legal Vision’s common stock. The underlying conversion feature is automatically exercisable upon an exit event including an IPO, merger or sale, upon a new financing round, or at our election. At December 31, 2024, we do not hold any equity interests or in-substance common stock in Legal Vision, and accordingly, we have classified the convertible promissory note as an investment in an available-for-sale debt security in the accompanying consolidated balance sheets.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the convertible promissory note is based on unobservable inputs that are categorized as Level 3 in the fair value hierarchy. We determined that the conversion option on the Legal Vision convertible promissory note will not have material value until Legal Vision executes on its business plans to drive growth, which consequently will drive the fair value of the associated conversion option in excess of the carrying value of the convertible promissory note. Accordingly, the fair value of the convertible debt approximated its carrying value as of December 31, 2024 and 2023. At December 31, 2024 and 2023, the fair value of our available-for-sale debt security in Legal Vision was AUD $2.2 million (USD $1.4 million) and AUD $1.7 million (USD $1.2 million), respectively, with the change due to fair value adjustments during the period. In 2024, key assumptions used in the Monte Carlo simulation model to determine the fair value of the convertible promissory note in Legal Vision were: expected term of 4.3 years, risk-free rate of 3.9% and volatility of 55%. The increase in fair value was recognized in other comprehensive income for the year ended December 31, 2024.</w:t>
      </w:r>
    </w:p>
    <w:p>
      <w:pPr>
        <w:pStyle w:val="TextBody"/>
        <w:bidi w:val="0"/>
        <w:spacing w:lineRule="auto" w:line="288" w:before="120" w:after="120"/>
        <w:ind w:left="0" w:right="0" w:firstLine="450"/>
        <w:jc w:val="left"/>
        <w:rPr/>
      </w:pPr>
      <w:r>
        <w:rPr>
          <w:rFonts w:ascii="Work Sans;sans-serif" w:hAnsi="Work Sans;sans-serif"/>
          <w:b w:val="false"/>
          <w:color w:val="000000"/>
          <w:sz w:val="18"/>
        </w:rPr>
        <w:t>Since the Legal Vision convertible promissory note has a contractual maturity date that exceeds</w:t>
      </w:r>
      <w:r>
        <w:rPr>
          <w:color w:val="000000"/>
        </w:rPr>
        <w:t xml:space="preserve"> </w:t>
      </w:r>
      <w:r>
        <w:rPr>
          <w:rFonts w:ascii="Work Sans;sans-serif" w:hAnsi="Work Sans;sans-serif"/>
          <w:b w:val="false"/>
          <w:color w:val="000000"/>
          <w:sz w:val="18"/>
        </w:rPr>
        <w:t>one year and we do not intend to liquidate in the next twelve months, we have classified the convertible promissory note as a noncurrent available-for-sale debt security in the accompanying consolidated balance sheets as of December 31, 2024 and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hold an equity investment in LawPath, Pty Ltd, or LawPath, an Australian proprietary limited company that provides an online legal platform to individuals and small and medium size businesses. In October 2021, we invested an additional AUD $1.5 million (USD $1.1 million). The change in fair value, due to an orderly transaction, in our other equity securities was $1.8 million for the year ended December 31, 2021, which was recognized in other income (expense), net in our consolidated statements of operations. At both December 31, 2024 and 2023 the carrying amount of our investment in LawPath was $4.4 million. The investment in LawPath does not have a readily determinable fair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December 2018, we purchased shares of Class C nonvoting common units in Mylo, LLC, or Mylo, a digital insurance broker that services small and medium size businesses, for $3.0 million, resulting in a 4% interest in Mylo. In December 2022, we fully impaired our investment in Mylo and incurred a loss of $3.0 million as the fair value of our investment was determined to be zero based upon an observable sale of their common equity. Therefore, we recognized an impairment of $3.0 million in our consolidated statements of operations during the year ended December 31, 2022.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other impairments of our investments during the years ended December 31, 2024, 2023, and 2022. At December 31, 2024 and 2023, the carrying value of these investments is included in other assets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3350"/>
                <wp:effectExtent l="0" t="0" r="0" b="0"/>
                <wp:wrapNone/>
                <wp:docPr id="81" name="Frame8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Property and Equipment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Property and equipment, net, consisted of the following (in thousands):</w:t>
      </w:r>
    </w:p>
    <w:tbl>
      <w:tblPr>
        <w:tblW w:w="7404" w:type="dxa"/>
        <w:jc w:val="left"/>
        <w:tblInd w:w="0" w:type="dxa"/>
        <w:tblLayout w:type="fixed"/>
        <w:tblCellMar>
          <w:top w:w="28" w:type="dxa"/>
          <w:left w:w="28" w:type="dxa"/>
          <w:bottom w:w="28" w:type="dxa"/>
          <w:right w:w="28" w:type="dxa"/>
        </w:tblCellMar>
      </w:tblPr>
      <w:tblGrid>
        <w:gridCol w:w="1662"/>
        <w:gridCol w:w="1462"/>
        <w:gridCol w:w="1466"/>
        <w:gridCol w:w="226"/>
        <w:gridCol w:w="946"/>
        <w:gridCol w:w="109"/>
        <w:gridCol w:w="109"/>
        <w:gridCol w:w="109"/>
        <w:gridCol w:w="109"/>
        <w:gridCol w:w="226"/>
        <w:gridCol w:w="82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Internal-use software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Purchased software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Furniture and office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Computer hardware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Leasehold improvements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cost of property and equipment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103,645 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Less: accumulated 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related to property and equipment was $29.8 million, $20.2 million and $18.2 million for 2024, 2023 and 2022,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and 2023 accumulated amortization in connection with internal-use software costs was $68.0 million and $47.6 million, respectively. In 2024, 2023 and 2022, we recorded amortization expense of $27.6 million, $17.6 million and $14.6 million, respectively, in connection with these costs. In 2024, 2023 and 2022 we capitalized internal-use software development costs of $40.4 million, $35.0 million and $21.4 million respectively. In 2024, 2023 and 2022, no software development costs were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conduct operations from certain leased facilities in various locations. At December 31, 2024, we had various non-cancelable operating leases for office space and equipment, which expire between June 2025, and February 2033, and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Operating lease liabilities on our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Leases consist of the following (in thousands):</w:t>
      </w:r>
    </w:p>
    <w:tbl>
      <w:tblPr>
        <w:tblW w:w="9258" w:type="dxa"/>
        <w:jc w:val="left"/>
        <w:tblInd w:w="0" w:type="dxa"/>
        <w:tblLayout w:type="fixed"/>
        <w:tblCellMar>
          <w:top w:w="28" w:type="dxa"/>
          <w:left w:w="28" w:type="dxa"/>
          <w:bottom w:w="28" w:type="dxa"/>
          <w:right w:w="28" w:type="dxa"/>
        </w:tblCellMar>
      </w:tblPr>
      <w:tblGrid>
        <w:gridCol w:w="683"/>
        <w:gridCol w:w="599"/>
        <w:gridCol w:w="608"/>
        <w:gridCol w:w="109"/>
        <w:gridCol w:w="109"/>
        <w:gridCol w:w="109"/>
        <w:gridCol w:w="1418"/>
        <w:gridCol w:w="1418"/>
        <w:gridCol w:w="1424"/>
        <w:gridCol w:w="109"/>
        <w:gridCol w:w="109"/>
        <w:gridCol w:w="109"/>
        <w:gridCol w:w="226"/>
        <w:gridCol w:w="706"/>
        <w:gridCol w:w="109"/>
        <w:gridCol w:w="109"/>
        <w:gridCol w:w="109"/>
        <w:gridCol w:w="109"/>
        <w:gridCol w:w="226"/>
        <w:gridCol w:w="70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 xml:space="preserve">Classification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2023</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Work Sans;sans-serif" w:hAnsi="Work Sans;sans-serif"/>
                <w:b w:val="false"/>
                <w:color w:val="000000"/>
                <w:sz w:val="18"/>
              </w:rPr>
            </w:pPr>
            <w:r>
              <w:rPr>
                <w:rFonts w:ascii="Work Sans;sans-serif" w:hAnsi="Work Sans;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3350"/>
                <wp:effectExtent l="0" t="0" r="0" b="0"/>
                <wp:wrapNone/>
                <wp:docPr id="82" name="Frame8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the maturities of our remaining operating lease were as follows (in thousands, except years and percentages):</w:t>
      </w:r>
    </w:p>
    <w:tbl>
      <w:tblPr>
        <w:tblW w:w="9671" w:type="dxa"/>
        <w:jc w:val="left"/>
        <w:tblInd w:w="0" w:type="dxa"/>
        <w:tblLayout w:type="fixed"/>
        <w:tblCellMar>
          <w:top w:w="28" w:type="dxa"/>
          <w:left w:w="28" w:type="dxa"/>
          <w:bottom w:w="28" w:type="dxa"/>
          <w:right w:w="28" w:type="dxa"/>
        </w:tblCellMar>
      </w:tblPr>
      <w:tblGrid>
        <w:gridCol w:w="2536"/>
        <w:gridCol w:w="2236"/>
        <w:gridCol w:w="2262"/>
        <w:gridCol w:w="109"/>
        <w:gridCol w:w="109"/>
        <w:gridCol w:w="109"/>
        <w:gridCol w:w="343"/>
        <w:gridCol w:w="1074"/>
        <w:gridCol w:w="412"/>
        <w:gridCol w:w="109"/>
        <w:gridCol w:w="109"/>
        <w:gridCol w:w="109"/>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1,916 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8,784 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Effects of discounting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7,879 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1,861 </w:t>
            </w:r>
          </w:p>
        </w:tc>
        <w:tc>
          <w:tcPr>
            <w:tcW w:w="4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6,018 </w:t>
            </w:r>
          </w:p>
        </w:tc>
        <w:tc>
          <w:tcPr>
            <w:tcW w:w="4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2024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remaining lease term as of December 31, 2023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Weighted-average incremental borrowing rate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4.51 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component of our lease costs included in our consolidated statements of operations were as follows (in thousands):</w:t>
      </w:r>
    </w:p>
    <w:tbl>
      <w:tblPr>
        <w:tblW w:w="5669" w:type="dxa"/>
        <w:jc w:val="left"/>
        <w:tblInd w:w="0" w:type="dxa"/>
        <w:tblLayout w:type="fixed"/>
        <w:tblCellMar>
          <w:top w:w="28" w:type="dxa"/>
          <w:left w:w="28" w:type="dxa"/>
          <w:bottom w:w="28" w:type="dxa"/>
          <w:right w:w="28" w:type="dxa"/>
        </w:tblCellMar>
      </w:tblPr>
      <w:tblGrid>
        <w:gridCol w:w="710"/>
        <w:gridCol w:w="625"/>
        <w:gridCol w:w="629"/>
        <w:gridCol w:w="226"/>
        <w:gridCol w:w="706"/>
        <w:gridCol w:w="109"/>
        <w:gridCol w:w="109"/>
        <w:gridCol w:w="109"/>
        <w:gridCol w:w="109"/>
        <w:gridCol w:w="226"/>
        <w:gridCol w:w="706"/>
        <w:gridCol w:w="109"/>
        <w:gridCol w:w="109"/>
        <w:gridCol w:w="109"/>
        <w:gridCol w:w="109"/>
        <w:gridCol w:w="353"/>
        <w:gridCol w:w="353"/>
        <w:gridCol w:w="263"/>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cost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cost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2,384 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variable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Finance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lease cost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2,651 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Goodwill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changes in goodwill for 2024 and 2023 were as follows (in thousands):</w:t>
      </w:r>
    </w:p>
    <w:tbl>
      <w:tblPr>
        <w:tblW w:w="4671" w:type="dxa"/>
        <w:jc w:val="left"/>
        <w:tblInd w:w="0" w:type="dxa"/>
        <w:tblLayout w:type="fixed"/>
        <w:tblCellMar>
          <w:top w:w="28" w:type="dxa"/>
          <w:left w:w="28" w:type="dxa"/>
          <w:bottom w:w="28" w:type="dxa"/>
          <w:right w:w="28" w:type="dxa"/>
        </w:tblCellMar>
      </w:tblPr>
      <w:tblGrid>
        <w:gridCol w:w="1256"/>
        <w:gridCol w:w="1103"/>
        <w:gridCol w:w="1106"/>
        <w:gridCol w:w="226"/>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Amount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 currency translation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2023</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8"/>
              </w:rPr>
            </w:pPr>
            <w:r>
              <w:rPr>
                <w:rFonts w:ascii="Work Sans;sans-serif" w:hAnsi="Work Sans;sans-serif"/>
                <w:b/>
                <w:color w:val="000000"/>
                <w:sz w:val="18"/>
              </w:rPr>
              <w:t>Balance as of December 31, 2024</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year ended December 31, 2024, there were no changes to the goodwill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3350"/>
                <wp:effectExtent l="0" t="0" r="0" b="0"/>
                <wp:wrapNone/>
                <wp:docPr id="83" name="Frame8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Intangible Assets,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606"/>
        <w:gridCol w:w="497"/>
        <w:gridCol w:w="499"/>
        <w:gridCol w:w="109"/>
        <w:gridCol w:w="109"/>
        <w:gridCol w:w="109"/>
        <w:gridCol w:w="1020"/>
        <w:gridCol w:w="1020"/>
        <w:gridCol w:w="1023"/>
        <w:gridCol w:w="109"/>
        <w:gridCol w:w="109"/>
        <w:gridCol w:w="109"/>
        <w:gridCol w:w="504"/>
        <w:gridCol w:w="382"/>
        <w:gridCol w:w="384"/>
        <w:gridCol w:w="109"/>
        <w:gridCol w:w="109"/>
        <w:gridCol w:w="109"/>
        <w:gridCol w:w="733"/>
        <w:gridCol w:w="381"/>
        <w:gridCol w:w="385"/>
        <w:gridCol w:w="109"/>
        <w:gridCol w:w="109"/>
        <w:gridCol w:w="109"/>
        <w:gridCol w:w="672"/>
        <w:gridCol w:w="324"/>
        <w:gridCol w:w="467"/>
      </w:tblGrid>
      <w:tr>
        <w:trPr/>
        <w:tc>
          <w:tcPr>
            <w:tcW w:w="6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21"/>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Work Sans;sans-serif" w:hAnsi="Work Sans;sans-serif"/>
                <w:b/>
                <w:color w:val="000000"/>
                <w:sz w:val="18"/>
              </w:rPr>
              <w:t>As of December 31,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Remaining 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5,007</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3,615</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8,653</w:t>
            </w:r>
          </w:p>
        </w:tc>
      </w:tr>
    </w:tbl>
    <w:tbl>
      <w:tblPr>
        <w:tblW w:w="10205" w:type="dxa"/>
        <w:jc w:val="left"/>
        <w:tblInd w:w="0" w:type="dxa"/>
        <w:tblLayout w:type="fixed"/>
        <w:tblCellMar>
          <w:top w:w="28" w:type="dxa"/>
          <w:left w:w="28" w:type="dxa"/>
          <w:bottom w:w="28" w:type="dxa"/>
          <w:right w:w="28" w:type="dxa"/>
        </w:tblCellMar>
      </w:tblPr>
      <w:tblGrid>
        <w:gridCol w:w="604"/>
        <w:gridCol w:w="495"/>
        <w:gridCol w:w="497"/>
        <w:gridCol w:w="109"/>
        <w:gridCol w:w="109"/>
        <w:gridCol w:w="109"/>
        <w:gridCol w:w="1014"/>
        <w:gridCol w:w="1014"/>
        <w:gridCol w:w="1017"/>
        <w:gridCol w:w="109"/>
        <w:gridCol w:w="109"/>
        <w:gridCol w:w="109"/>
        <w:gridCol w:w="504"/>
        <w:gridCol w:w="382"/>
        <w:gridCol w:w="384"/>
        <w:gridCol w:w="109"/>
        <w:gridCol w:w="109"/>
        <w:gridCol w:w="109"/>
        <w:gridCol w:w="733"/>
        <w:gridCol w:w="381"/>
        <w:gridCol w:w="385"/>
        <w:gridCol w:w="109"/>
        <w:gridCol w:w="109"/>
        <w:gridCol w:w="109"/>
        <w:gridCol w:w="672"/>
        <w:gridCol w:w="335"/>
        <w:gridCol w:w="480"/>
      </w:tblGrid>
      <w:tr>
        <w:trPr/>
        <w:tc>
          <w:tcPr>
            <w:tcW w:w="6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2023</w:t>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Remaining 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Carrying</w:t>
              <w:br/>
              <w:t>Amount</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6,774</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6,869</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Assembled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2024, 2023 and 2022, we recorded amortization expense of $5.1 million, $5.2 million and $3.5 million, respectively.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estimated future intangible assets amortization expense was as follows (in thousands):</w:t>
      </w:r>
    </w:p>
    <w:tbl>
      <w:tblPr>
        <w:tblW w:w="4247" w:type="dxa"/>
        <w:jc w:val="left"/>
        <w:tblInd w:w="0" w:type="dxa"/>
        <w:tblLayout w:type="fixed"/>
        <w:tblCellMar>
          <w:top w:w="28" w:type="dxa"/>
          <w:left w:w="28" w:type="dxa"/>
          <w:bottom w:w="28" w:type="dxa"/>
          <w:right w:w="28" w:type="dxa"/>
        </w:tblCellMar>
      </w:tblPr>
      <w:tblGrid>
        <w:gridCol w:w="1205"/>
        <w:gridCol w:w="1060"/>
        <w:gridCol w:w="1065"/>
        <w:gridCol w:w="226"/>
        <w:gridCol w:w="286"/>
        <w:gridCol w:w="405"/>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color w:val="000000"/>
                <w:sz w:val="18"/>
              </w:rPr>
            </w:pPr>
            <w:r>
              <w:rPr>
                <w:rFonts w:ascii="Work Sans;sans-serif" w:hAnsi="Work Sans;sans-serif"/>
                <w:b/>
                <w:color w:val="000000"/>
                <w:sz w:val="18"/>
              </w:rPr>
              <w:t>For Years Ending December 31,</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4,510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2026</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2027</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1,473</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future amortization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Long-term Debt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3350"/>
                <wp:effectExtent l="0" t="0" r="0" b="0"/>
                <wp:wrapNone/>
                <wp:docPr id="84" name="Frame8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interest rate margins under the 2021 Revolving Facility are subject to one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one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December 31, 2024 and 2023, we had no amounts outstanding under our 2021 Revolving Facility or any outstanding letters of credit. We were in compliance with all financial covenants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indeterminable.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Stockholders’ Equity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March 1, 2022, our board of directors approved a stock repurchase program, or 2022 stock repurchase program, authorizing us to repurchase up to $150.0 million of our common stock, with no fixed expiration. In September 2023, we repurchased a total of 4,718,755 shares of our common stock for a total repurchase of $45.1 million directly from a selling stockholder, who was a related party due to the selling stockholder’s then-ownership of our common stock, in a private, non-underwritten transaction at a price of $9.55 per share, which was equal to the price paid by the underwriters to the selling stockholder in a concurrent secondary public offering. The repurchase was recorded as a reduction to stockholders' equity. Upon this repurchase, no further repurchases were available under our 2022 stock repurchase program. The secondary offering of 16,100,000 shares of our common stock by a selling stockholder was completed at a price to the public of $10.00 per share before underwriting discounts and commissions. All direct and incremental costs incurred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3350"/>
                <wp:effectExtent l="0" t="0" r="0" b="0"/>
                <wp:wrapNone/>
                <wp:docPr id="85" name="Frame8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connection with the secondary offering were expensed because we did not receive any proceeds from the sale of shares of common stock in the secondary offering.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2023, a selling stockholder, who was a related party due to the selling stockholder’s then-ownership in our common stock, sold 15,099,993 shares of our common stock in an underwritten public offering. We did not offer any shares of common stock in this secondary offering and did not receive any proceeds from the sale of shares of common stock by the selling stockholder. All direct and incremental costs incurred in connection with the secondary offering were expensed because we did not receive any proceeds from the sale of shares of common stock in the secondary offering.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October 2023, our board of directors approved a new stock repurchase program, or 2023 stock repurchase program, authorizing repurchases of up to $100.0 million of our common stock, with no fixed expiration. In May 2024, our board of directors approved a $75.0 million increase in the 2023 stock repurchase program, bringing the aggregate amount authorized to $175.0 million. In November 2024, our board of directors approved an additional $40.0 million increase in the stock repurchase program, bringing the aggregate amount authorized to $215.0 million. Both the 2023 stock repurchase program and the 2022 stock repurchase program authorized us to repurchase our common stock through any manner, including open market transactions, accelerated stock repurchase agreements, or in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also, from time to time, entered and may enter into Rule 10b5-1 plans to facilitate repurchases of our shares of common stock under this authorization. Neither the 2023 stock repurchase program nor the 2022 stock repurchase program obligated us to acquire any particular amount of common stock and each could be modified, suspended or terminated at any time at the discretion of our board of directors.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year ended December 31, 2024, we repurchased a total of 19,228,082 shares of our common stock through open market purchases using Rule 10b5-1 plans at an average per share price of $8.58 for a total repurchase of $165.0 million including broker commission. During the year ended December 31, 2023, we repurchased a total of 5,867,835 shares of our common stock through open market purchases and in the above private, non-underwritten transaction, at an average per share price of $9.35 for a total repurchase of $54.9 million including broker commission. The repurchases were recorded as a reduction to our accumulated deficit in the accompanying consolidated statements of stockholders’ equity.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Due to the fair market value of stock repurchases exceeding the fair market value of stock issuances during the years ended December 31, 2024, and 2023, we recognized excise tax liability of $1.2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3350"/>
                <wp:effectExtent l="0" t="0" r="0" b="0"/>
                <wp:wrapNone/>
                <wp:docPr id="86" name="Frame8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14.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Equity Incentive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June 2021, our board of directors adopted our 2021 Equity Incentive Plan, or 2021 Plan. All equity-based awards going forward are granted under the 2021 Plan. An aggregate of 18,946,871 shares of our common stock were reserved for issuance under our 2021 Plan, as well as any future automatic annual increases in the number of shares of common stock reserved for issuance under our 2021 Plan.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terms of the 2021 Plan, both incentive and nonqualified stock options could be granted with exercise prices not less than the fair market value of our common stock on the date of grant. Options granted pursuant to the 2021 Plan will vest at the rate specified in the stock option agreement. Under the 2021 Plan, if an option holder’s service relationship with us or any of our affiliates ceases for any reason other than disability, death, or cause, the option holder may generally exercise any vested options for a period of three months following the cessation of service. If under our 2021 Plan, shares subject to stock option awards expire or terminate without being exercised in full or are paid out in cash rather than in shares, such stock options will not reduce the number of shares available for issuance under our 2021 Plan. Our policy is to issue new common stock upon the exercise of stock options. Shares withheld under a stock option award to satisfy the exercise, strike or purchase price of such award or to satisfy a tax withholding obligation will not reduce the number of shares available for issuance under our 2021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Under the 2021 Plan, RSU awards are granted under RSU award agreements approved by the administrator. RSU awards may be granted for any form of legal consideration that may be acceptable to our board of directors and permissible under applicable law. An RSU award may be settled by cash, delivery of stock, a combination of cash and stock as deemed appropriate by the administrator, or in any other form of consideration set forth in the RSU award agreement. Additionally, dividend equivalents may be credited in respect of shares covered by a RSU award. Except as otherwise provided in the applicable award agreement, or other written agreement between us and the recipient, RSU awards that have not vested will be forfeited once the participant’s continuous service ends for any reason.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Employee Stock Purchase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June 2021, our board of directors adopted our 2021 Employee Stock Purchase Plan, or 2021 ESPP. We authorized the issuance of 3,552,538 shares of common stock under the 2021 ESPP, as well as any future automatic annual increases in the number of shares of common stock reserved for issuance under our 2021 Employee Stock Purchase Plan. Our 2021 ESPP is implemented through a series of offerings under which eligible employees are granted rights to purchase shares of our common stock on specified dates during such offerings at a discounted price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2021 ESPP, our employees may purchase common stock through payroll deductions at a price equal to 85% of the lower of the fair market value of the stock at the beginning of the offering period or at the end of each applicable purchase period. The 2021 ESPP generally provides for offering periods of six months in duration with purchase periods ending on either May 15 or November 15. Contributions under the 2021 ESPP are limited to a maximum of 15% of an employee’s eligible compensation. Purchases under the 2021 ESPP are settled with common stock from the 2021 ESPP’s previously-authorized and available pool of shares. The stock-based compensation expense incurred in connection with the 2021 ESPP in 2024, 2023 and 2022 was $0.4 million, $0.7 million and $0.7 million, respectively.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2016 Stock Option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the adoption of the 2021 Plan, we granted stock options under our 2016 Stock Incentive Plan, or 2016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Under the terms of the 2016 Plan, both incentive and nonqualified stock options were granted with exercise prices not less than the fair value of the underlying common stock on the date of grant. Options granted pursuant to the 2016 Plan vest over periods of up to five years and expire ten years from the grant date. If a 2016 Plan option expires and is not exercised, such as if an employee does not exercise vested 2016 Plan options within thirty days of termination, then these options would revert back to the 2016 Plan’s option pool.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exercise price of all options granted was based on the estimated fair market value of our common stock as determined by the board of directors at the date of grant or date of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3350"/>
                <wp:effectExtent l="0" t="0" r="0" b="0"/>
                <wp:wrapNone/>
                <wp:docPr id="87" name="Frame8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consolidated statements of operations and balance sheets (in thousands):</w:t>
      </w:r>
    </w:p>
    <w:tbl>
      <w:tblPr>
        <w:tblW w:w="8232" w:type="dxa"/>
        <w:jc w:val="left"/>
        <w:tblInd w:w="0" w:type="dxa"/>
        <w:tblLayout w:type="fixed"/>
        <w:tblCellMar>
          <w:top w:w="28" w:type="dxa"/>
          <w:left w:w="28" w:type="dxa"/>
          <w:bottom w:w="28" w:type="dxa"/>
          <w:right w:w="28" w:type="dxa"/>
        </w:tblCellMar>
      </w:tblPr>
      <w:tblGrid>
        <w:gridCol w:w="1467"/>
        <w:gridCol w:w="1287"/>
        <w:gridCol w:w="1296"/>
        <w:gridCol w:w="226"/>
        <w:gridCol w:w="826"/>
        <w:gridCol w:w="109"/>
        <w:gridCol w:w="109"/>
        <w:gridCol w:w="109"/>
        <w:gridCol w:w="109"/>
        <w:gridCol w:w="226"/>
        <w:gridCol w:w="826"/>
        <w:gridCol w:w="109"/>
        <w:gridCol w:w="109"/>
        <w:gridCol w:w="109"/>
        <w:gridCol w:w="109"/>
        <w:gridCol w:w="226"/>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option activity for the year ended December 31, 2024 is as follows (in thousands, except weighted-average exercise price and remaining contract life):</w:t>
      </w:r>
    </w:p>
    <w:tbl>
      <w:tblPr>
        <w:tblW w:w="10205" w:type="dxa"/>
        <w:jc w:val="left"/>
        <w:tblInd w:w="0" w:type="dxa"/>
        <w:tblLayout w:type="fixed"/>
        <w:tblCellMar>
          <w:top w:w="28" w:type="dxa"/>
          <w:left w:w="28" w:type="dxa"/>
          <w:bottom w:w="28" w:type="dxa"/>
          <w:right w:w="28" w:type="dxa"/>
        </w:tblCellMar>
      </w:tblPr>
      <w:tblGrid>
        <w:gridCol w:w="1557"/>
        <w:gridCol w:w="1366"/>
        <w:gridCol w:w="1370"/>
        <w:gridCol w:w="413"/>
        <w:gridCol w:w="413"/>
        <w:gridCol w:w="396"/>
        <w:gridCol w:w="109"/>
        <w:gridCol w:w="109"/>
        <w:gridCol w:w="109"/>
        <w:gridCol w:w="254"/>
        <w:gridCol w:w="794"/>
        <w:gridCol w:w="123"/>
        <w:gridCol w:w="109"/>
        <w:gridCol w:w="109"/>
        <w:gridCol w:w="109"/>
        <w:gridCol w:w="435"/>
        <w:gridCol w:w="435"/>
        <w:gridCol w:w="436"/>
        <w:gridCol w:w="109"/>
        <w:gridCol w:w="109"/>
        <w:gridCol w:w="109"/>
        <w:gridCol w:w="230"/>
        <w:gridCol w:w="843"/>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Weighted-</w:t>
              <w:br/>
              <w:t>Average</w:t>
              <w:br/>
              <w:t>Remaining</w:t>
              <w:br/>
              <w:t>Contractual</w:t>
              <w:br/>
              <w:t>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Aggregate</w:t>
              <w:br/>
              <w:t>Intrinsic</w:t>
              <w:br/>
              <w:t>Value</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20,486 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(2,231)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(2,672)</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Outstanding at December 31,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15,194 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Vested and expected to vest at December 31, 2024</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15,194 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Exercisable at December 31, 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13,948 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aggregate intrinsic values in the table above represents the difference, if any, between the fair value per share of our common stock and the option exercise prices multiplied by the number of options at the respective balance sheet dates. The total intrinsic value of stock options exercised in 2024, 2023 and 2022 was $3.5 million, $2.2 million and $3.9 million, respectively. During the years ended December 31, 2024, 2023, and 2022, the Company recorded stock-based compensation expense related to stock option awards of $5.4 million, $22.0 million, and $40.1 million, respectively. At December 31, 2024, total remaining stock-based compensation expense for unvested stock options was $5.7 million, which is expected to be recognized over a weighted-average period of 1.8 years.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weighted-average grant-date fair value per share of options granted using the Black-Scholes option pricing model for 2023 and 2022 was $4.40 and $6.61, respectively. We did not grant any stock options in 2024. There was a $3.1 million tax benefit for tax deductions from stock options exercised in 2024. There was no tax benefit for 2023, and a realized tax benefit of $2.6 million for tax deductions from stock options exercised in 2022. All tax effects related to stock-based compensation have been recorded in our provision for income taxes in the accompanying consolidated statements of operations. Vesting of the options granted to the members of our senior leadership team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 acquiring entity (or its parent) in connection with such change-in-control.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3350"/>
                <wp:effectExtent l="0" t="0" r="0" b="0"/>
                <wp:wrapNone/>
                <wp:docPr id="88" name="Frame8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weighted-average assumptions that were used to calculate the grant-date fair value of our stock option grants using the Black-Scholes option pricing model were as follows:</w:t>
      </w:r>
    </w:p>
    <w:tbl>
      <w:tblPr>
        <w:tblW w:w="5915" w:type="dxa"/>
        <w:jc w:val="left"/>
        <w:tblInd w:w="0" w:type="dxa"/>
        <w:tblLayout w:type="fixed"/>
        <w:tblCellMar>
          <w:top w:w="28" w:type="dxa"/>
          <w:left w:w="28" w:type="dxa"/>
          <w:bottom w:w="28" w:type="dxa"/>
          <w:right w:w="28" w:type="dxa"/>
        </w:tblCellMar>
      </w:tblPr>
      <w:tblGrid>
        <w:gridCol w:w="830"/>
        <w:gridCol w:w="731"/>
        <w:gridCol w:w="734"/>
        <w:gridCol w:w="109"/>
        <w:gridCol w:w="109"/>
        <w:gridCol w:w="460"/>
        <w:gridCol w:w="460"/>
        <w:gridCol w:w="460"/>
        <w:gridCol w:w="255"/>
        <w:gridCol w:w="255"/>
        <w:gridCol w:w="255"/>
        <w:gridCol w:w="255"/>
        <w:gridCol w:w="255"/>
        <w:gridCol w:w="74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20"/>
              </w:rPr>
            </w:pPr>
            <w:r>
              <w:rPr>
                <w:rFonts w:ascii="Work Sans;sans-serif" w:hAnsi="Work Sans;sans-serif"/>
                <w:b w:val="false"/>
                <w:color w:val="000000"/>
                <w:sz w:val="20"/>
              </w:rPr>
              <w:t>3.4%-3.8%</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20"/>
              </w:rPr>
            </w:pPr>
            <w:r>
              <w:rPr>
                <w:rFonts w:ascii="Work Sans;sans-serif" w:hAnsi="Work Sans;sans-serif"/>
                <w:b w:val="false"/>
                <w:color w:val="000000"/>
                <w:sz w:val="20"/>
              </w:rPr>
              <w:t>50.4%-50.7%</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 xml:space="preserve">Restricted Stock Units and Performance Stock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RSUs and performance stock units, or PSUs, activity for the year ended December 31, 2024 is as follows (in thousands, except weighted-average grant-date fair value):</w:t>
      </w:r>
    </w:p>
    <w:tbl>
      <w:tblPr>
        <w:tblW w:w="6701" w:type="dxa"/>
        <w:jc w:val="left"/>
        <w:tblInd w:w="0" w:type="dxa"/>
        <w:tblLayout w:type="fixed"/>
        <w:tblCellMar>
          <w:top w:w="28" w:type="dxa"/>
          <w:left w:w="28" w:type="dxa"/>
          <w:bottom w:w="28" w:type="dxa"/>
          <w:right w:w="28" w:type="dxa"/>
        </w:tblCellMar>
      </w:tblPr>
      <w:tblGrid>
        <w:gridCol w:w="1223"/>
        <w:gridCol w:w="1073"/>
        <w:gridCol w:w="1078"/>
        <w:gridCol w:w="594"/>
        <w:gridCol w:w="594"/>
        <w:gridCol w:w="596"/>
        <w:gridCol w:w="109"/>
        <w:gridCol w:w="109"/>
        <w:gridCol w:w="109"/>
        <w:gridCol w:w="253"/>
        <w:gridCol w:w="790"/>
        <w:gridCol w:w="173"/>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Weighted-</w:t>
              <w:br/>
              <w:t>Average</w:t>
              <w:br/>
              <w:t>Grant-</w:t>
              <w:br/>
              <w:t>Date 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2023</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14,007 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Granted</w:t>
            </w:r>
            <w:r>
              <w:rPr>
                <w:rFonts w:ascii="Work Sans;sans-serif" w:hAnsi="Work Sans;sans-serif"/>
                <w:b w:val="false"/>
                <w:color w:val="000000"/>
                <w:sz w:val="12"/>
              </w:rPr>
              <w:t>(1)</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28,681 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Cancelled/forfeited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(7,091)</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Vested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(5,875)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Unvested at December 31, 2024</w:t>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29,722 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Work Sans;sans-serif" w:hAnsi="Work Sans;sans-serif"/>
          <w:b w:val="false"/>
          <w:color w:val="000000"/>
          <w:sz w:val="18"/>
        </w:rPr>
      </w:pPr>
      <w:r>
        <w:rPr>
          <w:rFonts w:ascii="Work Sans;sans-serif" w:hAnsi="Work Sans;sans-serif"/>
          <w:b w:val="false"/>
          <w:color w:val="000000"/>
          <w:sz w:val="18"/>
        </w:rPr>
        <w:t>(1) Granted shares include RSU awards with a market vesting condition granted in July 2024 and reflected at 200% of target, and RSU awards with market vesting condition granted in November 2024 reflected at 400% of target.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fair value of vested RSUs in 2024, 2023 and 2022, was $52.1 million, $36.6 million and $18.5 million, respectively. Our RSUs consist of time-based RSUs, RSUs with performance and/or market conditions, and RSUs with market conditions. For the years ended December 31, 2024, 2023 and 2022, total stock-based compensation expense related to RSUs was $71.4 million, $47.3 million and $41.4 million, respectively. At December 31, 2024, total remaining stock-based compensation expense for unvested RSU awards was $193.1 million, which is expected to be recognized over a weighted-average period of 2.2 years. There was no tax benefit for 2024, 2023 and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year ended December 31, 2024, we granted 2.5 million RSUs with performance and market conditions, or PSUs, to members of our senior leadership team. The grant date fair value of the PSUs at 100% of the target was $29.8 million. The weighted-average grant-date fair value per share of the PSUs granted was $12.05. The fair value of these PSUs was estimated using the Monte Carlo simulation model on the dates of the grant based on the assumptions shown in the table below. Vesting of the PSUs is contingent upon the recipients’ continuous employment over the requisite service period and was subject to fulfillment by the Company of a predefined profitability target during the performance period. The number of PSUs subject to vesting was determined at the end of the performance period and could equal zero percent (0%) to two hundred percent (200%) of the target award. If the performance criteria was achieved, one third of the PSUs would vest on the date the compensation committee of the board of directors certifies achievement of the performance criteria, and the remaining awards would vest quarterly thereafter through February 2027. These PSU awards also included a modifier to the total number of shares earned based on the Company’s total shareholder return, or TSR, compared to the TSR of the Nasdaq Composite Index during the performance period. The total number of shares issued pursuant to the PSU award could be increased, decreased, or remain unchanged based on the TSR modifier. The TSR modifier applicable to the PSUs was considered a market condition and therefore is reflected in the respective grant-date fair values of the awards. A Monte Carlo simulation was used to account for this market condition in the grant-date fair value of the awards. Expense related to the PSUs is recognized over the employee’s requisite service period using graded vesting attribution method to the extent it is probable that the performance conditions will be achieved. We recognized $9.2 million in stock-based compensation expense during the year ended December 31, 2024 related to these awards. At December 31, 2024, the remaining stock-based compensation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3350"/>
                <wp:effectExtent l="0" t="0" r="0" b="0"/>
                <wp:wrapNone/>
                <wp:docPr id="89" name="Frame8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unvested PSUs is $7.8 million which is expected to be recognized over a weighted-average requisite service period of approximately 1.2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our PSU grants using a Monte Carlo simulation model were as follows:</w:t>
      </w:r>
    </w:p>
    <w:tbl>
      <w:tblPr>
        <w:tblW w:w="541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816"/>
        <w:gridCol w:w="816"/>
        <w:gridCol w:w="115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0.4-0.8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5.2%-5.4%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47.4%-66.1%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2024, we also granted 2.7 million RSUs with a market vesting condition to a member of our senior leadership team. The grant date fair value of these RSUs at 100% of the target was $13.1 million. The weighted-average grant-date fair value per share of the RSUs granted was $4.89. The fair value of the RSUs was estimated on the date of grant using the Monte Carlo simulation model, based on the assumptions shown in the table below. Vesting of this award is contingent upon the recipient’s continuous employment over the requisite service period and is subject to achievement of predetermined stock price targets during a five-year performance period. Achievement of the predetermined stock price targets is measured based on a 45-trading day volume weighted-average closing price of our common stock, subject to a 44-day extension in certain circumstances. The number of RSUs subject to vesting during the performance period may equal zero percent (0%) to two hundred percent (200%) of the target award. Upon the achievement of a stock price target during the performance period, one-half of the eligible RSUs will vest on the date the compensation committee of the board of directors certifies achievement of the stock price target and the other half will vest one year from such date, subject to the recipient’s continued employment through the vesting date. We recognized $4.9 million in stock-based compensation expense during the year ended December 31, 2024 related to these awards. At December 31, 2024, the remaining stock-based compensation expense for unvested RSUs is $21.2 million which is expected to be recognized over a weighted-average requisite service period of approximately 2.4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59.4 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November 2024, we also granted 2.4 million RSUs with a market vesting condition to members of our senior leadership team. The grant date fair value of these RSUs at 100% of the target was $12.6 million. The weighted-average grant-date fair value per share of the RSUs granted was $5.30. The fair value of the RSUs was estimated using the Monte Carlo simulation model on the date of the grant based on the assumptions shown in the table below. Vesting of this award is contingent upon the recipient’s continuous employment over the requisite service period and is subject to achievement of predetermined stock price targets during a three-year performance period, subject to certification by the compensation committee of the board of directors. Achievement of the predetermined stock price targets is measured based on the trailing 30-trading day volume weighted average closing stock price of our common stock subject to a 29-day extension in certain circumstances. The number of RSUs subject to vesting during the performance period may equal zero percent (0%) to four hundred percent (400%) of the target award. If the compensation committee of the board of directors certifies achievement of a stock price target prior to November 15, 2025, the eligible shares will vest in full and become non-forfeitable on November 15, 2025. If the compensation committee of the board of directors certifies achievement of a stock price target on or subsequent to November 15, 2025, 100% of the eligible shares will vest and become non-forfeitable immediately on the date of certification by the compensation committee of the board of directors. We recognized $5.6 million in stock-based compensation expense during the year ended December 31, 2024 related to these awards. At December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3350"/>
                <wp:effectExtent l="0" t="0" r="0" b="0"/>
                <wp:wrapNone/>
                <wp:docPr id="90" name="Frame8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remaining stock-based compensation expense for unvested RSUs is $44.8 million which is expected to be recognized over a weighted-average requisite service period of approximately 1.1 years.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the RSUs with a market vesting condition using a Monte Carlo simulation model were as follows:</w:t>
      </w:r>
    </w:p>
    <w:tbl>
      <w:tblPr>
        <w:tblW w:w="541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69"/>
        <w:gridCol w:w="569"/>
        <w:gridCol w:w="165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20"/>
              </w:rPr>
            </w:pPr>
            <w:r>
              <w:rPr>
                <w:rFonts w:ascii="Work Sans;sans-serif" w:hAnsi="Work Sans;sans-serif"/>
                <w:b w:val="false"/>
                <w:color w:val="000000"/>
                <w:sz w:val="20"/>
              </w:rPr>
              <w:t>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4.2 </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60.9 </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year ended December 31, 2023, we also granted 1.3 million PSUs to members of our senior leadership team. Vesting of the PSUs was contingent upon the recipient’s continuous employment over the requisite service period and was subject to fulfillment by the Company of predefined performance criteria which were not achieved. Consequently, no stock-based compensation expense related to these PSU awards was recognized during the year ended December 31, 2024.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November 2022, we granted 211,864 PSUs with a grant date fair value of $2.0 million to certain employees where 25% and 50% of the PSUs vest upon the first and second anniversaries, respectively, from the Revv asset acquisition date should certain headcount thresholds be maintained, and 25% will vest upon the third anniversary from the Revv asset acquisition date. For the years ended December 31, 2024, 2023 and 2022, stock-based compensation expense for these PSUs was $0.7 million, $0.8 million and $0.1 million, respectively, and was recognized on a graded vesting basis. At December 31, 2024, the remaining stock-based compensation expense for unvested PSUs was $0.2 million, which is expected to be recognized over a weighted-average requisite service period of approximately 0.9 years.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Modification of Stock-Based Compensation Awards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May 2023, the compensation committee of the board of directors approved amendments to the terms of the stock option and RSU awards granted to members of our senior leadership team during the year ended December 31, 2022, whereby the vesting of such stock options and RSUs will be accelerated upon (i) a qualifying termination that occurs during the CIC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stock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3350"/>
                <wp:effectExtent l="0" t="0" r="0" b="0"/>
                <wp:wrapNone/>
                <wp:docPr id="91" name="Frame9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15. Net Income (Loss) Per Share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2188"/>
        <w:gridCol w:w="1904"/>
        <w:gridCol w:w="1860"/>
        <w:gridCol w:w="226"/>
        <w:gridCol w:w="826"/>
        <w:gridCol w:w="109"/>
        <w:gridCol w:w="109"/>
        <w:gridCol w:w="109"/>
        <w:gridCol w:w="109"/>
        <w:gridCol w:w="226"/>
        <w:gridCol w:w="826"/>
        <w:gridCol w:w="109"/>
        <w:gridCol w:w="109"/>
        <w:gridCol w:w="109"/>
        <w:gridCol w:w="109"/>
        <w:gridCol w:w="226"/>
        <w:gridCol w:w="895"/>
        <w:gridCol w:w="156"/>
      </w:tblGrid>
      <w:tr>
        <w:trPr/>
        <w:tc>
          <w:tcPr>
            <w:tcW w:w="2188"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2022</w:t>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Numerator: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 basic and diluted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5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5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Denominator:</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in computing net income (loss) per share — 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Restricted stock units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in computing net income (loss) per share — diluted</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182,865 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194,415 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195,829 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(0.25)</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because they are anti-dilutive (in thousands):</w:t>
      </w:r>
    </w:p>
    <w:tbl>
      <w:tblPr>
        <w:tblW w:w="6850" w:type="dxa"/>
        <w:jc w:val="left"/>
        <w:tblInd w:w="0" w:type="dxa"/>
        <w:tblLayout w:type="fixed"/>
        <w:tblCellMar>
          <w:top w:w="28" w:type="dxa"/>
          <w:left w:w="28" w:type="dxa"/>
          <w:bottom w:w="28" w:type="dxa"/>
          <w:right w:w="28" w:type="dxa"/>
        </w:tblCellMar>
      </w:tblPr>
      <w:tblGrid>
        <w:gridCol w:w="1050"/>
        <w:gridCol w:w="918"/>
        <w:gridCol w:w="927"/>
        <w:gridCol w:w="413"/>
        <w:gridCol w:w="413"/>
        <w:gridCol w:w="196"/>
        <w:gridCol w:w="137"/>
        <w:gridCol w:w="137"/>
        <w:gridCol w:w="137"/>
        <w:gridCol w:w="413"/>
        <w:gridCol w:w="413"/>
        <w:gridCol w:w="196"/>
        <w:gridCol w:w="137"/>
        <w:gridCol w:w="137"/>
        <w:gridCol w:w="137"/>
        <w:gridCol w:w="413"/>
        <w:gridCol w:w="413"/>
        <w:gridCol w:w="263"/>
      </w:tblGrid>
      <w:tr>
        <w:trPr/>
        <w:tc>
          <w:tcPr>
            <w:tcW w:w="105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 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8,879 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25,508 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18,183 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26,174 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16. 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2024</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 2023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Money market fund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17. Restructuring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From time to time, we initiate cost reduction activities to integrate acquired businesses, to align our workforce with strategic business activities, or to improve efficiencies in our operations. In August 2024,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3350"/>
                <wp:effectExtent l="0" t="0" r="0" b="0"/>
                <wp:wrapNone/>
                <wp:docPr id="92" name="Frame9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pPr>
      <w:r>
        <w:rPr>
          <w:rFonts w:ascii="Work Sans;sans-serif" w:hAnsi="Work Sans;sans-serif"/>
          <w:b w:val="false"/>
          <w:color w:val="000000"/>
          <w:sz w:val="18"/>
        </w:rPr>
        <w:t xml:space="preserve">committed to a restructuring plan resulting in a reduction of our global workforce. This restructuring plan was substantially completed by September 30, 2024. During the year ended </w:t>
      </w:r>
      <w:r>
        <w:rPr>
          <w:rFonts w:ascii="Work Sans;sans-serif" w:hAnsi="Work Sans;sans-serif"/>
          <w:b w:val="false"/>
          <w:color w:val="000000"/>
          <w:sz w:val="18"/>
          <w:shd w:fill="FFFFFF" w:val="clear"/>
        </w:rPr>
        <w:t>December 31, 2024</w:t>
      </w:r>
      <w:r>
        <w:rPr>
          <w:rFonts w:ascii="Work Sans;sans-serif" w:hAnsi="Work Sans;sans-serif"/>
          <w:b w:val="false"/>
          <w:color w:val="000000"/>
          <w:sz w:val="18"/>
        </w:rPr>
        <w:t xml:space="preserve">, we recognized </w:t>
      </w:r>
      <w:r>
        <w:rPr>
          <w:rFonts w:ascii="Work Sans;sans-serif" w:hAnsi="Work Sans;sans-serif"/>
          <w:b w:val="false"/>
          <w:color w:val="000000"/>
          <w:sz w:val="18"/>
          <w:shd w:fill="FFFFFF" w:val="clear"/>
        </w:rPr>
        <w:t>$4.8 million</w:t>
      </w:r>
      <w:r>
        <w:rPr>
          <w:color w:val="000000"/>
        </w:rPr>
        <w:t xml:space="preserve"> </w:t>
      </w:r>
      <w:r>
        <w:rPr>
          <w:rFonts w:ascii="Work Sans;sans-serif" w:hAnsi="Work Sans;sans-serif"/>
          <w:b w:val="false"/>
          <w:color w:val="000000"/>
          <w:sz w:val="18"/>
        </w:rPr>
        <w:t>in severance and other termination benefits in conjunction with the foregoing restructuring plan. In 2023 and 2022, we incurred $3.7 million and $1.9 million, respectively, in severance and related termination benefits costs related to a reduction in headcount in our U.S. workforce. In 2023, we also incurred $1.0 million in severance and related termination benefits costs related to the reduction of our U.K. headcount. The 2023 reduction in the U.S. and U.K. headcount was substantially complete by December 31, 2023. Restructuring expenses include salary and benefits for the impacted employees and are included in general and administrative expenses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18.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are the domestic and foreign components of our income (loss) before income taxes (in thousands):</w:t>
      </w:r>
    </w:p>
    <w:tbl>
      <w:tblPr>
        <w:tblW w:w="7977" w:type="dxa"/>
        <w:jc w:val="left"/>
        <w:tblInd w:w="0" w:type="dxa"/>
        <w:tblLayout w:type="fixed"/>
        <w:tblCellMar>
          <w:top w:w="28" w:type="dxa"/>
          <w:left w:w="28" w:type="dxa"/>
          <w:bottom w:w="28" w:type="dxa"/>
          <w:right w:w="28" w:type="dxa"/>
        </w:tblCellMar>
      </w:tblPr>
      <w:tblGrid>
        <w:gridCol w:w="1342"/>
        <w:gridCol w:w="1180"/>
        <w:gridCol w:w="1183"/>
        <w:gridCol w:w="226"/>
        <w:gridCol w:w="826"/>
        <w:gridCol w:w="109"/>
        <w:gridCol w:w="109"/>
        <w:gridCol w:w="109"/>
        <w:gridCol w:w="109"/>
        <w:gridCol w:w="226"/>
        <w:gridCol w:w="826"/>
        <w:gridCol w:w="109"/>
        <w:gridCol w:w="109"/>
        <w:gridCol w:w="109"/>
        <w:gridCol w:w="109"/>
        <w:gridCol w:w="226"/>
        <w:gridCol w:w="91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income (loss) before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details for the provision for income taxes by jurisdiction are as follows (in thousands):</w:t>
      </w:r>
    </w:p>
    <w:tbl>
      <w:tblPr>
        <w:tblW w:w="9207" w:type="dxa"/>
        <w:jc w:val="left"/>
        <w:tblInd w:w="0" w:type="dxa"/>
        <w:tblLayout w:type="fixed"/>
        <w:tblCellMar>
          <w:top w:w="28" w:type="dxa"/>
          <w:left w:w="28" w:type="dxa"/>
          <w:bottom w:w="28" w:type="dxa"/>
          <w:right w:w="28" w:type="dxa"/>
        </w:tblCellMar>
      </w:tblPr>
      <w:tblGrid>
        <w:gridCol w:w="1863"/>
        <w:gridCol w:w="1629"/>
        <w:gridCol w:w="1653"/>
        <w:gridCol w:w="226"/>
        <w:gridCol w:w="826"/>
        <w:gridCol w:w="109"/>
        <w:gridCol w:w="109"/>
        <w:gridCol w:w="109"/>
        <w:gridCol w:w="109"/>
        <w:gridCol w:w="226"/>
        <w:gridCol w:w="826"/>
        <w:gridCol w:w="109"/>
        <w:gridCol w:w="109"/>
        <w:gridCol w:w="109"/>
        <w:gridCol w:w="109"/>
        <w:gridCol w:w="226"/>
        <w:gridCol w:w="70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Current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current provision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Federal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(benefit from) provision for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income tax</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Work Sans;sans-serif" w:hAnsi="Work Sans;sans-serif"/>
          <w:b w:val="false"/>
          <w:color w:val="000000"/>
          <w:sz w:val="18"/>
        </w:rPr>
      </w:pPr>
      <w:r>
        <w:rPr>
          <w:rFonts w:ascii="Work Sans;sans-serif" w:hAnsi="Work Sans;sans-serif"/>
          <w:b w:val="false"/>
          <w:color w:val="000000"/>
          <w:sz w:val="18"/>
        </w:rPr>
        <w:t>In August 2022, the Inflation Reduction Act of 2022, or IRA, was enacted. The IRA introduced a 15% alternative minimum tax based on the financial statement income of certain large corporations, effective for tax years beginning after December 31, 2022. The Company considered the applicable tax law changes concluding there is no impact to the Company’s tax provision for the twelve months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3350"/>
                <wp:effectExtent l="0" t="0" r="0" b="0"/>
                <wp:wrapNone/>
                <wp:docPr id="93" name="Frame9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720"/>
        <w:jc w:val="left"/>
        <w:rPr>
          <w:rFonts w:ascii="Work Sans;sans-serif" w:hAnsi="Work Sans;sans-serif"/>
          <w:b w:val="false"/>
          <w:color w:val="000000"/>
          <w:sz w:val="18"/>
        </w:rPr>
      </w:pPr>
      <w:r>
        <w:rPr>
          <w:rFonts w:ascii="Work Sans;sans-serif" w:hAnsi="Work Sans;sans-serif"/>
          <w:b w:val="false"/>
          <w:color w:val="000000"/>
          <w:sz w:val="18"/>
        </w:rPr>
        <w:t>The provision for (benefit from) income taxes for December 31, 2024, 2023, and 2022, differed from the amounts computed by applying the U.S. Federal income tax rate of 21% to income (loss) before income taxes as a result of the following (in thousands):</w:t>
      </w:r>
    </w:p>
    <w:tbl>
      <w:tblPr>
        <w:tblW w:w="9627" w:type="dxa"/>
        <w:jc w:val="left"/>
        <w:tblInd w:w="0" w:type="dxa"/>
        <w:tblLayout w:type="fixed"/>
        <w:tblCellMar>
          <w:top w:w="28" w:type="dxa"/>
          <w:left w:w="28" w:type="dxa"/>
          <w:bottom w:w="28" w:type="dxa"/>
          <w:right w:w="28" w:type="dxa"/>
        </w:tblCellMar>
      </w:tblPr>
      <w:tblGrid>
        <w:gridCol w:w="1936"/>
        <w:gridCol w:w="1704"/>
        <w:gridCol w:w="1715"/>
        <w:gridCol w:w="226"/>
        <w:gridCol w:w="826"/>
        <w:gridCol w:w="109"/>
        <w:gridCol w:w="109"/>
        <w:gridCol w:w="109"/>
        <w:gridCol w:w="109"/>
        <w:gridCol w:w="226"/>
        <w:gridCol w:w="826"/>
        <w:gridCol w:w="109"/>
        <w:gridCol w:w="109"/>
        <w:gridCol w:w="109"/>
        <w:gridCol w:w="109"/>
        <w:gridCol w:w="226"/>
        <w:gridCol w:w="91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 at statutory rate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income taxes, net of federal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Rate differential on foreign earnings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Research and development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Nondeductible stock-based compensation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Unrecognized tax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Non-deductible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provision for income taxes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tax effects of temporary differences that give rise to significant portions of our deferred tax assets and liabilities consisted of the following as of December 31, 2024 and 2023, (in thousands):</w:t>
      </w:r>
    </w:p>
    <w:tbl>
      <w:tblPr>
        <w:tblW w:w="6144" w:type="dxa"/>
        <w:jc w:val="center"/>
        <w:tblInd w:w="0" w:type="dxa"/>
        <w:tblLayout w:type="fixed"/>
        <w:tblCellMar>
          <w:top w:w="28" w:type="dxa"/>
          <w:left w:w="28" w:type="dxa"/>
          <w:bottom w:w="28" w:type="dxa"/>
          <w:right w:w="28" w:type="dxa"/>
        </w:tblCellMar>
      </w:tblPr>
      <w:tblGrid>
        <w:gridCol w:w="1251"/>
        <w:gridCol w:w="1098"/>
        <w:gridCol w:w="1101"/>
        <w:gridCol w:w="226"/>
        <w:gridCol w:w="826"/>
        <w:gridCol w:w="109"/>
        <w:gridCol w:w="109"/>
        <w:gridCol w:w="109"/>
        <w:gridCol w:w="109"/>
        <w:gridCol w:w="226"/>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on investment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operating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Tax credit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 carryforwards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 loss carryforwards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research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deferred tax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Valuation allowance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Deferred tax liabilities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Right of use asset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State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(21,124)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deferred tax assets and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evaluated the realizability of net deferred tax assets and determined it is more likely than not that separate state net operating losses, state net operating losses from the acquisition of LegalInc, the deferred tax assets for Pulse IP, LLC and Pulse Business, LLC, and foreign deferred tax assets, excluding Poland,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3350"/>
                <wp:effectExtent l="0" t="0" r="0" b="0"/>
                <wp:wrapNone/>
                <wp:docPr id="94" name="Frame9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be realized based on the available objective evidence and have recorded a valuation allowance on such deferred tax assets.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valuation allowance:</w:t>
      </w:r>
    </w:p>
    <w:p>
      <w:pPr>
        <w:pStyle w:val="TextBody"/>
        <w:bidi w:val="0"/>
        <w:spacing w:before="120" w:after="120"/>
        <w:ind w:left="0" w:right="0" w:firstLine="450"/>
        <w:jc w:val="left"/>
        <w:rPr/>
      </w:pPr>
      <w:r>
        <w:rPr/>
      </w:r>
    </w:p>
    <w:tbl>
      <w:tblPr>
        <w:tblW w:w="7856" w:type="dxa"/>
        <w:jc w:val="left"/>
        <w:tblInd w:w="0" w:type="dxa"/>
        <w:tblLayout w:type="fixed"/>
        <w:tblCellMar>
          <w:top w:w="28" w:type="dxa"/>
          <w:left w:w="28" w:type="dxa"/>
          <w:bottom w:w="28" w:type="dxa"/>
          <w:right w:w="28" w:type="dxa"/>
        </w:tblCellMar>
      </w:tblPr>
      <w:tblGrid>
        <w:gridCol w:w="1330"/>
        <w:gridCol w:w="1170"/>
        <w:gridCol w:w="1174"/>
        <w:gridCol w:w="226"/>
        <w:gridCol w:w="826"/>
        <w:gridCol w:w="109"/>
        <w:gridCol w:w="109"/>
        <w:gridCol w:w="109"/>
        <w:gridCol w:w="109"/>
        <w:gridCol w:w="226"/>
        <w:gridCol w:w="826"/>
        <w:gridCol w:w="109"/>
        <w:gridCol w:w="109"/>
        <w:gridCol w:w="109"/>
        <w:gridCol w:w="109"/>
        <w:gridCol w:w="226"/>
        <w:gridCol w:w="82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current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in valuation prior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Ending balance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Net changes in the valuation allowance in the years ended December 31, 2024, 2023, and 2022 include changes recorded through earnings relating to losses primarily from foreign operations and the current year release of the valuation allowance on the capital loss carryover from the acquisition of Earth Class Mail, Inc. and the release of the valuation allowance on one of the foreign entities. </w:t>
      </w:r>
    </w:p>
    <w:p>
      <w:pPr>
        <w:pStyle w:val="TextBody"/>
        <w:bidi w:val="0"/>
        <w:spacing w:lineRule="auto" w:line="288" w:before="120" w:after="120"/>
        <w:ind w:left="0" w:right="0" w:firstLine="450"/>
        <w:jc w:val="left"/>
        <w:rPr/>
      </w:pPr>
      <w:r>
        <w:rPr>
          <w:rFonts w:ascii="Work Sans;sans-serif" w:hAnsi="Work Sans;sans-serif"/>
          <w:b w:val="false"/>
          <w:color w:val="000000"/>
          <w:sz w:val="18"/>
        </w:rPr>
        <w:t>At December 31, 2024 and 2023, we had federal net operating loss, or NOL, carryforwards of $16.6 million and $17.2 million, respectively, which will begin to expire in 2036. At December 31, 2024, and 2023, we had state NOL carryforwards of $28.8 million and $38.2 million, respectively, which will begin to expire in 2025. At December 31, 2024 and 2023, we had foreign NOL carryforwards of $35.1 million and $30.3 million, respectively, which can be carried forward indefinitely and are not subject to expiration. At December 31, 2024,and 2023, our federal tax credit carryforwards were immaterial. At December 31, 2024 and 2023, we had state tax credit carryforwards of $13.9 million and $12.6 million, respectively, which carry forward indefinitely. Our domestic entities may be subject to an annual limitation on the utilization of NOL and credit carryforwards based on changes in ownership as defined by Section 382 of the</w:t>
      </w:r>
      <w:r>
        <w:rPr>
          <w:color w:val="000000"/>
        </w:rPr>
        <w:t xml:space="preserve"> </w:t>
      </w:r>
      <w:r>
        <w:rPr>
          <w:rFonts w:ascii="Work Sans;sans-serif" w:hAnsi="Work Sans;sans-serif"/>
          <w:b w:val="false"/>
          <w:i/>
          <w:color w:val="000000"/>
          <w:sz w:val="18"/>
        </w:rPr>
        <w:t>Internal Revenue Code of 1986</w:t>
      </w:r>
      <w:r>
        <w:rPr>
          <w:rFonts w:ascii="Work Sans;sans-serif" w:hAnsi="Work Sans;sans-serif"/>
          <w:b w:val="false"/>
          <w:color w:val="000000"/>
          <w:sz w:val="18"/>
        </w:rPr>
        <w:t>. In 2022 we acquired Revvsales Inc. as a stock acquisition, since there was a change in ownership, the acquired NOL carryforwards are subject to an annual Section 382 limitation on the utilization of the NOL carryforwards.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had foreign operations since 2013. We have not provided for U.S. income taxes on the undistributed earnings and other outside temporary differences of foreign subsidiaries as they are considered indefinitely reinvested outside the U.S. At December 31, 2024, 2023, and 2022, the amount of temporary differences related to undistributed earnings and other outside temporary differences upon which U.S. income taxes are not material to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the changes in unrecognized tax benefits for the years ended December 31, 2024, 2023, and 2022 (in thousands):</w:t>
      </w:r>
    </w:p>
    <w:tbl>
      <w:tblPr>
        <w:tblW w:w="6601" w:type="dxa"/>
        <w:jc w:val="left"/>
        <w:tblInd w:w="0" w:type="dxa"/>
        <w:tblLayout w:type="fixed"/>
        <w:tblCellMar>
          <w:top w:w="28" w:type="dxa"/>
          <w:left w:w="28" w:type="dxa"/>
          <w:bottom w:w="28" w:type="dxa"/>
          <w:right w:w="28" w:type="dxa"/>
        </w:tblCellMar>
      </w:tblPr>
      <w:tblGrid>
        <w:gridCol w:w="1789"/>
        <w:gridCol w:w="1571"/>
        <w:gridCol w:w="1575"/>
        <w:gridCol w:w="312"/>
        <w:gridCol w:w="114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Gross</w:t>
              <w:br/>
              <w:t>Unrealized Tax</w:t>
              <w:br/>
              <w:t>Benefits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2021</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7,873 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2022</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8,920 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prior years</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2023</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Additions for tax positions related to the current year</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Reductions for tax positions related to prior years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Balance at December 31, 2024</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13,407 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If recognized, $13.4 million of unrecognized tax benefits, excluding interest and penalties, would reduce our annual effective tax rate. Due to the uncertain and complex application of tax laws and regulations, it is possible that the ultimate resolution of uncertain positions may result in liabilities that could be materially different from these estimates. In such an event, we will record additional tax expense or benefit in the period in which resolution occurs. Our policy is to recognize interest and penalties related to income tax matters in income tax expense. At December 31, 2024 and 2023, accrued interest and penalties related to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3350"/>
                <wp:effectExtent l="0" t="0" r="0" b="0"/>
                <wp:wrapNone/>
                <wp:docPr id="95" name="Frame9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positions were not material to our consolidated financial statements. We do not anticipate that unrecognized tax benefits will materially change within the next twelve months.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2021 and forward and state income tax returns for the tax years 2008 and forward remain open to examination. We are under examination in two states which are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19. 401(k) Savings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 defined contribution savings plan under Section 401(k) of the Internal Revenue Code. This plan covers substantially all employees who meet minimum age and service requirements and allows participants to defer a portion of their annual compensation on a pre-tax basis. Under the 401(k) plan, matching contributions are based upon the amount of the employees’ contributions subject to certain limitations. We contributed $4.0 million, $4.0 million, and $3.7 million to the 401(k) plan in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20. Accumulated Other Comprehensive Income (Loss)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accumulated other comprehensive income (loss) consisted of the following:</w:t>
      </w:r>
    </w:p>
    <w:tbl>
      <w:tblPr>
        <w:tblW w:w="8696" w:type="dxa"/>
        <w:jc w:val="left"/>
        <w:tblInd w:w="0" w:type="dxa"/>
        <w:tblLayout w:type="fixed"/>
        <w:tblCellMar>
          <w:top w:w="28" w:type="dxa"/>
          <w:left w:w="28" w:type="dxa"/>
          <w:bottom w:w="28" w:type="dxa"/>
          <w:right w:w="28" w:type="dxa"/>
        </w:tblCellMar>
      </w:tblPr>
      <w:tblGrid>
        <w:gridCol w:w="1650"/>
        <w:gridCol w:w="1451"/>
        <w:gridCol w:w="1458"/>
        <w:gridCol w:w="311"/>
        <w:gridCol w:w="724"/>
        <w:gridCol w:w="151"/>
        <w:gridCol w:w="109"/>
        <w:gridCol w:w="109"/>
        <w:gridCol w:w="109"/>
        <w:gridCol w:w="286"/>
        <w:gridCol w:w="686"/>
        <w:gridCol w:w="139"/>
        <w:gridCol w:w="109"/>
        <w:gridCol w:w="109"/>
        <w:gridCol w:w="109"/>
        <w:gridCol w:w="295"/>
        <w:gridCol w:w="688"/>
        <w:gridCol w:w="203"/>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2024</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income: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07" w:type="dxa"/>
        <w:jc w:val="left"/>
        <w:tblInd w:w="0" w:type="dxa"/>
        <w:tblLayout w:type="fixed"/>
        <w:tblCellMar>
          <w:top w:w="28" w:type="dxa"/>
          <w:left w:w="28" w:type="dxa"/>
          <w:bottom w:w="28" w:type="dxa"/>
          <w:right w:w="28" w:type="dxa"/>
        </w:tblCellMar>
      </w:tblPr>
      <w:tblGrid>
        <w:gridCol w:w="1618"/>
        <w:gridCol w:w="1423"/>
        <w:gridCol w:w="1429"/>
        <w:gridCol w:w="257"/>
        <w:gridCol w:w="804"/>
        <w:gridCol w:w="125"/>
        <w:gridCol w:w="109"/>
        <w:gridCol w:w="109"/>
        <w:gridCol w:w="109"/>
        <w:gridCol w:w="332"/>
        <w:gridCol w:w="618"/>
        <w:gridCol w:w="161"/>
        <w:gridCol w:w="109"/>
        <w:gridCol w:w="109"/>
        <w:gridCol w:w="109"/>
        <w:gridCol w:w="246"/>
        <w:gridCol w:w="771"/>
        <w:gridCol w:w="16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loss: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3350"/>
                <wp:effectExtent l="0" t="0" r="0" b="0"/>
                <wp:wrapNone/>
                <wp:docPr id="96" name="Frame9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91</w:t>
                      </w:r>
                    </w:p>
                  </w:txbxContent>
                </v:textbox>
                <w10:wrap type="none"/>
              </v:rect>
            </w:pict>
          </mc:Fallback>
        </mc:AlternateContent>
      </w:r>
    </w:p>
    <w:p>
      <w:pPr>
        <w:pStyle w:val="TextBody"/>
        <w:bidi w:val="0"/>
        <w:spacing w:before="0" w:after="0"/>
        <w:jc w:val="center"/>
        <w:rPr/>
      </w:pPr>
      <w:r>
        <w:rPr/>
      </w:r>
    </w:p>
    <w:tbl>
      <w:tblPr>
        <w:tblW w:w="8627" w:type="dxa"/>
        <w:jc w:val="left"/>
        <w:tblInd w:w="0" w:type="dxa"/>
        <w:tblLayout w:type="fixed"/>
        <w:tblCellMar>
          <w:top w:w="28" w:type="dxa"/>
          <w:left w:w="28" w:type="dxa"/>
          <w:bottom w:w="28" w:type="dxa"/>
          <w:right w:w="28" w:type="dxa"/>
        </w:tblCellMar>
      </w:tblPr>
      <w:tblGrid>
        <w:gridCol w:w="1618"/>
        <w:gridCol w:w="1423"/>
        <w:gridCol w:w="1429"/>
        <w:gridCol w:w="253"/>
        <w:gridCol w:w="809"/>
        <w:gridCol w:w="124"/>
        <w:gridCol w:w="109"/>
        <w:gridCol w:w="109"/>
        <w:gridCol w:w="109"/>
        <w:gridCol w:w="332"/>
        <w:gridCol w:w="618"/>
        <w:gridCol w:w="161"/>
        <w:gridCol w:w="109"/>
        <w:gridCol w:w="109"/>
        <w:gridCol w:w="109"/>
        <w:gridCol w:w="243"/>
        <w:gridCol w:w="796"/>
        <w:gridCol w:w="16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Year Ended December 31, 2022</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Available-for-sale debt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Accumulated other comprehensive loss: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21. Segment Information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Our Chief Executive Officer, as the Chief Operating Decision Maker, or CODM, organizes our company, manages resource allocations, and measures performance on the basis of one operating segment on a consolidated basis. The accounting policies of our operating segment are the same as those described in Note 2, </w:t>
      </w:r>
      <w:r>
        <w:rPr>
          <w:rFonts w:ascii="Work Sans;sans-serif" w:hAnsi="Work Sans;sans-serif"/>
          <w:b w:val="false"/>
          <w:i/>
          <w:color w:val="000000"/>
          <w:sz w:val="18"/>
        </w:rPr>
        <w:t>Summary of Significant Accounting Policies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The CODM assesses performance for the segment and decides how to allocate resources based on net income (loss) that also is reported on the accompanying consolidated statements of operations as consolidated net income (loss). The measure of segment assets is reported on the accompanying consolidated balance sheets as total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CODM uses net income (loss) to evaluate income generated from segment assets in making key operating and segment resource allocation decisions, such as investments in new product development. Net income (loss) is also used to monitor budget versus actual results and to establish management’s compensation.</w:t>
      </w:r>
    </w:p>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The Company has one reportable segment which provides online platform for business formation in the United States, or U.S., and, as described in Note 2, </w:t>
      </w:r>
      <w:r>
        <w:rPr>
          <w:rFonts w:ascii="Work Sans;sans-serif" w:hAnsi="Work Sans;sans-serif"/>
          <w:b w:val="false"/>
          <w:i/>
          <w:color w:val="000000"/>
          <w:sz w:val="18"/>
        </w:rPr>
        <w:t>Summary of Significant Accounting Policies,</w:t>
      </w:r>
      <w:r>
        <w:rPr>
          <w:color w:val="000000"/>
        </w:rPr>
        <w:t xml:space="preserve"> </w:t>
      </w:r>
      <w:r>
        <w:rPr>
          <w:rFonts w:ascii="Work Sans;sans-serif" w:hAnsi="Work Sans;sans-serif"/>
          <w:b w:val="false"/>
          <w:color w:val="000000"/>
          <w:sz w:val="18"/>
        </w:rPr>
        <w:t>generates revenue from customized legal document services and subscriptions offered to our customers. Revenue outside of the U.S., based on the location of the customer, represented less than 1% of our revenue for the years ended December 31, 2024, 2023 and 2022. Our property and equipment and right-of-use, or ROU, assets located outside of the U.S. were immaterial as of December 31, 2024 and 2023.</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summarizes financial information by reportable segment regularly provided to the CODM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1"/>
        <w:gridCol w:w="1772"/>
        <w:gridCol w:w="1779"/>
        <w:gridCol w:w="226"/>
        <w:gridCol w:w="946"/>
        <w:gridCol w:w="109"/>
        <w:gridCol w:w="109"/>
        <w:gridCol w:w="109"/>
        <w:gridCol w:w="109"/>
        <w:gridCol w:w="226"/>
        <w:gridCol w:w="946"/>
        <w:gridCol w:w="109"/>
        <w:gridCol w:w="109"/>
        <w:gridCol w:w="109"/>
        <w:gridCol w:w="109"/>
        <w:gridCol w:w="226"/>
        <w:gridCol w:w="946"/>
        <w:gridCol w:w="155"/>
      </w:tblGrid>
      <w:tr>
        <w:trPr/>
        <w:tc>
          <w:tcPr>
            <w:tcW w:w="211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Transaction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260,781 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Subscription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619,979 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Filings fees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cost of revenue, excluding depreciation, amortization and stock-based compensation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Customer acquisition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174,636 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sales and marketing, excluding depreciation, amortization and stock-based compensation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3350"/>
                <wp:effectExtent l="0" t="0" r="0" b="0"/>
                <wp:wrapNone/>
                <wp:docPr id="97" name="Frame9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92</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87"/>
        <w:gridCol w:w="1886"/>
        <w:gridCol w:w="1895"/>
        <w:gridCol w:w="226"/>
        <w:gridCol w:w="826"/>
        <w:gridCol w:w="109"/>
        <w:gridCol w:w="109"/>
        <w:gridCol w:w="109"/>
        <w:gridCol w:w="109"/>
        <w:gridCol w:w="226"/>
        <w:gridCol w:w="826"/>
        <w:gridCol w:w="109"/>
        <w:gridCol w:w="109"/>
        <w:gridCol w:w="109"/>
        <w:gridCol w:w="109"/>
        <w:gridCol w:w="226"/>
        <w:gridCol w:w="879"/>
        <w:gridCol w:w="156"/>
      </w:tblGrid>
      <w:tr>
        <w:trPr/>
        <w:tc>
          <w:tcPr>
            <w:tcW w:w="2187"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Year Ended December 31,</w:t>
            </w:r>
          </w:p>
        </w:tc>
      </w:tr>
      <w:tr>
        <w:trPr/>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 excluding depreciation, amortization and stock-based compensation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 excluding depreciation, amortization, stock-based compensation, and restructuring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Restructuring</w:t>
            </w:r>
            <w:r>
              <w:rPr>
                <w:rFonts w:ascii="Work Sans;sans-serif" w:hAnsi="Work Sans;sans-serif"/>
                <w:b w:val="false"/>
                <w:color w:val="000000"/>
                <w:sz w:val="12"/>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Other segment items</w:t>
            </w:r>
            <w:r>
              <w:rPr>
                <w:rFonts w:ascii="Work Sans;sans-serif" w:hAnsi="Work Sans;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long-lived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Impairment of other equity security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Segment net income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Reconciliation of profit or loss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Adjustments and reconciling items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Consolidated net income (loss)</w:t>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29,963 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(48,733)</w:t>
            </w:r>
          </w:p>
        </w:tc>
        <w:tc>
          <w:tcPr>
            <w:tcW w:w="15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(1)     For 2024, restructuring costs related to the reduction of our global workforce. For 2023, restructuring costs related to the reduction of our U.S. and U.K. headcount. For 2022, restructuring expenses related to a phased severance event to reduce the U.S. headcount in June and August 2022. Restructuring expenses include salary and benefits for the impacted employees and are included in general and administrative expenses in the consolidated statements of operations.</w:t>
      </w:r>
    </w:p>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    Other segment items included in segment net income (loss) primarily consist of foreign currency gains or losses related to our intercompany loans which were denominated in British Pound Sterling, or GBP, and included in other income (expense),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22. Subsequent Events</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On February 10, 2025, we acquired all of the outstanding equity interests of Formation Nation, Inc., or Formation Nation, a small business service company that provides business formation and compliance services, for total cash consideration of $64.8 million and 2,205,445 restricted shares of our common stock. The shares are subject to a lock-up and voting agreement, and a portion of the cash consideration is subject to a one year holdback and customary adjustments. This acquisition is intended to accelerate our strategy of attracting higher value customers by leveraging Formation Nation’s established customer service teams. We are currently in the process of finalizing the accounting for this transaction and expect to complete our preliminary allocation of the purchase consideration to the assets acquired and liabilities assumed by the end of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3350"/>
                <wp:effectExtent l="0" t="0" r="0" b="0"/>
                <wp:wrapNone/>
                <wp:docPr id="98" name="Frame9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 Changes in and Disagreements With Accountants on Accounting and Financial Disclosures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9A.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management, with the participation of our principal executive officer and principal financial officer, evaluated the effectiveness of our disclosure controls and procedures (as defined in Rules 13a-15(e) and 15d-15(e) under the Exchange Act) as of December 31, 2024. Disclosure controls and procedures include controls and procedures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 In designing and evaluating our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such evaluation, our principal executive officer and principal financial officer concluded that our disclosure controls and procedures were effective at the reasonable assurance level as of December 31, 2024.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Management’s Annual Report on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officers and effected by our Board of Directors, our management and other personnel, to provide reasonable assurance regarding the reliability of financial reporting and the preparation of financial statements for external purposes in accordance with generally accepted accounting principles in the United States, or GAAP.</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assessed the effectiveness of our internal control over financial reporting as of December 31, 2024. In making this assessment, our management used the criteria set forth by the Committee of Sponsoring Organizations of the Treadway Commission (COSO) in Internal Control-Integrated Framework (2013). Based on this assessment, our management concluded that, as of December 31, 2024, our internal control over financial reporting was effective based on those criteria.</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effectiveness of our internal control over financial reporting as of December 31, 2024 has been audited by PricewaterhouseCoopers LLP, an independent registered public accounting firm, as stated in their report which is included in Part II, Item 8 of this Annual Report on Form 10-K.</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have been no changes in our internal control over financial reporting during the three months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9B. Other Information</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9C. Disclosure Regarding Foreign Jurisdictions That Prevent Inspections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3350"/>
                <wp:effectExtent l="0" t="0" r="0" b="0"/>
                <wp:wrapNone/>
                <wp:docPr id="99" name="Frame9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10. Directors, Executive Officers and Corporate Governance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Code of Ethics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 Code of Business Conduct and Ethics that applies to all employees, including all officers, and members of our board of directors. Our Code of Business Conduct and Ethics incorporates guidelines designed to deter wrongdoing and to promote honest and ethical conduct and compliance with applicable laws and regulations. Our Code of Business Conduct and Ethics is published on our Investor Relations website at https://investors.legalzoom.com. To the extent that disclosure is required by rules adopted by the SEC and The Nasdaq Stock Market LLC, we intend to promptly disclose amendments to our Code of Business Conduct and Ethics, or waivers of such provisions granted to executive officers and directors, on our Investor Relations website.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Insider Trading Policy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an insider trading policy governing the purchase, sale and other dispositions of the Company’s securities that applies to all Company personnel, including directors, officers, employees, and designated consultants. It is the Company’s policy to comply with applicable laws and regulations when engaging in transactions in Company’s securities. We believe that our insider trading policy is reasonably designed to promote compliance with insider trading laws, rules and regulations, and the listing standards of The Nasdaq Stock Market LLC applicable to the Company. A copy of our insider trading policy is filed as Exhibit 19.1 to this Annual Report on Form 10-K.</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Other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other information required by this Item 10 is incorporated herein by reference from the information contained in our Proxy Statement for our 2025 Annual Meeting of Stockholders, which will be filed with the SEC no later than 120 days after the end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11. Executive Compensation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11 is incorporated herein by reference from the information contained in our Proxy Statement for our 2025 Annual Meeting of Stockholders, which will be filed with the SEC no later than 120 days after the end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12. Security Ownership of Certain Beneficial Owners and Management and Related Stockholder Matters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12 is incorporated herein by reference from the information contained in our Proxy Statement for our 2025 Annual Meeting of Stockholders, which will be filed with the SEC no later than 120 days after the end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13. Certain Relationships and Related Transactions, and Director Independence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13 is incorporated herein by reference from the information contained in our Proxy Statement for our 2025 Annual Meeting of Stockholders, which will be filed with the SEC no later than 120 days after the end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14. Principal Accountant Fees and Services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information required by this Item 14 is incorporated herein by reference from the information contained in our Proxy Statement for our 2025 Annual Meeting of Stockholders, which will be filed with the SEC no later than 120 days after the end of our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3350"/>
                <wp:effectExtent l="0" t="0" r="0" b="0"/>
                <wp:wrapNone/>
                <wp:docPr id="100" name="Frame9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Item 15. Exhibits and Financial Statements Schedules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 The following documents are filed as a part of this Annual Report on Form 10-K: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(1) Financial Statements Index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See Index to Financial Statements at Item 8 herein.</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(2) Financial Statement Schedules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All financial statement schedules have been omitted because the information required to be set forth therein is not applicable or is shown in the consolidated financial statements or notes thereto. </w:t>
      </w:r>
    </w:p>
    <w:p>
      <w:pPr>
        <w:pStyle w:val="TextBody"/>
        <w:bidi w:val="0"/>
        <w:spacing w:lineRule="auto" w:line="288" w:before="120" w:after="120"/>
        <w:ind w:left="0" w:right="0" w:firstLine="360"/>
        <w:jc w:val="left"/>
        <w:rPr>
          <w:rFonts w:ascii="Work Sans;sans-serif" w:hAnsi="Work Sans;sans-serif"/>
          <w:b w:val="false"/>
          <w:color w:val="000000"/>
          <w:sz w:val="18"/>
        </w:rPr>
      </w:pPr>
      <w:r>
        <w:rPr>
          <w:rFonts w:ascii="Work Sans;sans-serif" w:hAnsi="Work Sans;sans-serif"/>
          <w:b w:val="false"/>
          <w:color w:val="000000"/>
          <w:sz w:val="18"/>
        </w:rPr>
        <w:t xml:space="preserve">(3) Index to Exhibits </w:t>
      </w:r>
    </w:p>
    <w:p>
      <w:pPr>
        <w:pStyle w:val="TextBody"/>
        <w:bidi w:val="0"/>
        <w:spacing w:lineRule="auto" w:line="288" w:before="120" w:after="120"/>
        <w:ind w:left="0" w:right="0" w:firstLine="630"/>
        <w:jc w:val="left"/>
        <w:rPr>
          <w:rFonts w:ascii="Work Sans;sans-serif" w:hAnsi="Work Sans;sans-serif"/>
          <w:b w:val="false"/>
          <w:color w:val="000000"/>
          <w:sz w:val="18"/>
        </w:rPr>
      </w:pPr>
      <w:r>
        <w:rPr>
          <w:rFonts w:ascii="Work Sans;sans-serif" w:hAnsi="Work Sans;sans-serif"/>
          <w:b w:val="false"/>
          <w:color w:val="000000"/>
          <w:sz w:val="18"/>
        </w:rPr>
        <w:t xml:space="preserve">See the exhibits listed below under Part (b).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 Exhibits</w:t>
      </w:r>
    </w:p>
    <w:p>
      <w:pPr>
        <w:pStyle w:val="TextBody"/>
        <w:bidi w:val="0"/>
        <w:spacing w:lineRule="auto" w:line="288" w:before="120" w:after="120"/>
        <w:ind w:left="0" w:right="0" w:firstLine="270"/>
        <w:jc w:val="left"/>
        <w:rPr>
          <w:rFonts w:ascii="Work Sans;sans-serif" w:hAnsi="Work Sans;sans-serif"/>
          <w:b w:val="false"/>
          <w:color w:val="000000"/>
          <w:sz w:val="18"/>
        </w:rPr>
      </w:pPr>
      <w:r>
        <w:rPr>
          <w:rFonts w:ascii="Work Sans;sans-serif" w:hAnsi="Work Sans;sans-serif"/>
          <w:b w:val="false"/>
          <w:color w:val="000000"/>
          <w:sz w:val="18"/>
        </w:rPr>
        <w:t>The exhibits listed below are furnished or filed as part of this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55"/>
        <w:gridCol w:w="2800"/>
        <w:gridCol w:w="2808"/>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firstLine="90"/>
              <w:jc w:val="center"/>
              <w:rPr>
                <w:rFonts w:ascii="Work Sans;sans-serif" w:hAnsi="Work Sans;sans-serif"/>
                <w:b w:val="false"/>
                <w:color w:val="000000"/>
                <w:sz w:val="16"/>
              </w:rPr>
            </w:pPr>
            <w:r>
              <w:rPr>
                <w:rFonts w:ascii="Work Sans;sans-serif" w:hAnsi="Work Sans;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shd w:fill="FFFFFF" w:val="clear"/>
              </w:rPr>
              <w:t>Stock Purchase Agreement, dated February 10, 2025, by and among LegalZoom.com, Inc., Formation Nation Inc., Cort Christie, in his individual capacity for the purposes of certain sections thereof, and in his capacity as representative of the stockholders, and the stockholders of Formation Nation Inc. included on the signature pages thereto (</w:t>
            </w:r>
            <w:hyperlink r:id="rId3">
              <w:r>
                <w:rPr>
                  <w:rStyle w:val="InternetLink"/>
                  <w:rFonts w:ascii="Work Sans;sans-serif" w:hAnsi="Work Sans;sans-serif"/>
                  <w:b w:val="false"/>
                  <w:color w:val="000080"/>
                  <w:sz w:val="16"/>
                  <w:u w:val="single"/>
                  <w:shd w:fill="FFFFFF" w:val="clear"/>
                </w:rPr>
                <w:t>incorporated by reference to Exhibit 2.</w:t>
              </w:r>
            </w:hyperlink>
            <w:hyperlink r:id="rId4">
              <w:r>
                <w:rPr>
                  <w:rStyle w:val="InternetLink"/>
                  <w:rFonts w:ascii="Work Sans;sans-serif" w:hAnsi="Work Sans;sans-serif"/>
                  <w:b w:val="false"/>
                  <w:color w:val="000080"/>
                  <w:sz w:val="16"/>
                  <w:u w:val="single"/>
                  <w:shd w:fill="FFFFFF" w:val="clear"/>
                </w:rPr>
                <w:t>1 to the Company</w:t>
              </w:r>
            </w:hyperlink>
            <w:hyperlink r:id="rId5">
              <w:r>
                <w:rPr>
                  <w:rStyle w:val="InternetLink"/>
                  <w:rFonts w:ascii="Work Sans;sans-serif" w:hAnsi="Work Sans;sans-serif"/>
                  <w:b w:val="false"/>
                  <w:color w:val="000080"/>
                  <w:sz w:val="16"/>
                  <w:u w:val="single"/>
                  <w:shd w:fill="FFFFFF" w:val="clear"/>
                </w:rPr>
                <w:t>’</w:t>
              </w:r>
            </w:hyperlink>
            <w:hyperlink r:id="rId6">
              <w:r>
                <w:rPr>
                  <w:rStyle w:val="InternetLink"/>
                  <w:rFonts w:ascii="Work Sans;sans-serif" w:hAnsi="Work Sans;sans-serif"/>
                  <w:b w:val="false"/>
                  <w:color w:val="000080"/>
                  <w:sz w:val="16"/>
                  <w:u w:val="single"/>
                  <w:shd w:fill="FFFFFF" w:val="clear"/>
                </w:rPr>
                <w:t>s Current Report on Form 8-K filed with the SEC on February 10, 2025</w:t>
              </w:r>
            </w:hyperlink>
            <w:r>
              <w:rPr>
                <w:rFonts w:ascii="Work Sans;sans-serif" w:hAnsi="Work Sans;sans-serif"/>
                <w:b w:val="false"/>
                <w:color w:val="000000"/>
                <w:sz w:val="16"/>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Certificate of Incorporation of LegalZoom.com, Inc. </w:t>
            </w:r>
            <w:hyperlink r:id="rId7">
              <w:r>
                <w:rPr>
                  <w:rStyle w:val="InternetLink"/>
                  <w:rFonts w:ascii="Work Sans;sans-serif" w:hAnsi="Work Sans;sans-serif"/>
                  <w:b w:val="false"/>
                  <w:color w:val="0000FF"/>
                  <w:sz w:val="16"/>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6"/>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 xml:space="preserve">Amended and Restated Bylaws of LegalZoom.com, Inc. </w:t>
            </w:r>
            <w:hyperlink r:id="rId8">
              <w:r>
                <w:rPr>
                  <w:rStyle w:val="InternetLink"/>
                  <w:rFonts w:ascii="Work Sans;sans-serif" w:hAnsi="Work Sans;sans-serif"/>
                  <w:b w:val="false"/>
                  <w:color w:val="000080"/>
                  <w:sz w:val="16"/>
                  <w:u w:val="single"/>
                </w:rPr>
                <w:t>(incorporated by reference to Exhibit 3.</w:t>
              </w:r>
            </w:hyperlink>
            <w:hyperlink r:id="rId9">
              <w:r>
                <w:rPr>
                  <w:rStyle w:val="InternetLink"/>
                  <w:rFonts w:ascii="Work Sans;sans-serif" w:hAnsi="Work Sans;sans-serif"/>
                  <w:b w:val="false"/>
                  <w:color w:val="000080"/>
                  <w:sz w:val="16"/>
                  <w:u w:val="single"/>
                </w:rPr>
                <w:t>1</w:t>
              </w:r>
            </w:hyperlink>
            <w:hyperlink r:id="rId10">
              <w:r>
                <w:rPr>
                  <w:rStyle w:val="InternetLink"/>
                  <w:rFonts w:ascii="Work Sans;sans-serif" w:hAnsi="Work Sans;sans-serif"/>
                  <w:b w:val="false"/>
                  <w:color w:val="000080"/>
                  <w:sz w:val="16"/>
                  <w:u w:val="single"/>
                </w:rPr>
                <w:t xml:space="preserve"> to </w:t>
              </w:r>
            </w:hyperlink>
            <w:hyperlink r:id="rId11">
              <w:r>
                <w:rPr>
                  <w:rStyle w:val="InternetLink"/>
                  <w:rFonts w:ascii="Work Sans;sans-serif" w:hAnsi="Work Sans;sans-serif"/>
                  <w:b w:val="false"/>
                  <w:color w:val="000080"/>
                  <w:sz w:val="16"/>
                  <w:u w:val="single"/>
                </w:rPr>
                <w:t xml:space="preserve">the Company’s </w:t>
              </w:r>
            </w:hyperlink>
            <w:hyperlink r:id="rId12">
              <w:r>
                <w:rPr>
                  <w:rStyle w:val="InternetLink"/>
                  <w:rFonts w:ascii="Work Sans;sans-serif" w:hAnsi="Work Sans;sans-serif"/>
                  <w:b w:val="false"/>
                  <w:color w:val="000080"/>
                  <w:sz w:val="16"/>
                  <w:u w:val="single"/>
                </w:rPr>
                <w:t>Current Report on Form 8-K</w:t>
              </w:r>
            </w:hyperlink>
            <w:hyperlink r:id="rId13">
              <w:r>
                <w:rPr>
                  <w:rStyle w:val="InternetLink"/>
                  <w:rFonts w:ascii="Work Sans;sans-serif" w:hAnsi="Work Sans;sans-serif"/>
                  <w:b w:val="false"/>
                  <w:color w:val="000080"/>
                  <w:sz w:val="16"/>
                  <w:u w:val="single"/>
                </w:rPr>
                <w:t xml:space="preserve"> filed with the SEC on </w:t>
              </w:r>
            </w:hyperlink>
            <w:hyperlink r:id="rId14">
              <w:r>
                <w:rPr>
                  <w:rStyle w:val="InternetLink"/>
                  <w:rFonts w:ascii="Work Sans;sans-serif" w:hAnsi="Work Sans;sans-serif"/>
                  <w:b w:val="false"/>
                  <w:color w:val="000080"/>
                  <w:sz w:val="16"/>
                  <w:u w:val="single"/>
                </w:rPr>
                <w:t>November 6, 2024</w:t>
              </w:r>
            </w:hyperlink>
            <w:hyperlink r:id="rId15">
              <w:r>
                <w:rPr>
                  <w:rStyle w:val="InternetLink"/>
                  <w:rFonts w:ascii="Work Sans;sans-serif" w:hAnsi="Work Sans;sans-serif"/>
                  <w:b w:val="false"/>
                  <w:color w:val="000080"/>
                  <w:sz w:val="16"/>
                  <w:u w:val="single"/>
                </w:rPr>
                <w:t>)</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LegalZoom.com, Inc.’s Common Stock Certificate </w:t>
            </w:r>
            <w:hyperlink r:id="rId16">
              <w:r>
                <w:rPr>
                  <w:rStyle w:val="InternetLink"/>
                  <w:rFonts w:ascii="Work Sans;sans-serif" w:hAnsi="Work Sans;sans-serif"/>
                  <w:b w:val="false"/>
                  <w:color w:val="0000FF"/>
                  <w:sz w:val="16"/>
                  <w:u w:val="single"/>
                </w:rPr>
                <w:t>(incorporated by reference to Exhibit 4.1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Fourth Amended and Restated Investors’ Rights Agreement, by and among LegalZoom.com, Inc. and certain of its stockholders, dated June 18, 2021 </w:t>
            </w:r>
            <w:hyperlink r:id="rId17">
              <w:r>
                <w:rPr>
                  <w:rStyle w:val="InternetLink"/>
                  <w:rFonts w:ascii="Work Sans;sans-serif" w:hAnsi="Work Sans;sans-serif"/>
                  <w:b w:val="false"/>
                  <w:color w:val="0000FF"/>
                  <w:sz w:val="16"/>
                  <w:u w:val="single"/>
                </w:rPr>
                <w:t>(incorporated by reference to Exhibit 4.2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Description of our Common Stock (</w:t>
            </w:r>
            <w:hyperlink r:id="rId18">
              <w:r>
                <w:rPr>
                  <w:rStyle w:val="InternetLink"/>
                  <w:rFonts w:ascii="Work Sans;sans-serif" w:hAnsi="Work Sans;sans-serif"/>
                  <w:b w:val="false"/>
                  <w:color w:val="0000FF"/>
                  <w:sz w:val="16"/>
                  <w:u w:val="single"/>
                </w:rPr>
                <w:t>incorporated by reference to Exhibit 4.3 to the Company’s Annual Report on Form 10-K filed with the SEC on March 1,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2016 Stock Incentive Plan and forms of award agreements </w:t>
            </w:r>
            <w:hyperlink r:id="rId19">
              <w:r>
                <w:rPr>
                  <w:rStyle w:val="InternetLink"/>
                  <w:rFonts w:ascii="Work Sans;sans-serif" w:hAnsi="Work Sans;sans-serif"/>
                  <w:b w:val="false"/>
                  <w:color w:val="0000FF"/>
                  <w:sz w:val="16"/>
                  <w:u w:val="single"/>
                </w:rPr>
                <w:t>(incorporated by reference to Exhibit 10.1 of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Equity Incentive Plan and forms of award agreements </w:t>
            </w:r>
            <w:hyperlink r:id="rId20">
              <w:r>
                <w:rPr>
                  <w:rStyle w:val="InternetLink"/>
                  <w:rFonts w:ascii="Work Sans;sans-serif" w:hAnsi="Work Sans;sans-serif"/>
                  <w:b w:val="false"/>
                  <w:color w:val="0000FF"/>
                  <w:sz w:val="16"/>
                  <w:u w:val="single"/>
                </w:rPr>
                <w:t>(incorporated by reference to Exhibit 10.2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2021 Employee Stock Purchase Plan </w:t>
            </w:r>
            <w:hyperlink r:id="rId21">
              <w:r>
                <w:rPr>
                  <w:rStyle w:val="InternetLink"/>
                  <w:rFonts w:ascii="Work Sans;sans-serif" w:hAnsi="Work Sans;sans-serif"/>
                  <w:b w:val="false"/>
                  <w:color w:val="0000FF"/>
                  <w:sz w:val="16"/>
                  <w:u w:val="single"/>
                </w:rPr>
                <w:t>(incorporated by reference to Exhibit 10.3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Form of C-Team RSU Grant Notice (2021 Equity Incentive Plan) (</w:t>
            </w:r>
            <w:hyperlink r:id="rId22">
              <w:r>
                <w:rPr>
                  <w:rStyle w:val="InternetLink"/>
                  <w:rFonts w:ascii="Work Sans;sans-serif" w:hAnsi="Work Sans;sans-serif"/>
                  <w:b w:val="false"/>
                  <w:color w:val="0000FF"/>
                  <w:sz w:val="16"/>
                  <w:u w:val="single"/>
                </w:rPr>
                <w:t>incorporated by reference to Exhibit 10.2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Form of C-Team Option Grant Notice (2021 Equity Incentive Plan) (</w:t>
            </w:r>
            <w:hyperlink r:id="rId23">
              <w:r>
                <w:rPr>
                  <w:rStyle w:val="InternetLink"/>
                  <w:rFonts w:ascii="Work Sans;sans-serif" w:hAnsi="Work Sans;sans-serif"/>
                  <w:b w:val="false"/>
                  <w:color w:val="0000FF"/>
                  <w:sz w:val="16"/>
                  <w:u w:val="single"/>
                </w:rPr>
                <w:t>incorporated by reference to Exhibit 10.3 to the Company’s Quarterly Report on Form 10-Q filed with the SEC on May 9, 2023</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6formofglobalpsugrantn.htm">
              <w:r>
                <w:rPr>
                  <w:rStyle w:val="InternetLink"/>
                  <w:rFonts w:ascii="Work Sans;sans-serif" w:hAnsi="Work Sans;sans-serif"/>
                  <w:b w:val="false"/>
                  <w:color w:val="000080"/>
                  <w:sz w:val="16"/>
                  <w:u w:val="single"/>
                </w:rPr>
                <w:t xml:space="preserve">Form of </w:t>
              </w:r>
            </w:hyperlink>
            <w:hyperlink w:anchor="ex106formofglobalpsugrantn.htm">
              <w:r>
                <w:rPr>
                  <w:rStyle w:val="InternetLink"/>
                  <w:rFonts w:ascii="Work Sans;sans-serif" w:hAnsi="Work Sans;sans-serif"/>
                  <w:b w:val="false"/>
                  <w:color w:val="000080"/>
                  <w:sz w:val="16"/>
                  <w:u w:val="single"/>
                </w:rPr>
                <w:t xml:space="preserve">2025 </w:t>
              </w:r>
            </w:hyperlink>
            <w:hyperlink w:anchor="ex106formofglobalpsugrantn.htm">
              <w:r>
                <w:rPr>
                  <w:rStyle w:val="InternetLink"/>
                  <w:rFonts w:ascii="Work Sans;sans-serif" w:hAnsi="Work Sans;sans-serif"/>
                  <w:b w:val="false"/>
                  <w:color w:val="000080"/>
                  <w:sz w:val="16"/>
                  <w:u w:val="single"/>
                </w:rPr>
                <w:t xml:space="preserve">C-Team </w:t>
              </w:r>
            </w:hyperlink>
            <w:hyperlink w:anchor="ex106formofglobalpsugrantn.htm">
              <w:r>
                <w:rPr>
                  <w:rStyle w:val="InternetLink"/>
                  <w:rFonts w:ascii="Work Sans;sans-serif" w:hAnsi="Work Sans;sans-serif"/>
                  <w:b w:val="false"/>
                  <w:color w:val="000080"/>
                  <w:sz w:val="16"/>
                  <w:u w:val="single"/>
                </w:rPr>
                <w:t xml:space="preserve">PSU Grant Notice </w:t>
              </w:r>
            </w:hyperlink>
            <w:hyperlink w:anchor="ex106formofglobalpsugrantn.htm">
              <w:r>
                <w:rPr>
                  <w:rStyle w:val="InternetLink"/>
                  <w:rFonts w:ascii="Work Sans;sans-serif" w:hAnsi="Work Sans;sans-serif"/>
                  <w:b w:val="false"/>
                  <w:color w:val="000080"/>
                  <w:sz w:val="16"/>
                  <w:u w:val="single"/>
                </w:rPr>
                <w:t>(2021 Equity Incentive Plan</w:t>
              </w:r>
            </w:hyperlink>
            <w:hyperlink w:anchor="ex106formofglobalpsugrantn.htm">
              <w:r>
                <w:rPr>
                  <w:rStyle w:val="InternetLink"/>
                  <w:rFonts w:ascii="Work Sans;sans-serif" w:hAnsi="Work Sans;sans-serif"/>
                  <w:b w:val="false"/>
                  <w:color w:val="000080"/>
                  <w:sz w:val="16"/>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Form of Indemnification Agreement, by and between LegalZoom.com, Inc. and each of its directors and executive officers </w:t>
            </w:r>
            <w:hyperlink r:id="rId24">
              <w:r>
                <w:rPr>
                  <w:rStyle w:val="InternetLink"/>
                  <w:rFonts w:ascii="Work Sans;sans-serif" w:hAnsi="Work Sans;sans-serif"/>
                  <w:b w:val="false"/>
                  <w:color w:val="000080"/>
                  <w:sz w:val="16"/>
                  <w:u w:val="single"/>
                </w:rPr>
                <w:t xml:space="preserve">(incorporated by reference to Exhibit 10.4 </w:t>
              </w:r>
            </w:hyperlink>
            <w:hyperlink r:id="rId25">
              <w:r>
                <w:rPr>
                  <w:rStyle w:val="InternetLink"/>
                  <w:rFonts w:ascii="Work Sans;sans-serif" w:hAnsi="Work Sans;sans-serif"/>
                  <w:b w:val="false"/>
                  <w:color w:val="000080"/>
                  <w:sz w:val="16"/>
                  <w:u w:val="single"/>
                </w:rPr>
                <w:t>to</w:t>
              </w:r>
            </w:hyperlink>
            <w:hyperlink r:id="rId26">
              <w:r>
                <w:rPr>
                  <w:rStyle w:val="InternetLink"/>
                  <w:rFonts w:ascii="Work Sans;sans-serif" w:hAnsi="Work Sans;sans-serif"/>
                  <w:b w:val="false"/>
                  <w:color w:val="000080"/>
                  <w:sz w:val="16"/>
                  <w:u w:val="single"/>
                </w:rPr>
                <w:t xml:space="preserve"> the Company’s Registration Statement on Form S-1 filed with the SEC on June 4,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Employment Agreement, by and between LegalZoom.com, Inc. and Jeffrey Stibel, dated July 9, 2024 (</w:t>
            </w:r>
            <w:hyperlink r:id="rId27">
              <w:r>
                <w:rPr>
                  <w:rStyle w:val="InternetLink"/>
                  <w:rFonts w:ascii="Work Sans;sans-serif" w:hAnsi="Work Sans;sans-serif"/>
                  <w:b w:val="false"/>
                  <w:color w:val="000080"/>
                  <w:sz w:val="16"/>
                  <w:u w:val="single"/>
                </w:rPr>
                <w:t>incorporated</w:t>
              </w:r>
            </w:hyperlink>
            <w:hyperlink r:id="rId28">
              <w:r>
                <w:rPr>
                  <w:rStyle w:val="InternetLink"/>
                  <w:rFonts w:ascii="Work Sans;sans-serif" w:hAnsi="Work Sans;sans-serif"/>
                  <w:b w:val="false"/>
                  <w:color w:val="000080"/>
                  <w:sz w:val="16"/>
                  <w:u w:val="single"/>
                </w:rPr>
                <w:t xml:space="preserve"> </w:t>
              </w:r>
            </w:hyperlink>
            <w:hyperlink r:id="rId29">
              <w:r>
                <w:rPr>
                  <w:rStyle w:val="InternetLink"/>
                  <w:rFonts w:ascii="Work Sans;sans-serif" w:hAnsi="Work Sans;sans-serif"/>
                  <w:b w:val="false"/>
                  <w:color w:val="000080"/>
                  <w:sz w:val="16"/>
                  <w:u w:val="single"/>
                </w:rPr>
                <w:t xml:space="preserve">by reference to Exhibit 10.1 to </w:t>
              </w:r>
            </w:hyperlink>
            <w:hyperlink r:id="rId30">
              <w:r>
                <w:rPr>
                  <w:rStyle w:val="InternetLink"/>
                  <w:rFonts w:ascii="Work Sans;sans-serif" w:hAnsi="Work Sans;sans-serif"/>
                  <w:b w:val="false"/>
                  <w:color w:val="000080"/>
                  <w:sz w:val="16"/>
                  <w:u w:val="single"/>
                </w:rPr>
                <w:t>the Company</w:t>
              </w:r>
            </w:hyperlink>
            <w:hyperlink r:id="rId31">
              <w:r>
                <w:rPr>
                  <w:rStyle w:val="InternetLink"/>
                  <w:rFonts w:ascii="Work Sans;sans-serif" w:hAnsi="Work Sans;sans-serif"/>
                  <w:b w:val="false"/>
                  <w:color w:val="000080"/>
                  <w:sz w:val="16"/>
                  <w:u w:val="single"/>
                </w:rPr>
                <w:t>’</w:t>
              </w:r>
            </w:hyperlink>
            <w:hyperlink r:id="rId32">
              <w:r>
                <w:rPr>
                  <w:rStyle w:val="InternetLink"/>
                  <w:rFonts w:ascii="Work Sans;sans-serif" w:hAnsi="Work Sans;sans-serif"/>
                  <w:b w:val="false"/>
                  <w:color w:val="000080"/>
                  <w:sz w:val="16"/>
                  <w:u w:val="single"/>
                </w:rPr>
                <w:t xml:space="preserve">s Current Report on Form 8-K filed with </w:t>
              </w:r>
            </w:hyperlink>
            <w:hyperlink r:id="rId33">
              <w:r>
                <w:rPr>
                  <w:rStyle w:val="InternetLink"/>
                  <w:rFonts w:ascii="Work Sans;sans-serif" w:hAnsi="Work Sans;sans-serif"/>
                  <w:b w:val="false"/>
                  <w:color w:val="000080"/>
                  <w:sz w:val="16"/>
                  <w:u w:val="single"/>
                </w:rPr>
                <w:t>the SEC on July 10, 202</w:t>
              </w:r>
            </w:hyperlink>
            <w:hyperlink r:id="rId34">
              <w:r>
                <w:rPr>
                  <w:rStyle w:val="InternetLink"/>
                  <w:rFonts w:ascii="Work Sans;sans-serif" w:hAnsi="Work Sans;sans-serif"/>
                  <w:b w:val="false"/>
                  <w:color w:val="000080"/>
                  <w:sz w:val="16"/>
                  <w:u w:val="single"/>
                </w:rPr>
                <w:t>4</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Employment Agreement, by and between LegalZoom.com, Inc. and Dan Wernikoff, dated June 16, 2021 </w:t>
            </w:r>
            <w:hyperlink r:id="rId35">
              <w:r>
                <w:rPr>
                  <w:rStyle w:val="InternetLink"/>
                  <w:rFonts w:ascii="Work Sans;sans-serif" w:hAnsi="Work Sans;sans-serif"/>
                  <w:b w:val="false"/>
                  <w:color w:val="0000FF"/>
                  <w:sz w:val="16"/>
                  <w:u w:val="single"/>
                </w:rPr>
                <w:t>(incorporated by reference to Exhibit 10.5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 Inc. and Dan Wernikoff dated April 21, 2022 </w:t>
            </w:r>
            <w:hyperlink r:id="rId36">
              <w:r>
                <w:rPr>
                  <w:rStyle w:val="InternetLink"/>
                  <w:rFonts w:ascii="Work Sans;sans-serif" w:hAnsi="Work Sans;sans-serif"/>
                  <w:b w:val="false"/>
                  <w:color w:val="0000FF"/>
                  <w:sz w:val="16"/>
                  <w:u w:val="single"/>
                </w:rPr>
                <w:t>(incorporated by reference to Exhibit 10.3 to the Company’s Quarterly Report on Form 10-Q filed with the SEC on May 16, 2022)</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Amended and Restated Employment Agreement, by and between LegalZoom.com, Inc. and Noel B. Watson, dated June 16, 2021 </w:t>
            </w:r>
            <w:hyperlink r:id="rId37">
              <w:r>
                <w:rPr>
                  <w:rStyle w:val="InternetLink"/>
                  <w:rFonts w:ascii="Work Sans;sans-serif" w:hAnsi="Work Sans;sans-serif"/>
                  <w:b w:val="false"/>
                  <w:color w:val="0000FF"/>
                  <w:sz w:val="16"/>
                  <w:u w:val="single"/>
                </w:rPr>
                <w:t>(incorporated by reference to Exhibit 10.7 of Amendment No. 1 to the Company’s Registration Statement on Form S-1 filed with the SEC on June 21, 2021)</w:t>
              </w:r>
            </w:hyperlink>
            <w:r>
              <w:rPr>
                <w:rFonts w:ascii="Work Sans;sans-serif" w:hAnsi="Work Sans;sans-serif"/>
                <w:b w:val="false"/>
                <w:color w:val="000000"/>
                <w:sz w:val="16"/>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3350"/>
                <wp:effectExtent l="0" t="0" r="0" b="0"/>
                <wp:wrapNone/>
                <wp:docPr id="101" name="Frame10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96</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477"/>
        <w:gridCol w:w="2590"/>
        <w:gridCol w:w="2597"/>
        <w:gridCol w:w="109"/>
        <w:gridCol w:w="109"/>
        <w:gridCol w:w="15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Description of Exhibit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Noel Watson dated March 12, 2022 </w:t>
            </w:r>
            <w:hyperlink r:id="rId38">
              <w:r>
                <w:rPr>
                  <w:rStyle w:val="InternetLink"/>
                  <w:rFonts w:ascii="Work Sans;sans-serif" w:hAnsi="Work Sans;sans-serif"/>
                  <w:b w:val="false"/>
                  <w:color w:val="0000FF"/>
                  <w:sz w:val="16"/>
                  <w:u w:val="single"/>
                </w:rPr>
                <w:t>(incorporated by reference to Exhibit 10.9 to the Company’s Annual Report on Form 10-K filed with the SEC on March 24,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Amended and Restated Employment Agreement, by and between LegalZoom.com, Inc. and Shrisha Radhakrishna, dated June 16, 2021 (</w:t>
            </w:r>
            <w:hyperlink r:id="rId39">
              <w:r>
                <w:rPr>
                  <w:rStyle w:val="InternetLink"/>
                  <w:rFonts w:ascii="Work Sans;sans-serif" w:hAnsi="Work Sans;sans-serif"/>
                  <w:b w:val="false"/>
                  <w:color w:val="0000FF"/>
                  <w:sz w:val="16"/>
                  <w:u w:val="single"/>
                </w:rPr>
                <w:t>incorporated by reference to Exhibit 10.6 of Amendment No. 1 to the Company’s Registration Statement on Form S-1 filed with the SEC on June 21, 2021</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Shrisha Radhakrishna, dated October 26, 2021 </w:t>
            </w:r>
            <w:hyperlink r:id="rId40">
              <w:r>
                <w:rPr>
                  <w:rStyle w:val="InternetLink"/>
                  <w:rFonts w:ascii="Work Sans;sans-serif" w:hAnsi="Work Sans;sans-serif"/>
                  <w:b w:val="false"/>
                  <w:color w:val="0000FF"/>
                  <w:sz w:val="16"/>
                  <w:u w:val="single"/>
                </w:rPr>
                <w:t>(incorporated by reference to Exhibit 10.3 of the Company’s Quarterly Report on Form 10-Q filed with the SEC on November 10, 2021)</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Second Amendment to Employment Agreement, by and between LegalZoom.com, Inc. and Shrisha Radhakrishna, dated March 11, 2022 </w:t>
            </w:r>
            <w:hyperlink r:id="rId41">
              <w:r>
                <w:rPr>
                  <w:rStyle w:val="InternetLink"/>
                  <w:rFonts w:ascii="Work Sans;sans-serif" w:hAnsi="Work Sans;sans-serif"/>
                  <w:b w:val="false"/>
                  <w:color w:val="0000FF"/>
                  <w:sz w:val="16"/>
                  <w:u w:val="single"/>
                </w:rPr>
                <w:t>(incorporated by reference to Exhibit 10.10 to the Company’s Annual Report on Form 10-K filed with the SEC on March 24,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Employment Agreement, by and between LegalZoom.com, Inc. and Rich Preece dated June 16, 2021 </w:t>
            </w:r>
            <w:hyperlink r:id="rId42">
              <w:r>
                <w:rPr>
                  <w:rStyle w:val="InternetLink"/>
                  <w:rFonts w:ascii="Work Sans;sans-serif" w:hAnsi="Work Sans;sans-serif"/>
                  <w:b w:val="false"/>
                  <w:color w:val="0000FF"/>
                  <w:sz w:val="16"/>
                  <w:u w:val="single"/>
                </w:rPr>
                <w:t>(incorporated by reference to Exhibit 10.2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Amendment to Employment Agreement, by and between LegalZoom.com, Inc. and Rich Preece dated October 27, 2021 </w:t>
            </w:r>
            <w:hyperlink r:id="rId43">
              <w:r>
                <w:rPr>
                  <w:rStyle w:val="InternetLink"/>
                  <w:rFonts w:ascii="Work Sans;sans-serif" w:hAnsi="Work Sans;sans-serif"/>
                  <w:b w:val="false"/>
                  <w:color w:val="0000FF"/>
                  <w:sz w:val="16"/>
                  <w:u w:val="single"/>
                </w:rPr>
                <w:t>(incorporated by reference to Exhibit 10.3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Second Amendment to Employment Agreement, by and between LegalZoom.com, Inc. and Rich Preece dated March 12, 2022 </w:t>
            </w:r>
            <w:hyperlink r:id="rId44">
              <w:r>
                <w:rPr>
                  <w:rStyle w:val="InternetLink"/>
                  <w:rFonts w:ascii="Work Sans;sans-serif" w:hAnsi="Work Sans;sans-serif"/>
                  <w:b w:val="false"/>
                  <w:color w:val="0000FF"/>
                  <w:sz w:val="16"/>
                  <w:u w:val="single"/>
                </w:rPr>
                <w:t>(incorporated by reference to Exhibit 10.4 to the Company’s Quarterly Report on Form 10-Q filed with the SEC on August 11,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Employment Agreement, by and between LegalZoom.com, Inc. and Nicole Miller dated June 16, 2021 (</w:t>
            </w:r>
            <w:hyperlink r:id="rId45">
              <w:r>
                <w:rPr>
                  <w:rStyle w:val="InternetLink"/>
                  <w:rFonts w:ascii="Work Sans;sans-serif" w:hAnsi="Work Sans;sans-serif"/>
                  <w:b w:val="false"/>
                  <w:color w:val="0000FF"/>
                  <w:sz w:val="16"/>
                  <w:u w:val="single"/>
                </w:rPr>
                <w:t>incorporated by reference to Exhibit 10.15 to the Company’s Annual Report on Form 10-K filed with the SEC on March 1, 2023</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17amendmenttonmillerem.htm">
              <w:r>
                <w:rPr>
                  <w:rStyle w:val="InternetLink"/>
                  <w:rFonts w:ascii="Work Sans;sans-serif" w:hAnsi="Work Sans;sans-serif"/>
                  <w:b w:val="false"/>
                  <w:color w:val="000080"/>
                  <w:sz w:val="16"/>
                  <w:u w:val="single"/>
                </w:rPr>
                <w:t>A</w:t>
              </w:r>
            </w:hyperlink>
            <w:hyperlink w:anchor="ex1017amendmenttonmillerem.htm">
              <w:r>
                <w:rPr>
                  <w:rStyle w:val="InternetLink"/>
                  <w:rFonts w:ascii="Work Sans;sans-serif" w:hAnsi="Work Sans;sans-serif"/>
                  <w:b w:val="false"/>
                  <w:color w:val="000080"/>
                  <w:sz w:val="16"/>
                  <w:u w:val="single"/>
                </w:rPr>
                <w:t>mendment to Employment Agreement, by and between LegalZoom.com, Inc. and Nicole Miller dated December 13,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 xml:space="preserve">Non-Employee Director Compensation Policy </w:t>
            </w:r>
            <w:hyperlink r:id="rId46">
              <w:r>
                <w:rPr>
                  <w:rStyle w:val="InternetLink"/>
                  <w:rFonts w:ascii="Work Sans;sans-serif" w:hAnsi="Work Sans;sans-serif"/>
                  <w:b w:val="false"/>
                  <w:color w:val="0000FF"/>
                  <w:sz w:val="16"/>
                  <w:u w:val="single"/>
                </w:rPr>
                <w:t>(incorporated by reference to Exhibit 10.1 of the Company’s Quarterly Report on Form 10-Q filed with the SEC on November 10, 2022)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 xml:space="preserve">Director Nomination Agreement, by and between LegalZoom.com, Inc. and certain of its stockholders dated June 18, 2021 </w:t>
            </w:r>
            <w:hyperlink r:id="rId47">
              <w:r>
                <w:rPr>
                  <w:rStyle w:val="InternetLink"/>
                  <w:rFonts w:ascii="Work Sans;sans-serif" w:hAnsi="Work Sans;sans-serif"/>
                  <w:b w:val="false"/>
                  <w:color w:val="0000FF"/>
                  <w:sz w:val="16"/>
                  <w:u w:val="single"/>
                </w:rPr>
                <w:t>(incorporated by reference to Exhibit 10.16 of Amendment No. 1 to the Company’s Registration Statement on Form S-1 filed with the SEC on June 21, 2021)</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6"/>
              </w:rPr>
              <w:t>Amended and Restated Credit and Guaranty Agreement, by and between LegalZoom.com, Inc., the other parties thereto and JPMorgan Chase Bank N.A., as administrative agent, dated July 2, 2021</w:t>
            </w:r>
            <w:hyperlink r:id="rId48">
              <w:r>
                <w:rPr>
                  <w:rStyle w:val="InternetLink"/>
                  <w:color w:val="0000FF"/>
                  <w:u w:val="single"/>
                </w:rPr>
                <w:t xml:space="preserve"> </w:t>
              </w:r>
            </w:hyperlink>
            <w:hyperlink r:id="rId49">
              <w:r>
                <w:rPr>
                  <w:rStyle w:val="InternetLink"/>
                  <w:rFonts w:ascii="Work Sans;sans-serif" w:hAnsi="Work Sans;sans-serif"/>
                  <w:b w:val="false"/>
                  <w:color w:val="0000FF"/>
                  <w:sz w:val="16"/>
                  <w:u w:val="single"/>
                </w:rPr>
                <w:t>(incorporated by reference to Exhibit 10.1 of the Company’s Quarterly Report on Form 10-Q filed with the SEC on November 10, 2021).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Amendment No. 1, dated as of May 5, 2023, by and between LegalZoom.com, Inc., as borrower, the guarantors party thereto and JPMorgan Chase Bank, N.A., as administrative agent, relating to the Amended and Restated Credit and Guaranty Agreement, dated as of July 2, 2021, among LegalZoom.com, Inc., the guarantors party thereto, the lenders and issuing lenders party thereto, and JPMorgan Chase Bank, N.A., as administrative agent (</w:t>
            </w:r>
            <w:hyperlink r:id="rId50">
              <w:r>
                <w:rPr>
                  <w:rStyle w:val="InternetLink"/>
                  <w:rFonts w:ascii="Work Sans;sans-serif" w:hAnsi="Work Sans;sans-serif"/>
                  <w:b w:val="false"/>
                  <w:color w:val="0000FF"/>
                  <w:sz w:val="16"/>
                  <w:u w:val="single"/>
                </w:rPr>
                <w:t>incorporated by reference to Exhibit 10.1 to the Company’s Quarterly Report on Form 10-Q filed with the SEC on May 9, 2023</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6"/>
              </w:rPr>
            </w:pPr>
            <w:r>
              <w:rPr>
                <w:rFonts w:ascii="Work Sans;sans-serif" w:hAnsi="Work Sans;sans-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91lzinsidertradingpolic.htm">
              <w:r>
                <w:rPr>
                  <w:rStyle w:val="InternetLink"/>
                  <w:rFonts w:ascii="Work Sans;sans-serif" w:hAnsi="Work Sans;sans-serif"/>
                  <w:b w:val="false"/>
                  <w:color w:val="000080"/>
                  <w:sz w:val="16"/>
                  <w:u w:val="single"/>
                </w:rPr>
                <w:t>I</w:t>
              </w:r>
            </w:hyperlink>
            <w:hyperlink w:anchor="ex191lzinsidertradingpolic.htm">
              <w:r>
                <w:rPr>
                  <w:rStyle w:val="InternetLink"/>
                  <w:rFonts w:ascii="Work Sans;sans-serif" w:hAnsi="Work Sans;sans-serif"/>
                  <w:b w:val="false"/>
                  <w:color w:val="000080"/>
                  <w:sz w:val="16"/>
                  <w:u w:val="single"/>
                </w:rPr>
                <w:t>nsider Trading Policy</w:t>
              </w:r>
            </w:hyperlink>
            <w:hyperlink w:anchor="ex191lzinsidertradingpolic.htm">
              <w:r>
                <w:rPr>
                  <w:rStyle w:val="InternetLink"/>
                  <w:rFonts w:ascii="Work Sans;sans-serif" w:hAnsi="Work Sans;sans-serif"/>
                  <w:b w:val="false"/>
                  <w:color w:val="000080"/>
                  <w:sz w:val="16"/>
                  <w:u w:val="single"/>
                </w:rPr>
                <w:t xml:space="preserve"> of LegalZoom.com, Inc.</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1lz-2024123110xk.htm">
              <w:r>
                <w:rPr>
                  <w:rStyle w:val="InternetLink"/>
                  <w:rFonts w:ascii="Work Sans;sans-serif" w:hAnsi="Work Sans;sans-serif"/>
                  <w:b w:val="false"/>
                  <w:color w:val="0000FF"/>
                  <w:sz w:val="16"/>
                  <w:u w:val="single"/>
                </w:rPr>
                <w:t>21.1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lz-2024123110xk.htm">
              <w:r>
                <w:rPr>
                  <w:rStyle w:val="InternetLink"/>
                  <w:rFonts w:ascii="Work Sans;sans-serif" w:hAnsi="Work Sans;sans-serif"/>
                  <w:b w:val="false"/>
                  <w:color w:val="0000FF"/>
                  <w:sz w:val="16"/>
                  <w:u w:val="single"/>
                </w:rPr>
                <w:t>Subsidiaries of LegalZoom.com, Inc.</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1consent202410-k.htm">
              <w:r>
                <w:rPr>
                  <w:rStyle w:val="InternetLink"/>
                  <w:rFonts w:ascii="Work Sans;sans-serif" w:hAnsi="Work Sans;sans-serif"/>
                  <w:b w:val="false"/>
                  <w:color w:val="0000FF"/>
                  <w:sz w:val="16"/>
                  <w:u w:val="single"/>
                </w:rPr>
                <w:t>23.1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202410-k.htm">
              <w:r>
                <w:rPr>
                  <w:rStyle w:val="InternetLink"/>
                  <w:rFonts w:ascii="Work Sans;sans-serif" w:hAnsi="Work Sans;sans-serif"/>
                  <w:b w:val="false"/>
                  <w:color w:val="0000FF"/>
                  <w:sz w:val="16"/>
                  <w:u w:val="single"/>
                </w:rPr>
                <w:t>Consent of PricewaterhouseCoopers LLP,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4123110xk.htm">
              <w:r>
                <w:rPr>
                  <w:rStyle w:val="InternetLink"/>
                  <w:rFonts w:ascii="Work Sans;sans-serif" w:hAnsi="Work Sans;sans-serif"/>
                  <w:b w:val="false"/>
                  <w:color w:val="0000FF"/>
                  <w:sz w:val="16"/>
                  <w:u w:val="single"/>
                </w:rPr>
                <w:t>31.1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4123110xk.htm">
              <w:r>
                <w:rPr>
                  <w:rStyle w:val="InternetLink"/>
                  <w:rFonts w:ascii="Work Sans;sans-serif" w:hAnsi="Work Sans;sans-serif"/>
                  <w:b w:val="false"/>
                  <w:color w:val="0000FF"/>
                  <w:sz w:val="16"/>
                  <w:u w:val="single"/>
                </w:rPr>
                <w:t>Certification of Chief Executive Officer pursuant to Rule 13a-14(a)/15d-14(a)</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4123110xk.htm">
              <w:r>
                <w:rPr>
                  <w:rStyle w:val="InternetLink"/>
                  <w:rFonts w:ascii="Work Sans;sans-serif" w:hAnsi="Work Sans;sans-serif"/>
                  <w:b w:val="false"/>
                  <w:color w:val="0000FF"/>
                  <w:sz w:val="16"/>
                  <w:u w:val="single"/>
                </w:rPr>
                <w:t>31.2</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4123110xk.htm">
              <w:r>
                <w:rPr>
                  <w:rStyle w:val="InternetLink"/>
                  <w:rFonts w:ascii="Work Sans;sans-serif" w:hAnsi="Work Sans;sans-serif"/>
                  <w:b w:val="false"/>
                  <w:color w:val="0000FF"/>
                  <w:sz w:val="16"/>
                  <w:u w:val="single"/>
                </w:rPr>
                <w:t>Certification of Chief Financial Officer pursuant to Rule 13a-14(a)/15d-14(a)</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4123110xk.htm">
              <w:r>
                <w:rPr>
                  <w:rStyle w:val="InternetLink"/>
                  <w:rFonts w:ascii="Work Sans;sans-serif" w:hAnsi="Work Sans;sans-serif"/>
                  <w:b w:val="false"/>
                  <w:color w:val="0000FF"/>
                  <w:sz w:val="16"/>
                  <w:u w:val="single"/>
                </w:rPr>
                <w:t>32.1</w:t>
              </w:r>
            </w:hyperlink>
            <w:r>
              <w:rPr>
                <w:rFonts w:ascii="Work Sans;sans-serif" w:hAnsi="Work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4123110xk.htm">
              <w:r>
                <w:rPr>
                  <w:rStyle w:val="InternetLink"/>
                  <w:rFonts w:ascii="Work Sans;sans-serif" w:hAnsi="Work Sans;sans-serif"/>
                  <w:b w:val="false"/>
                  <w:color w:val="0000FF"/>
                  <w:sz w:val="16"/>
                  <w:u w:val="single"/>
                </w:rPr>
                <w:t>Certification of Chief Executive Officer and Chief Financial Officer pursuant to Section 906 of the Sarbanes-Oxley Act of 2002</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6"/>
              </w:rPr>
              <w:t>LegalZoom.com, Inc. Mandatory Clawback Policy (</w:t>
            </w:r>
            <w:hyperlink r:id="rId51">
              <w:r>
                <w:rPr>
                  <w:rStyle w:val="InternetLink"/>
                  <w:rFonts w:ascii="Work Sans;sans-serif" w:hAnsi="Work Sans;sans-serif"/>
                  <w:b w:val="false"/>
                  <w:color w:val="000080"/>
                  <w:sz w:val="16"/>
                  <w:u w:val="single"/>
                </w:rPr>
                <w:t>incorporated by reference to Exhibit 97.1 to the Company</w:t>
              </w:r>
            </w:hyperlink>
            <w:hyperlink r:id="rId52">
              <w:r>
                <w:rPr>
                  <w:rStyle w:val="InternetLink"/>
                  <w:rFonts w:ascii="Work Sans;sans-serif" w:hAnsi="Work Sans;sans-serif"/>
                  <w:b w:val="false"/>
                  <w:color w:val="000080"/>
                  <w:sz w:val="16"/>
                  <w:u w:val="single"/>
                </w:rPr>
                <w:t>’</w:t>
              </w:r>
            </w:hyperlink>
            <w:hyperlink r:id="rId53">
              <w:r>
                <w:rPr>
                  <w:rStyle w:val="InternetLink"/>
                  <w:rFonts w:ascii="Work Sans;sans-serif" w:hAnsi="Work Sans;sans-serif"/>
                  <w:b w:val="false"/>
                  <w:color w:val="000080"/>
                  <w:sz w:val="16"/>
                  <w:u w:val="single"/>
                </w:rPr>
                <w:t>s Annual Report on Form 10-K filed with the SEC on February 29, 2024</w:t>
              </w:r>
            </w:hyperlink>
            <w:r>
              <w:rPr>
                <w:rFonts w:ascii="Work Sans;sans-serif" w:hAnsi="Work Sans;sans-serif"/>
                <w:b w:val="false"/>
                <w:color w:val="000000"/>
                <w:sz w:val="16"/>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The following financial statements from the Company’s Annual Report on Form 10-K for the year ended December 31, 2024 were formatted in Inline XBRL: (i) Consolidated Balance Sheets, (ii) Consolidated Statements of Operations, (iii) Consolidated Statements of Comprehensive Income, (iv) Consolidated Statement of Redeemable Convertible Preferred Stock and Stockholders’ Equity, (v) Consolidated Statements of Cash Flows.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6"/>
              </w:rPr>
            </w:pPr>
            <w:r>
              <w:rPr>
                <w:rFonts w:ascii="Work Sans;sans-serif" w:hAnsi="Work Sans;sans-serif"/>
                <w:b w:val="false"/>
                <w:color w:val="000000"/>
                <w:sz w:val="16"/>
              </w:rPr>
              <w:t>Cover Page Interactive Data File (formatted in Inline XBRL and contained in Exhibit 101).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Indicates a management contract or compensatory plan.</w:t>
      </w:r>
    </w:p>
    <w:p>
      <w:pPr>
        <w:pStyle w:val="TextBody"/>
        <w:bidi w:val="0"/>
        <w:spacing w:lineRule="auto" w:line="288" w:before="12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(c) Financial Statement Schedules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3350"/>
                <wp:effectExtent l="0" t="0" r="0" b="0"/>
                <wp:wrapNone/>
                <wp:docPr id="102" name="Frame10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97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All financial statement schedules have been omitted because the information required to be set forth therein is not applicable or is shown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16. Form 10-K Summary</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3350"/>
                <wp:effectExtent l="0" t="0" r="0" b="0"/>
                <wp:wrapNone/>
                <wp:docPr id="103" name="Frame10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Section 13 or 15(d) of the Securities Exchange Act of 1934, the registrant has duly caused this report to be signed on its behalf by the undersigned, thereunto duly authorized. </w:t>
      </w:r>
    </w:p>
    <w:tbl>
      <w:tblPr>
        <w:tblW w:w="3999" w:type="dxa"/>
        <w:jc w:val="left"/>
        <w:tblInd w:w="0" w:type="dxa"/>
        <w:tblLayout w:type="fixed"/>
        <w:tblCellMar>
          <w:top w:w="28" w:type="dxa"/>
          <w:left w:w="28" w:type="dxa"/>
          <w:bottom w:w="28" w:type="dxa"/>
          <w:right w:w="28" w:type="dxa"/>
        </w:tblCellMar>
      </w:tblPr>
      <w:tblGrid>
        <w:gridCol w:w="124"/>
        <w:gridCol w:w="109"/>
        <w:gridCol w:w="109"/>
        <w:gridCol w:w="242"/>
        <w:gridCol w:w="242"/>
        <w:gridCol w:w="242"/>
        <w:gridCol w:w="242"/>
        <w:gridCol w:w="242"/>
        <w:gridCol w:w="242"/>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Jeffrey Stibel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bl>
    <w:p>
      <w:pPr>
        <w:pStyle w:val="TextBody"/>
        <w:bidi w:val="0"/>
        <w:spacing w:before="0" w:after="120"/>
        <w:ind w:left="0" w:right="0" w:firstLine="450"/>
        <w:jc w:val="both"/>
        <w:rPr/>
      </w:pPr>
      <w:r>
        <w:rPr/>
      </w:r>
    </w:p>
    <w:p>
      <w:pPr>
        <w:pStyle w:val="TextBody"/>
        <w:bidi w:val="0"/>
        <w:spacing w:lineRule="auto" w:line="256" w:before="0" w:after="120"/>
        <w:ind w:left="0" w:right="0" w:firstLine="450"/>
        <w:jc w:val="both"/>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this report has been signed below by the following persons on behalf of the registrant in the capacities and on the dates indicated.</w:t>
      </w:r>
    </w:p>
    <w:tbl>
      <w:tblPr>
        <w:tblW w:w="7854"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113"/>
        <w:gridCol w:w="1113"/>
        <w:gridCol w:w="1120"/>
        <w:gridCol w:w="109"/>
        <w:gridCol w:w="109"/>
        <w:gridCol w:w="109"/>
        <w:gridCol w:w="542"/>
        <w:gridCol w:w="542"/>
        <w:gridCol w:w="776"/>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Date</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Jeffrey Stibel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Operating &amp;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ork Sans;sans-serif" w:hAnsi="Work Sans;sans-serif"/>
                <w:b w:val="false"/>
                <w:color w:val="000000"/>
                <w:sz w:val="18"/>
              </w:rPr>
              <w:t>Noel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Charles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Charles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ork Sans;sans-serif" w:hAnsi="Work Sans;sans-serif"/>
                <w:b w:val="false"/>
                <w:i/>
                <w:color w:val="000000"/>
                <w:sz w:val="18"/>
              </w:rPr>
              <w:t>(Principal Accounting Officer</w:t>
            </w:r>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Nathan Gooden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Nathan Gooden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John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Neil Tolaney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 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February 26, 2025</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8"/>
              </w:rPr>
            </w:pPr>
            <w:r>
              <w:rPr>
                <w:rFonts w:ascii="Work Sans;sans-serif" w:hAnsi="Work Sans;sans-serif"/>
                <w:b w:val="false"/>
                <w:color w:val="000000"/>
                <w:sz w:val="18"/>
              </w:rPr>
              <w:t>Sivan Whiteley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3350"/>
                <wp:effectExtent l="0" t="0" r="0" b="0"/>
                <wp:wrapNone/>
                <wp:docPr id="104" name="Frame10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99</w:t>
                      </w:r>
                    </w:p>
                  </w:txbxContent>
                </v:textbox>
                <w10:wrap type="none"/>
              </v:rect>
            </w:pict>
          </mc:Fallback>
        </mc:AlternateContent>
      </w:r>
    </w:p>
    <w:p>
      <w:pPr>
        <w:pStyle w:val="TextBody"/>
        <w:bidi w:val="0"/>
        <w:spacing w:lineRule="auto" w:line="276" w:before="0" w:after="480"/>
        <w:ind w:left="0" w:right="0" w:hanging="3"/>
        <w:jc w:val="center"/>
        <w:rPr/>
      </w:pPr>
      <w:r>
        <w:rPr>
          <w:rFonts w:ascii="Times New Roman;sans-serif" w:hAnsi="Times New Roman;sans-serif"/>
          <w:b/>
          <w:color w:val="000000"/>
          <w:sz w:val="28"/>
        </w:rPr>
        <w:t>LEGALZOOM.COM, INC.</w:t>
        <w:br/>
        <w:t>GLOBAL RSU AWARD GRANT NOTICE</w:t>
        <w:br/>
        <w:t>(2021 EQUITY INCENTIVE PLAN)</w:t>
      </w:r>
      <w:r>
        <w:rPr/>
        <w:drawing>
          <wp:inline distT="0" distB="0" distL="0" distR="0">
            <wp:extent cx="114300" cy="114300"/>
            <wp:effectExtent l="0" t="0" r="0" b="0"/>
            <wp:docPr id="1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 descr=""/>
                    <pic:cNvPicPr>
                      <a:picLocks noChangeAspect="1" noChangeArrowheads="1"/>
                    </pic:cNvPicPr>
                  </pic:nvPicPr>
                  <pic:blipFill>
                    <a:blip r:embed="rId54"/>
                    <a:stretch>
                      <a:fillRect/>
                    </a:stretch>
                  </pic:blipFill>
                  <pic:spPr bwMode="auto">
                    <a:xfrm>
                      <a:off x="0" y="0"/>
                      <a:ext cx="114300" cy="114300"/>
                    </a:xfrm>
                    <a:prstGeom prst="rect">
                      <a:avLst/>
                    </a:prstGeom>
                  </pic:spPr>
                </pic:pic>
              </a:graphicData>
            </a:graphic>
          </wp:inline>
        </w:drawing>
      </w:r>
    </w:p>
    <w:p>
      <w:pPr>
        <w:pStyle w:val="TextBody"/>
        <w:bidi w:val="0"/>
        <w:spacing w:lineRule="auto" w:line="276" w:before="0" w:after="240"/>
        <w:ind w:left="0" w:right="0" w:hanging="2"/>
        <w:jc w:val="both"/>
        <w:rPr/>
      </w:pPr>
      <w:r>
        <w:rPr>
          <w:rFonts w:ascii="Times New Roman;sans-serif" w:hAnsi="Times New Roman;sans-serif"/>
          <w:b w:val="false"/>
          <w:color w:val="000000"/>
          <w:sz w:val="20"/>
        </w:rPr>
        <w:t>LegalZoom.com,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awarded to you (the “</w:t>
      </w:r>
      <w:r>
        <w:rPr>
          <w:rFonts w:ascii="Times New Roman;sans-serif" w:hAnsi="Times New Roman;sans-serif"/>
          <w:b/>
          <w:i/>
          <w:color w:val="000000"/>
          <w:sz w:val="20"/>
        </w:rPr>
        <w:t>Participant</w:t>
      </w:r>
      <w:r>
        <w:rPr>
          <w:color w:val="000000"/>
        </w:rPr>
        <w:t>”</w:t>
      </w:r>
      <w:r>
        <w:rPr>
          <w:rFonts w:ascii="Times New Roman;sans-serif" w:hAnsi="Times New Roman;sans-serif"/>
          <w:b w:val="false"/>
          <w:color w:val="000000"/>
          <w:sz w:val="20"/>
        </w:rPr>
        <w:t>) the number of restricted stock units (“</w:t>
      </w:r>
      <w:r>
        <w:rPr>
          <w:rFonts w:ascii="Times New Roman;sans-serif" w:hAnsi="Times New Roman;sans-serif"/>
          <w:b/>
          <w:color w:val="000000"/>
          <w:sz w:val="20"/>
        </w:rPr>
        <w:t>PSUs</w:t>
      </w:r>
      <w:r>
        <w:rPr>
          <w:color w:val="000000"/>
        </w:rPr>
        <w:t>”</w:t>
      </w:r>
      <w:r>
        <w:rPr>
          <w:rFonts w:ascii="Times New Roman;sans-serif" w:hAnsi="Times New Roman;sans-serif"/>
          <w:b w:val="false"/>
          <w:color w:val="000000"/>
          <w:sz w:val="20"/>
        </w:rPr>
        <w:t>) specified and, on the terms, set forth below (the “</w:t>
      </w:r>
      <w:r>
        <w:rPr>
          <w:rFonts w:ascii="Times New Roman;sans-serif" w:hAnsi="Times New Roman;sans-serif"/>
          <w:b/>
          <w:i/>
          <w:color w:val="000000"/>
          <w:sz w:val="20"/>
        </w:rPr>
        <w:t>PSU Award</w:t>
      </w:r>
      <w:r>
        <w:rPr>
          <w:color w:val="000000"/>
        </w:rPr>
        <w:t>”</w:t>
      </w:r>
      <w:r>
        <w:rPr>
          <w:rFonts w:ascii="Times New Roman;sans-serif" w:hAnsi="Times New Roman;sans-serif"/>
          <w:b w:val="false"/>
          <w:color w:val="000000"/>
          <w:sz w:val="20"/>
        </w:rPr>
        <w:t>). Your PSU Award is subject to all of the terms and conditions as set forth in this Global RSU Award Grant Notice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and in the Company’s 2021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the Global RSU Award Agreement, including any additional terms and conditions for your country set forth in the appendix thereto (the “</w:t>
      </w:r>
      <w:r>
        <w:rPr>
          <w:rFonts w:ascii="Times New Roman;sans-serif" w:hAnsi="Times New Roman;sans-serif"/>
          <w:b/>
          <w:i/>
          <w:color w:val="000000"/>
          <w:sz w:val="20"/>
        </w:rPr>
        <w:t>Appendix</w:t>
      </w:r>
      <w:r>
        <w:rPr>
          <w:color w:val="000000"/>
        </w:rPr>
        <w:t xml:space="preserve">” </w:t>
      </w:r>
      <w:r>
        <w:rPr>
          <w:rFonts w:ascii="Times New Roman;sans-serif" w:hAnsi="Times New Roman;sans-serif"/>
          <w:b w:val="false"/>
          <w:color w:val="000000"/>
          <w:sz w:val="20"/>
        </w:rPr>
        <w:t>and, together with the Global RSU Award Agreement,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xml:space="preserve">), all of which are incorporated herein in their entirety. Capitalized terms not explicitly defined herein but defined in the Plan or the Agreement shall have the meanings set forth in the Plan or the Agreement, as applicable. </w:t>
      </w:r>
    </w:p>
    <w:p>
      <w:pPr>
        <w:pStyle w:val="TextBody"/>
        <w:bidi w:val="0"/>
        <w:spacing w:lineRule="auto" w:line="276" w:before="0" w:after="0"/>
        <w:ind w:left="0" w:right="0" w:hanging="2"/>
        <w:jc w:val="both"/>
        <w:rPr/>
      </w:pPr>
      <w:r>
        <w:rPr>
          <w:rFonts w:ascii="Times New Roman;sans-serif" w:hAnsi="Times New Roman;sans-serif"/>
          <w:b w:val="false"/>
          <w:color w:val="000000"/>
          <w:sz w:val="20"/>
        </w:rPr>
        <w:t>Participant:    </w:t>
      </w:r>
      <w:r>
        <w:rPr>
          <w:color w:val="000000"/>
          <w:u w:val="single"/>
        </w:rPr>
        <w:t>    </w:t>
      </w:r>
    </w:p>
    <w:p>
      <w:pPr>
        <w:pStyle w:val="TextBody"/>
        <w:bidi w:val="0"/>
        <w:spacing w:lineRule="auto" w:line="276" w:before="0" w:after="0"/>
        <w:ind w:left="0" w:right="0" w:hanging="2"/>
        <w:jc w:val="both"/>
        <w:rPr/>
      </w:pPr>
      <w:r>
        <w:rPr>
          <w:rFonts w:ascii="Times New Roman;sans-serif" w:hAnsi="Times New Roman;sans-serif"/>
          <w:b w:val="false"/>
          <w:color w:val="000000"/>
          <w:sz w:val="20"/>
        </w:rPr>
        <w:t>Date of Grant:    </w:t>
      </w:r>
      <w:r>
        <w:rPr>
          <w:color w:val="000000"/>
          <w:u w:val="single"/>
        </w:rPr>
        <w:t>    </w:t>
      </w:r>
    </w:p>
    <w:p>
      <w:pPr>
        <w:pStyle w:val="TextBody"/>
        <w:bidi w:val="0"/>
        <w:spacing w:lineRule="auto" w:line="276" w:before="0" w:after="0"/>
        <w:ind w:left="0" w:right="0" w:hanging="2"/>
        <w:jc w:val="both"/>
        <w:rPr/>
      </w:pPr>
      <w:r>
        <w:rPr>
          <w:rFonts w:ascii="Times New Roman;sans-serif" w:hAnsi="Times New Roman;sans-serif"/>
          <w:b w:val="false"/>
          <w:color w:val="000000"/>
          <w:sz w:val="20"/>
        </w:rPr>
        <w:t>Target Number of Restricted Stock Units:    </w:t>
      </w:r>
      <w:r>
        <w:rPr>
          <w:color w:val="000000"/>
          <w:u w:val="single"/>
        </w:rPr>
        <w:t>    </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pPr>
      <w:r>
        <w:rPr>
          <w:rFonts w:ascii="Times New Roman;sans-serif" w:hAnsi="Times New Roman;sans-serif"/>
          <w:b/>
          <w:color w:val="000000"/>
          <w:sz w:val="20"/>
        </w:rPr>
        <w:t>Vesting and Issuance Schedule</w:t>
      </w:r>
      <w:r>
        <w:rPr>
          <w:rFonts w:ascii="Times New Roman;sans-serif" w:hAnsi="Times New Roman;sans-serif"/>
          <w:b w:val="false"/>
          <w:color w:val="000000"/>
          <w:sz w:val="20"/>
        </w:rPr>
        <w:t xml:space="preserve">: </w:t>
      </w:r>
    </w:p>
    <w:p>
      <w:pPr>
        <w:pStyle w:val="TextBody"/>
        <w:bidi w:val="0"/>
        <w:spacing w:before="0" w:after="0"/>
        <w:ind w:left="0" w:right="0" w:hanging="2"/>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4"/>
          <w:shd w:fill="FFFFFF" w:val="clear"/>
        </w:rPr>
        <w:t>a)</w:t>
      </w:r>
      <w:r>
        <w:rPr>
          <w:rFonts w:ascii="Times New Roman;sans-serif" w:hAnsi="Times New Roman;sans-serif"/>
          <w:b w:val="false"/>
          <w:color w:val="000000"/>
          <w:sz w:val="20"/>
          <w:shd w:fill="FFFFFF" w:val="clear"/>
        </w:rPr>
        <w:t>Shares of Common Stock covered by the PSUs will become eligible to vest based upon achievement of the following performance criteria and in the following manner:</w:t>
      </w:r>
    </w:p>
    <w:p>
      <w:pPr>
        <w:pStyle w:val="TextBody"/>
        <w:bidi w:val="0"/>
        <w:spacing w:before="0" w:after="0"/>
        <w:ind w:left="0" w:right="0" w:hanging="2"/>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PSUs will become eligible to vest upon certification by the Compensation Committee (“</w:t>
      </w:r>
      <w:r>
        <w:rPr>
          <w:rFonts w:ascii="Times New Roman;sans-serif" w:hAnsi="Times New Roman;sans-serif"/>
          <w:b/>
          <w:i/>
          <w:color w:val="000000"/>
          <w:sz w:val="20"/>
          <w:shd w:fill="FFFFFF" w:val="clear"/>
        </w:rPr>
        <w:t>Certification</w:t>
      </w:r>
      <w:r>
        <w:rPr>
          <w:color w:val="000000"/>
          <w:shd w:fill="FFFFFF" w:val="clear"/>
        </w:rPr>
        <w:t>”</w:t>
      </w:r>
      <w:r>
        <w:rPr>
          <w:rFonts w:ascii="Times New Roman;sans-serif" w:hAnsi="Times New Roman;sans-serif"/>
          <w:b w:val="false"/>
          <w:color w:val="000000"/>
          <w:sz w:val="20"/>
          <w:shd w:fill="FFFFFF" w:val="clear"/>
        </w:rPr>
        <w:t>) that, during the [_____] year period ending [_____] (such period, as it may be truncated or extended in accordance with the provisions below, the “</w:t>
      </w:r>
      <w:r>
        <w:rPr>
          <w:rFonts w:ascii="Times New Roman;sans-serif" w:hAnsi="Times New Roman;sans-serif"/>
          <w:b/>
          <w:i/>
          <w:color w:val="000000"/>
          <w:sz w:val="20"/>
          <w:shd w:fill="FFFFFF" w:val="clear"/>
        </w:rPr>
        <w:t>Performance Period</w:t>
      </w:r>
      <w:r>
        <w:rPr>
          <w:color w:val="000000"/>
          <w:shd w:fill="FFFFFF" w:val="clear"/>
        </w:rPr>
        <w:t>”</w:t>
      </w:r>
      <w:r>
        <w:rPr>
          <w:rFonts w:ascii="Times New Roman;sans-serif" w:hAnsi="Times New Roman;sans-serif"/>
          <w:b w:val="false"/>
          <w:color w:val="000000"/>
          <w:sz w:val="20"/>
          <w:shd w:fill="FFFFFF" w:val="clear"/>
        </w:rPr>
        <w:t>), the volume weighted average closing price per share of Common Stock over a consecutive thirty (30) trading day period has equaled or exceeded</w:t>
      </w:r>
      <w:r>
        <w:rPr>
          <w:color w:val="000000"/>
        </w:rPr>
        <w:t xml:space="preserve"> </w:t>
      </w:r>
      <w:r>
        <w:rPr>
          <w:rFonts w:ascii="Times New Roman;sans-serif" w:hAnsi="Times New Roman;sans-serif"/>
          <w:b w:val="false"/>
          <w:color w:val="000000"/>
          <w:sz w:val="20"/>
          <w:shd w:fill="FFFFFF" w:val="clear"/>
        </w:rPr>
        <w:t>a</w:t>
      </w:r>
      <w:r>
        <w:rPr>
          <w:color w:val="000000"/>
        </w:rPr>
        <w:t xml:space="preserve"> </w:t>
      </w:r>
      <w:r>
        <w:rPr>
          <w:rFonts w:ascii="Times New Roman;sans-serif" w:hAnsi="Times New Roman;sans-serif"/>
          <w:b w:val="false"/>
          <w:color w:val="000000"/>
          <w:sz w:val="20"/>
          <w:shd w:fill="FFFFFF" w:val="clear"/>
        </w:rPr>
        <w:t>target stock price as set forth in the table below (each, a “</w:t>
      </w:r>
      <w:r>
        <w:rPr>
          <w:rFonts w:ascii="Times New Roman;sans-serif" w:hAnsi="Times New Roman;sans-serif"/>
          <w:b/>
          <w:i/>
          <w:color w:val="000000"/>
          <w:sz w:val="20"/>
          <w:shd w:fill="FFFFFF" w:val="clear"/>
        </w:rPr>
        <w:t>Performance Goal</w:t>
      </w:r>
      <w:r>
        <w:rPr>
          <w:color w:val="000000"/>
          <w:shd w:fill="FFFFFF" w:val="clear"/>
        </w:rPr>
        <w:t>”</w:t>
      </w:r>
      <w:r>
        <w:rPr>
          <w:rFonts w:ascii="Times New Roman;sans-serif" w:hAnsi="Times New Roman;sans-serif"/>
          <w:b w:val="false"/>
          <w:color w:val="000000"/>
          <w:sz w:val="20"/>
          <w:shd w:fill="FFFFFF" w:val="clear"/>
        </w:rPr>
        <w:t xml:space="preserve">). The Compensation Committee shall act as promptly as practicable throughout the Performance Period to certify any achievement of a Performance Goal set forth below. </w:t>
      </w:r>
    </w:p>
    <w:p>
      <w:pPr>
        <w:pStyle w:val="TextBody"/>
        <w:bidi w:val="0"/>
        <w:spacing w:before="0" w:after="0"/>
        <w:ind w:left="0" w:right="0" w:hanging="2"/>
        <w:jc w:val="left"/>
        <w:rPr/>
      </w:pPr>
      <w:r>
        <w:rPr/>
      </w:r>
    </w:p>
    <w:tbl>
      <w:tblPr>
        <w:tblW w:w="4843" w:type="dxa"/>
        <w:jc w:val="left"/>
        <w:tblInd w:w="0" w:type="dxa"/>
        <w:tblLayout w:type="fixed"/>
        <w:tblCellMar>
          <w:top w:w="28" w:type="dxa"/>
          <w:left w:w="28" w:type="dxa"/>
          <w:bottom w:w="28" w:type="dxa"/>
          <w:right w:w="28" w:type="dxa"/>
        </w:tblCellMar>
      </w:tblPr>
      <w:tblGrid>
        <w:gridCol w:w="543"/>
        <w:gridCol w:w="477"/>
        <w:gridCol w:w="480"/>
        <w:gridCol w:w="503"/>
        <w:gridCol w:w="503"/>
        <w:gridCol w:w="508"/>
        <w:gridCol w:w="535"/>
        <w:gridCol w:w="535"/>
        <w:gridCol w:w="759"/>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234" w:after="283"/>
              <w:ind w:left="0" w:right="0" w:hanging="2"/>
              <w:jc w:val="center"/>
              <w:rPr>
                <w:rFonts w:ascii="Times New Roman;sans-serif" w:hAnsi="Times New Roman;sans-serif"/>
                <w:b/>
                <w:color w:val="000000"/>
                <w:sz w:val="18"/>
              </w:rPr>
            </w:pPr>
            <w:r>
              <w:rPr>
                <w:rFonts w:ascii="Times New Roman;sans-serif" w:hAnsi="Times New Roman;sans-serif"/>
                <w:b/>
                <w:color w:val="000000"/>
                <w:sz w:val="18"/>
              </w:rPr>
              <w:t>Performance Goal</w:t>
            </w:r>
          </w:p>
        </w:tc>
        <w:tc>
          <w:tcPr>
            <w:tcW w:w="151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234" w:after="283"/>
              <w:ind w:left="0" w:right="0" w:hanging="2"/>
              <w:jc w:val="center"/>
              <w:rPr>
                <w:rFonts w:ascii="Times New Roman;sans-serif" w:hAnsi="Times New Roman;sans-serif"/>
                <w:b/>
                <w:color w:val="000000"/>
                <w:sz w:val="18"/>
              </w:rPr>
            </w:pPr>
            <w:r>
              <w:rPr>
                <w:rFonts w:ascii="Times New Roman;sans-serif" w:hAnsi="Times New Roman;sans-serif"/>
                <w:b/>
                <w:color w:val="000000"/>
                <w:sz w:val="18"/>
              </w:rPr>
              <w:t>Target Stock Price</w:t>
            </w:r>
          </w:p>
        </w:tc>
        <w:tc>
          <w:tcPr>
            <w:tcW w:w="182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before="0" w:after="0"/>
              <w:ind w:left="0" w:right="0" w:hanging="2"/>
              <w:jc w:val="center"/>
              <w:rPr/>
            </w:pPr>
            <w:r>
              <w:rPr/>
            </w:r>
          </w:p>
          <w:p>
            <w:pPr>
              <w:pStyle w:val="TableContents"/>
              <w:bidi w:val="0"/>
              <w:spacing w:lineRule="auto" w:line="288" w:before="0" w:after="0"/>
              <w:ind w:left="0" w:right="0" w:hanging="2"/>
              <w:jc w:val="center"/>
              <w:rPr>
                <w:rFonts w:ascii="Times New Roman;sans-serif" w:hAnsi="Times New Roman;sans-serif"/>
                <w:b/>
                <w:color w:val="000000"/>
                <w:sz w:val="18"/>
              </w:rPr>
            </w:pPr>
            <w:r>
              <w:rPr>
                <w:rFonts w:ascii="Times New Roman;sans-serif" w:hAnsi="Times New Roman;sans-serif"/>
                <w:b/>
                <w:color w:val="000000"/>
                <w:sz w:val="18"/>
              </w:rPr>
              <w:t>Per Performance Goal</w:t>
            </w:r>
          </w:p>
          <w:p>
            <w:pPr>
              <w:pStyle w:val="TableContents"/>
              <w:bidi w:val="0"/>
              <w:spacing w:lineRule="auto" w:line="288" w:before="0" w:after="0"/>
              <w:ind w:left="0" w:right="0" w:hanging="2"/>
              <w:jc w:val="center"/>
              <w:rPr>
                <w:rFonts w:ascii="Times New Roman;sans-serif" w:hAnsi="Times New Roman;sans-serif"/>
                <w:b/>
                <w:color w:val="000000"/>
                <w:sz w:val="18"/>
              </w:rPr>
            </w:pPr>
            <w:r>
              <w:rPr>
                <w:rFonts w:ascii="Times New Roman;sans-serif" w:hAnsi="Times New Roman;sans-serif"/>
                <w:b/>
                <w:color w:val="000000"/>
                <w:sz w:val="18"/>
              </w:rPr>
              <w:t>Share Vesting**</w:t>
            </w:r>
          </w:p>
        </w:tc>
      </w:tr>
      <w:tr>
        <w:trPr/>
        <w:tc>
          <w:tcPr>
            <w:tcW w:w="1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[Stock Price]</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 of shares]</w:t>
            </w:r>
          </w:p>
        </w:tc>
      </w:tr>
      <w:tr>
        <w:trPr/>
        <w:tc>
          <w:tcPr>
            <w:tcW w:w="1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[Stock Price]</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 of shares]</w:t>
            </w:r>
          </w:p>
        </w:tc>
      </w:tr>
      <w:tr>
        <w:trPr/>
        <w:tc>
          <w:tcPr>
            <w:tcW w:w="1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[Stock Price]</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 of shares]</w:t>
            </w:r>
          </w:p>
        </w:tc>
      </w:tr>
      <w:tr>
        <w:trPr/>
        <w:tc>
          <w:tcPr>
            <w:tcW w:w="15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[Stock Price]</w:t>
            </w:r>
          </w:p>
        </w:tc>
        <w:tc>
          <w:tcPr>
            <w:tcW w:w="18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 of shares]</w:t>
            </w:r>
          </w:p>
        </w:tc>
      </w:tr>
      <w:tr>
        <w:trPr/>
        <w:tc>
          <w:tcPr>
            <w:tcW w:w="15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[Stock Price]</w:t>
            </w:r>
          </w:p>
        </w:tc>
        <w:tc>
          <w:tcPr>
            <w:tcW w:w="18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0" w:after="0"/>
              <w:ind w:left="0" w:right="0" w:hanging="2"/>
              <w:jc w:val="center"/>
              <w:rPr>
                <w:rFonts w:ascii="Times New Roman;sans-serif" w:hAnsi="Times New Roman;sans-serif"/>
                <w:b w:val="false"/>
                <w:i/>
                <w:color w:val="000000"/>
                <w:sz w:val="18"/>
              </w:rPr>
            </w:pPr>
            <w:r>
              <w:rPr>
                <w:rFonts w:ascii="Times New Roman;sans-serif" w:hAnsi="Times New Roman;sans-serif"/>
                <w:b w:val="false"/>
                <w:i/>
                <w:color w:val="000000"/>
                <w:sz w:val="18"/>
              </w:rPr>
              <w:t>[# of shares]</w:t>
            </w:r>
          </w:p>
        </w:tc>
      </w:tr>
    </w:tbl>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Times New Roman;sans-serif" w:hAnsi="Times New Roman;sans-serif"/>
          <w:b w:val="false"/>
          <w:color w:val="000000"/>
          <w:sz w:val="17"/>
          <w:shd w:fill="FFFFFF" w:val="clear"/>
        </w:rPr>
      </w:pPr>
      <w:r>
        <w:rPr>
          <w:rFonts w:ascii="Times New Roman;sans-serif" w:hAnsi="Times New Roman;sans-serif"/>
          <w:b w:val="false"/>
          <w:color w:val="000000"/>
          <w:sz w:val="17"/>
          <w:shd w:fill="FFFFFF" w:val="clear"/>
        </w:rPr>
        <w:t xml:space="preserve">** For the avoidance of doubt, once a Performance Goal in the table above obtains Certification from the Compensation Committee, such Performance Goal is not eligible for Certification again during the Performance Period. </w:t>
      </w:r>
    </w:p>
    <w:p>
      <w:pPr>
        <w:pStyle w:val="TextBody"/>
        <w:bidi w:val="0"/>
        <w:spacing w:lineRule="auto" w:line="292" w:before="234" w:after="283"/>
        <w:ind w:left="0" w:right="0" w:hanging="2"/>
        <w:jc w:val="both"/>
        <w:rPr/>
      </w:pPr>
      <w:r>
        <w:rPr>
          <w:rFonts w:ascii="Times New Roman;sans-serif" w:hAnsi="Times New Roman;sans-serif"/>
          <w:b w:val="false"/>
          <w:color w:val="000000"/>
          <w:sz w:val="20"/>
          <w:shd w:fill="FFFFFF" w:val="clear"/>
        </w:rPr>
        <w:t>Notwithstanding the foregoing, if, as of the earlier of (1)</w:t>
      </w:r>
      <w:r>
        <w:rPr>
          <w:color w:val="000000"/>
        </w:rPr>
        <w:t xml:space="preserve"> </w:t>
      </w:r>
      <w:r>
        <w:rPr>
          <w:rFonts w:ascii="Times New Roman;sans-serif" w:hAnsi="Times New Roman;sans-serif"/>
          <w:b w:val="false"/>
          <w:i/>
          <w:color w:val="000000"/>
          <w:sz w:val="20"/>
        </w:rPr>
        <w:t>[Date]</w:t>
      </w:r>
      <w:r>
        <w:rPr>
          <w:rFonts w:ascii="Times New Roman;sans-serif" w:hAnsi="Times New Roman;sans-serif"/>
          <w:b w:val="false"/>
          <w:color w:val="000000"/>
          <w:sz w:val="20"/>
        </w:rPr>
        <w:t>, and (2) a Good Leaver Termination (as defined below), shares of Common Stock are trading above the</w:t>
      </w:r>
      <w:r>
        <w:rPr>
          <w:color w:val="000000"/>
          <w:shd w:fill="FFFFFF" w:val="clear"/>
        </w:rPr>
        <w:t xml:space="preserve"> </w:t>
      </w:r>
      <w:r>
        <w:rPr>
          <w:rFonts w:ascii="Times New Roman;sans-serif" w:hAnsi="Times New Roman;sans-serif"/>
          <w:b w:val="false"/>
          <w:color w:val="000000"/>
          <w:sz w:val="20"/>
          <w:shd w:fill="FFFFFF" w:val="clear"/>
        </w:rPr>
        <w:t>target stock price for a previously-unachieved Performance Goal, the Performance Period will be extended by 29 trading days and the PSUs will be eligible for Certification by the Compensation Committee with respect to stock performance during such period. Any PSUs that do not obtain Certification by the Compensation Committee based on the target stock price during that time period shall be forfeited.</w:t>
      </w:r>
    </w:p>
    <w:p>
      <w:pPr>
        <w:pStyle w:val="TextBody"/>
        <w:bidi w:val="0"/>
        <w:ind w:left="0" w:right="0" w:hanging="2"/>
        <w:jc w:val="left"/>
        <w:rPr/>
      </w:pPr>
      <w:r>
        <w:rPr/>
      </w:r>
    </w:p>
    <w:p>
      <w:pPr>
        <w:pStyle w:val="TextBody"/>
        <w:bidi w:val="0"/>
        <w:spacing w:before="0" w:after="0"/>
        <w:ind w:left="0" w:right="0" w:hanging="2"/>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both"/>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b)In addition to the performance-based vesting requirements set forth above, the shares of Common Stock covered by the PSU are also subject to the following vesting requirements. The number of shares of Common Stock subject to the PSU that become eligible to vest based on achievement of a Performance Goal, upon Certification by the Compensation Committee in its sole discretion, will be referred to as “</w:t>
      </w:r>
      <w:r>
        <w:rPr>
          <w:rFonts w:ascii="Times New Roman;sans-serif" w:hAnsi="Times New Roman;sans-serif"/>
          <w:b/>
          <w:i/>
          <w:color w:val="000000"/>
          <w:sz w:val="20"/>
          <w:shd w:fill="FFFFFF" w:val="clear"/>
        </w:rPr>
        <w:t>Eligible Shares</w:t>
      </w:r>
      <w:r>
        <w:rPr>
          <w:rFonts w:ascii="Times New Roman;sans-serif" w:hAnsi="Times New Roman;sans-serif"/>
          <w:b w:val="false"/>
          <w:color w:val="000000"/>
          <w:sz w:val="20"/>
          <w:shd w:fill="FFFFFF" w:val="clear"/>
        </w:rPr>
        <w:t xml:space="preserve">.” Any fractional Eligible Share that becomes earned hereunder shall be rounded down to the nearest whole share. </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pPr>
      <w:r>
        <w:rPr>
          <w:rFonts w:ascii="Times New Roman;sans-serif" w:hAnsi="Times New Roman;sans-serif"/>
          <w:b w:val="false"/>
          <w:color w:val="000000"/>
          <w:sz w:val="20"/>
        </w:rPr>
        <w:t xml:space="preserve">If the Compensation Committee certifies achievement of a Performance Goal prior to </w:t>
      </w:r>
      <w:r>
        <w:rPr>
          <w:rFonts w:ascii="Times New Roman;sans-serif" w:hAnsi="Times New Roman;sans-serif"/>
          <w:b w:val="false"/>
          <w:i/>
          <w:color w:val="000000"/>
          <w:sz w:val="20"/>
        </w:rPr>
        <w:t>[Date]</w:t>
      </w:r>
      <w:r>
        <w:rPr>
          <w:rFonts w:ascii="Times New Roman;sans-serif" w:hAnsi="Times New Roman;sans-serif"/>
          <w:b w:val="false"/>
          <w:color w:val="000000"/>
          <w:sz w:val="20"/>
        </w:rPr>
        <w:t xml:space="preserve">, the Eligible Shares will vest in full and become non-forfeitable on </w:t>
      </w:r>
      <w:r>
        <w:rPr>
          <w:rFonts w:ascii="Times New Roman;sans-serif" w:hAnsi="Times New Roman;sans-serif"/>
          <w:b w:val="false"/>
          <w:i/>
          <w:color w:val="000000"/>
          <w:sz w:val="20"/>
        </w:rPr>
        <w:t>[Date]</w:t>
      </w:r>
      <w:r>
        <w:rPr>
          <w:rFonts w:ascii="Times New Roman;sans-serif" w:hAnsi="Times New Roman;sans-serif"/>
          <w:b w:val="false"/>
          <w:color w:val="000000"/>
          <w:sz w:val="20"/>
        </w:rPr>
        <w:t xml:space="preserve">. If the Compensation Committee certifies achievement of a Performance Goal on or subsequent to </w:t>
      </w:r>
      <w:r>
        <w:rPr>
          <w:rFonts w:ascii="Times New Roman;sans-serif" w:hAnsi="Times New Roman;sans-serif"/>
          <w:b w:val="false"/>
          <w:i/>
          <w:color w:val="000000"/>
          <w:sz w:val="20"/>
        </w:rPr>
        <w:t>[Date]</w:t>
      </w:r>
      <w:r>
        <w:rPr>
          <w:rFonts w:ascii="Times New Roman;sans-serif" w:hAnsi="Times New Roman;sans-serif"/>
          <w:b w:val="false"/>
          <w:color w:val="000000"/>
          <w:sz w:val="20"/>
        </w:rPr>
        <w:t xml:space="preserve">, 100% of the Eligible Shares will vest and become non-forfeitable immediately on the date of Certification by the Compensation Committee. </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except as set forth herein, vesting shall terminate upon the Participant’s termination of Continuous Service, as described in Section 6(l) of the Agreement.</w:t>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pPr>
      <w:r>
        <w:rPr>
          <w:rFonts w:ascii="Times New Roman;sans-serif" w:hAnsi="Times New Roman;sans-serif"/>
          <w:b w:val="false"/>
          <w:color w:val="000000"/>
          <w:sz w:val="20"/>
          <w:shd w:fill="FFFFFF" w:val="clear"/>
        </w:rPr>
        <w:t>Notwithstanding the foregoing, upon termination of the Participant’s Continuous Service (a) by the Company without Cause; (b) by the Participant for Good Reason, or (c) by reason of the Participant’s death or Disability (each as defined in the employment agreement between the Participant and the Company, the “</w:t>
      </w:r>
      <w:r>
        <w:rPr>
          <w:rFonts w:ascii="Times New Roman;sans-serif" w:hAnsi="Times New Roman;sans-serif"/>
          <w:b/>
          <w:i/>
          <w:color w:val="000000"/>
          <w:sz w:val="20"/>
          <w:shd w:fill="FFFFFF" w:val="clear"/>
        </w:rPr>
        <w:t>Employment Agreement</w:t>
      </w:r>
      <w:r>
        <w:rPr>
          <w:color w:val="000000"/>
          <w:shd w:fill="FFFFFF" w:val="clear"/>
        </w:rPr>
        <w:t xml:space="preserve">” </w:t>
      </w:r>
      <w:r>
        <w:rPr>
          <w:rFonts w:ascii="Times New Roman;sans-serif" w:hAnsi="Times New Roman;sans-serif"/>
          <w:b w:val="false"/>
          <w:color w:val="000000"/>
          <w:sz w:val="20"/>
          <w:shd w:fill="FFFFFF" w:val="clear"/>
        </w:rPr>
        <w:t>and, any such event in (a) through (c), a “</w:t>
      </w:r>
      <w:r>
        <w:rPr>
          <w:rFonts w:ascii="Times New Roman;sans-serif" w:hAnsi="Times New Roman;sans-serif"/>
          <w:b/>
          <w:i/>
          <w:color w:val="000000"/>
          <w:sz w:val="20"/>
          <w:shd w:fill="FFFFFF" w:val="clear"/>
        </w:rPr>
        <w:t>Good Leaver Termination</w:t>
      </w:r>
      <w:r>
        <w:rPr>
          <w:color w:val="000000"/>
          <w:shd w:fill="FFFFFF" w:val="clear"/>
        </w:rPr>
        <w:t>”</w:t>
      </w:r>
      <w:r>
        <w:rPr>
          <w:rFonts w:ascii="Times New Roman;sans-serif" w:hAnsi="Times New Roman;sans-serif"/>
          <w:b w:val="false"/>
          <w:color w:val="000000"/>
          <w:sz w:val="20"/>
          <w:shd w:fill="FFFFFF" w:val="clear"/>
        </w:rPr>
        <w:t>), the vesting of any Eligible Shares that are then subject only to time-based vesting (or that obtain Certification by the Compensation Committee in the 29 day trading period described above) shall accelerate and become immediately vested and non-forfeitable.</w:t>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pPr>
      <w:r>
        <w:rPr>
          <w:rFonts w:ascii="Times New Roman;sans-serif" w:hAnsi="Times New Roman;sans-serif"/>
          <w:b/>
          <w:color w:val="000000"/>
          <w:sz w:val="20"/>
          <w:shd w:fill="FFFFFF" w:val="clear"/>
        </w:rPr>
        <w:t>Special Vesting:</w:t>
      </w:r>
      <w:r>
        <w:rPr>
          <w:color w:val="000000"/>
        </w:rPr>
        <w:t xml:space="preserve"> </w:t>
      </w:r>
      <w:r>
        <w:rPr>
          <w:rFonts w:ascii="Times New Roman;sans-serif" w:hAnsi="Times New Roman;sans-serif"/>
          <w:b w:val="false"/>
          <w:color w:val="000000"/>
          <w:sz w:val="20"/>
        </w:rPr>
        <w:t>If, during the Performance Period, a Change in Control (as defined in the Employment Agreement) occurs, then the Performance Period will be shortened such that the Performance Period will end as of the Change in Control and, to the extent that any of the Performance Goals are achieved based on the value of the per-share consideration received by the Company’s stockholders in connection with the Change in Control (the “</w:t>
      </w:r>
      <w:r>
        <w:rPr>
          <w:rFonts w:ascii="Times New Roman;sans-serif" w:hAnsi="Times New Roman;sans-serif"/>
          <w:b/>
          <w:i/>
          <w:color w:val="000000"/>
          <w:sz w:val="20"/>
        </w:rPr>
        <w:t>Per-Share Consideration</w:t>
      </w:r>
      <w:r>
        <w:rPr>
          <w:color w:val="000000"/>
        </w:rPr>
        <w:t>”</w:t>
      </w:r>
      <w:r>
        <w:rPr>
          <w:rFonts w:ascii="Times New Roman;sans-serif" w:hAnsi="Times New Roman;sans-serif"/>
          <w:b w:val="false"/>
          <w:color w:val="000000"/>
          <w:sz w:val="20"/>
        </w:rPr>
        <w:t xml:space="preserve">) (and, for the avoidance of doubt, in lieu of and without regard to the </w:t>
      </w:r>
      <w:r>
        <w:rPr>
          <w:rFonts w:ascii="Times New Roman;sans-serif" w:hAnsi="Times New Roman;sans-serif"/>
          <w:b w:val="false"/>
          <w:color w:val="000000"/>
          <w:sz w:val="20"/>
          <w:shd w:fill="FFFFFF" w:val="clear"/>
        </w:rPr>
        <w:t>volume weighted average closing price per share of Common Stock over a consecutive 30 trading day period</w:t>
      </w:r>
      <w:r>
        <w:rPr>
          <w:color w:val="000000"/>
        </w:rPr>
        <w:t xml:space="preserve"> </w:t>
      </w:r>
      <w:r>
        <w:rPr>
          <w:rFonts w:ascii="Times New Roman;sans-serif" w:hAnsi="Times New Roman;sans-serif"/>
          <w:b w:val="false"/>
          <w:color w:val="000000"/>
          <w:sz w:val="20"/>
        </w:rPr>
        <w:t>otherwise required with respect to determining the achievement of a Performance Goal not in connection with a Change in Control), such Performance Goals will be deemed achieved under the PSU, as determined by the Compensation Committee in its sole discretion, and the applicable shares of Common Stock subject to the PSU as a result of such Performance Goal achievement will become Eligible Shares and will vest immediately as of the Change in Control. Any shares of Common Stock subject to the PSU that have not become Eligible Shares prior to or upon the Change in Control will be forfeited automatically.</w:t>
      </w:r>
    </w:p>
    <w:p>
      <w:pPr>
        <w:pStyle w:val="TextBody"/>
        <w:bidi w:val="0"/>
        <w:spacing w:before="0" w:after="0"/>
        <w:ind w:left="0" w:right="0" w:hanging="2"/>
        <w:jc w:val="left"/>
        <w:rPr/>
      </w:pPr>
      <w:r>
        <w:rPr/>
      </w:r>
    </w:p>
    <w:p>
      <w:pPr>
        <w:pStyle w:val="TextBody"/>
        <w:bidi w:val="0"/>
        <w:spacing w:lineRule="auto" w:line="276" w:before="0" w:after="240"/>
        <w:ind w:left="0" w:right="0" w:hanging="2"/>
        <w:jc w:val="both"/>
        <w:rPr/>
      </w:pPr>
      <w:r>
        <w:rPr>
          <w:rFonts w:ascii="Times New Roman;sans-serif" w:hAnsi="Times New Roman;sans-serif"/>
          <w:b/>
          <w:color w:val="000000"/>
          <w:sz w:val="20"/>
        </w:rPr>
        <w:t>Issuance Schedule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One share of Common Stock will be issued for each PSU which vests at the time set forth in this Grant Notice and Agreement.</w:t>
      </w:r>
    </w:p>
    <w:p>
      <w:pPr>
        <w:pStyle w:val="TextBody"/>
        <w:bidi w:val="0"/>
        <w:spacing w:lineRule="auto" w:line="276" w:before="120" w:after="120"/>
        <w:ind w:left="0" w:right="0" w:hanging="2"/>
        <w:jc w:val="both"/>
        <w:rPr/>
      </w:pPr>
      <w:r>
        <w:rPr>
          <w:rFonts w:ascii="Times New Roman;sans-serif" w:hAnsi="Times New Roman;sans-serif"/>
          <w:b/>
          <w:color w:val="000000"/>
          <w:sz w:val="20"/>
        </w:rPr>
        <w:t>Participant Acknowledgements</w:t>
      </w:r>
      <w:r>
        <w:rPr>
          <w:rFonts w:ascii="Times New Roman;sans-serif" w:hAnsi="Times New Roman;sans-serif"/>
          <w:b w:val="false"/>
          <w:color w:val="000000"/>
          <w:sz w:val="20"/>
        </w:rPr>
        <w:t>: By your signature below or by electronic acceptance or authentication in a form authorized by the Company, you understand and agree that: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PSU Award is governed by this Grant Notice and the provisions of the Plan and the Agreement, all of which are made a part of this document. Unless otherwise provided in the Plan, this Grant Notice, and the Agreement (together, the “</w:t>
      </w:r>
      <w:r>
        <w:rPr>
          <w:rFonts w:ascii="Times New Roman;sans-serif" w:hAnsi="Times New Roman;sans-serif"/>
          <w:b/>
          <w:i/>
          <w:color w:val="000000"/>
          <w:sz w:val="20"/>
        </w:rPr>
        <w:t>PSU Award Agreement</w:t>
      </w:r>
      <w:r>
        <w:rPr>
          <w:color w:val="000000"/>
        </w:rPr>
        <w:t>”</w:t>
      </w:r>
      <w:r>
        <w:rPr>
          <w:rFonts w:ascii="Times New Roman;sans-serif" w:hAnsi="Times New Roman;sans-serif"/>
          <w:b w:val="false"/>
          <w:color w:val="000000"/>
          <w:sz w:val="20"/>
        </w:rPr>
        <w:t>) may not be modified, amended, or revised except in a writing signed by you and a duly authorized officer of the Company.</w:t>
      </w:r>
    </w:p>
    <w:p>
      <w:pPr>
        <w:pStyle w:val="TextBody"/>
        <w:bidi w:val="0"/>
        <w:spacing w:before="0" w:after="0"/>
        <w:ind w:left="0" w:right="0" w:firstLine="4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You have read and are familiar with the provisions of the Plan, the PSU Award Agreement and the Prospectus. In the event of any conflict between the provisions in the PSU Award Agreement, or the Prospectus and the terms of the Plan, the terms of the Plan shall control.</w:t>
      </w:r>
    </w:p>
    <w:p>
      <w:pPr>
        <w:pStyle w:val="TextBody"/>
        <w:bidi w:val="0"/>
        <w:spacing w:before="0" w:after="0"/>
        <w:ind w:left="0" w:right="0" w:firstLine="45"/>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PSU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w:t>
      </w:r>
    </w:p>
    <w:p>
      <w:pPr>
        <w:pStyle w:val="TextBody"/>
        <w:bidi w:val="0"/>
        <w:spacing w:before="0" w:after="0"/>
        <w:ind w:left="0" w:right="0" w:hanging="2"/>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or other written agreement between the Company and you in each case that specifies the terms that should govern this PSU Award.</w:t>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lineRule="auto" w:line="276" w:before="0" w:after="0"/>
        <w:ind w:left="0" w:right="0" w:hanging="2"/>
        <w:jc w:val="both"/>
        <w:rPr>
          <w:rFonts w:ascii="Times New Roman;sans-serif" w:hAnsi="Times New Roman;sans-serif"/>
          <w:b/>
          <w:color w:val="000000"/>
          <w:sz w:val="20"/>
        </w:rPr>
      </w:pPr>
      <w:r>
        <w:rPr>
          <w:rFonts w:ascii="Times New Roman;sans-serif" w:hAnsi="Times New Roman;sans-serif"/>
          <w:b/>
          <w:color w:val="000000"/>
          <w:sz w:val="20"/>
        </w:rPr>
        <w:t>LegalZoom.com, Inc.     Participant:</w:t>
      </w:r>
    </w:p>
    <w:p>
      <w:pPr>
        <w:pStyle w:val="TextBody"/>
        <w:bidi w:val="0"/>
        <w:spacing w:lineRule="auto" w:line="288" w:before="0" w:after="0"/>
        <w:ind w:left="0" w:right="0" w:hanging="2"/>
        <w:jc w:val="both"/>
        <w:rPr>
          <w:color w:val="000000"/>
        </w:rPr>
      </w:pPr>
      <w:r>
        <w:rPr>
          <w:color w:val="000000"/>
        </w:rPr>
        <w:t>    </w:t>
      </w:r>
    </w:p>
    <w:p>
      <w:pPr>
        <w:pStyle w:val="TextBody"/>
        <w:bidi w:val="0"/>
        <w:spacing w:lineRule="auto" w:line="276" w:before="0" w:after="0"/>
        <w:ind w:left="0" w:right="0" w:hanging="2"/>
        <w:jc w:val="both"/>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bidi w:val="0"/>
        <w:spacing w:lineRule="auto" w:line="276" w:before="0" w:after="24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Nicole Miller, Chief Legal Officer    </w:t>
      </w:r>
    </w:p>
    <w:p>
      <w:pPr>
        <w:pStyle w:val="TextBody"/>
        <w:bidi w:val="0"/>
        <w:spacing w:lineRule="auto" w:line="276" w:before="0" w:after="0"/>
        <w:ind w:left="0" w:right="0" w:hanging="2"/>
        <w:jc w:val="both"/>
        <w:rPr/>
      </w:pPr>
      <w:r>
        <w:rPr>
          <w:rFonts w:ascii="Times New Roman;sans-serif" w:hAnsi="Times New Roman;sans-serif"/>
          <w:b w:val="false"/>
          <w:color w:val="000000"/>
          <w:sz w:val="20"/>
        </w:rPr>
        <w:t xml:space="preserve">Date: </w:t>
      </w:r>
      <w:r>
        <w:rPr>
          <w:color w:val="000000"/>
          <w:u w:val="single"/>
        </w:rPr>
        <w:t>    </w:t>
      </w:r>
      <w:r>
        <w:rPr>
          <w:color w:val="000000"/>
        </w:rPr>
        <w:t>    </w:t>
      </w:r>
      <w:r>
        <w:rPr>
          <w:color w:val="000000"/>
          <w:u w:val="single"/>
        </w:rPr>
        <w:t>    </w:t>
      </w:r>
    </w:p>
    <w:p>
      <w:pPr>
        <w:pStyle w:val="TextBody"/>
        <w:bidi w:val="0"/>
        <w:ind w:left="0" w:right="0" w:hanging="2"/>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90" w:after="241"/>
        <w:jc w:val="center"/>
        <w:rPr>
          <w:rFonts w:ascii="Times New Roman;sans-serif" w:hAnsi="Times New Roman;sans-serif"/>
          <w:b/>
          <w:color w:val="000000"/>
          <w:sz w:val="24"/>
        </w:rPr>
      </w:pPr>
      <w:r>
        <w:rPr>
          <w:rFonts w:ascii="Times New Roman;sans-serif" w:hAnsi="Times New Roman;sans-serif"/>
          <w:b/>
          <w:color w:val="000000"/>
          <w:sz w:val="24"/>
        </w:rPr>
        <w:t>AMENDMENT TO EMPLOYMENT AGREEMENT</w:t>
      </w:r>
    </w:p>
    <w:p>
      <w:pPr>
        <w:pStyle w:val="TextBody"/>
        <w:bidi w:val="0"/>
        <w:spacing w:lineRule="auto" w:line="240" w:before="90" w:after="241"/>
        <w:ind w:left="0" w:right="0" w:firstLine="720"/>
        <w:jc w:val="left"/>
        <w:rPr/>
      </w:pPr>
      <w:r>
        <w:rPr>
          <w:rFonts w:ascii="Times New Roman;sans-serif" w:hAnsi="Times New Roman;sans-serif"/>
          <w:b w:val="false"/>
          <w:color w:val="000000"/>
          <w:sz w:val="24"/>
        </w:rPr>
        <w:t>THIS AMENDMENT TO EMPLOYMENT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the date indicated below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LegalZoom.com,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Nicole Miller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(each,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Executive is employed as the Company’s Executive Vice President and General Counsel pursuant to that certain Employment Agreement, dated June 16, 2021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Executive and the Company have agreed to amend and restate certain provisions of the Executive’s employment terms and the Employment Agreement as set forth herein.</w:t>
      </w:r>
    </w:p>
    <w:p>
      <w:pPr>
        <w:pStyle w:val="TextBody"/>
        <w:bidi w:val="0"/>
        <w:spacing w:before="0" w:after="0"/>
        <w:ind w:left="0" w:right="0" w:firstLine="720"/>
        <w:jc w:val="left"/>
        <w:rPr/>
      </w:pPr>
      <w:r>
        <w:rPr/>
      </w:r>
    </w:p>
    <w:p>
      <w:pPr>
        <w:pStyle w:val="TextBody"/>
        <w:bidi w:val="0"/>
        <w:spacing w:lineRule="auto" w:line="240" w:before="0" w:after="240"/>
        <w:ind w:left="0" w:right="0" w:firstLine="81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Amendments to Employment Agreement</w:t>
      </w:r>
      <w:r>
        <w:rPr>
          <w:rFonts w:ascii="Times New Roman;sans-serif" w:hAnsi="Times New Roman;sans-serif"/>
          <w:b w:val="false"/>
          <w:color w:val="000000"/>
          <w:sz w:val="24"/>
        </w:rPr>
        <w:t>. The Parties have agreed that henceforth the Executive’s job title shall be changed from “Executive Vice President and General Counsel” to “Chief Legal Officer” and that the Employment Agreement shall be amended mutatis mutandis. The Parties have also agreed that, effective for fiscal year 2024, the Executive’s Performance Bonus target amount shall be changed to 75% of the Executive’s Base Salary for the applicable fiscal year of the Company. In undertaking this Amendment, the Parties agree and acknowledge that this Amendment and the change to the Executive’s job title and any corresponding changes to the Employment Agreement do not constitute or otherwise give rise to “Good Reason” or a termination without “Cause” pursuant to the Employment Agreement or under any other agreement, plan, or policy.</w:t>
      </w:r>
    </w:p>
    <w:p>
      <w:pPr>
        <w:pStyle w:val="TextBody"/>
        <w:bidi w:val="0"/>
        <w:spacing w:lineRule="auto" w:line="240" w:before="0" w:after="240"/>
        <w:ind w:left="0" w:right="0" w:firstLine="81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Misc. Terms and Provisions</w:t>
      </w:r>
      <w:r>
        <w:rPr>
          <w:rFonts w:ascii="Times New Roman;sans-serif" w:hAnsi="Times New Roman;sans-serif"/>
          <w:b w:val="false"/>
          <w:color w:val="000000"/>
          <w:sz w:val="24"/>
        </w:rPr>
        <w:t xml:space="preserve">. Except as provided herein, all other terms and provisions of the Employment Agreement shall remain in full force and effect. This Amendment contains the entire agreement of the Parties with respect to the subject matter hereof, and supersedes all other agreements between or among the Parties with respect to the subject matter 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pStyle w:val="TextBody"/>
        <w:bidi w:val="0"/>
        <w:spacing w:lineRule="auto" w:line="240" w:before="0" w:after="0"/>
        <w:ind w:left="0" w:right="0" w:firstLine="117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each executed this Agreement as of the dates indicated below.</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LegalZoom.com, Inc.</w:t>
      </w:r>
    </w:p>
    <w:p>
      <w:pPr>
        <w:pStyle w:val="TextBody"/>
        <w:bidi w:val="0"/>
        <w:spacing w:lineRule="auto" w:line="288" w:before="0" w:after="1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Sheily Chhabria Panchal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Its: Chief People Officer</w:t>
      </w:r>
    </w:p>
    <w:p>
      <w:pPr>
        <w:pStyle w:val="TextBody"/>
        <w:bidi w:val="0"/>
        <w:spacing w:lineRule="auto" w:line="288"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Dated: 12/13/2024</w:t>
      </w:r>
    </w:p>
    <w:p>
      <w:pPr>
        <w:pStyle w:val="TextBody"/>
        <w:bidi w:val="0"/>
        <w:spacing w:lineRule="auto" w:line="288" w:before="0" w:after="1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Nicole Miller    </w:t>
      </w:r>
    </w:p>
    <w:p>
      <w:pPr>
        <w:pStyle w:val="TextBody"/>
        <w:bidi w:val="0"/>
        <w:spacing w:lineRule="auto" w:line="288"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Dated: 12/13/2024</w:t>
      </w:r>
    </w:p>
    <w:p>
      <w:pPr>
        <w:pStyle w:val="TextBody"/>
        <w:bidi w:val="0"/>
        <w:spacing w:before="0" w:after="12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LegalZoom.com,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color w:val="000000"/>
          <w:sz w:val="22"/>
        </w:rPr>
      </w:pPr>
      <w:r>
        <w:rPr>
          <w:rFonts w:ascii="Times New Roman;sans-serif" w:hAnsi="Times New Roman;sans-serif"/>
          <w:b/>
          <w:color w:val="000000"/>
          <w:sz w:val="22"/>
        </w:rPr>
        <w:t>Policy Principles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This Insider Trading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applies to all employees, directors and designated consultants (each a “</w:t>
      </w:r>
      <w:r>
        <w:rPr>
          <w:rFonts w:ascii="Times New Roman;sans-serif" w:hAnsi="Times New Roman;sans-serif"/>
          <w:b/>
          <w:i/>
          <w:color w:val="000000"/>
          <w:sz w:val="22"/>
        </w:rPr>
        <w:t>Covered Person</w:t>
      </w:r>
      <w:r>
        <w:rPr>
          <w:rFonts w:ascii="Times New Roman;sans-serif" w:hAnsi="Times New Roman;sans-serif"/>
          <w:b w:val="false"/>
          <w:color w:val="000000"/>
          <w:sz w:val="22"/>
        </w:rPr>
        <w:t>,” and collectively, “</w:t>
      </w:r>
      <w:r>
        <w:rPr>
          <w:rFonts w:ascii="Times New Roman;sans-serif" w:hAnsi="Times New Roman;sans-serif"/>
          <w:b/>
          <w:i/>
          <w:color w:val="000000"/>
          <w:sz w:val="22"/>
        </w:rPr>
        <w:t>Covered Persons</w:t>
      </w:r>
      <w:r>
        <w:rPr>
          <w:color w:val="000000"/>
        </w:rPr>
        <w:t>”</w:t>
      </w:r>
      <w:r>
        <w:rPr>
          <w:rFonts w:ascii="Times New Roman;sans-serif" w:hAnsi="Times New Roman;sans-serif"/>
          <w:b w:val="false"/>
          <w:color w:val="000000"/>
          <w:sz w:val="22"/>
        </w:rPr>
        <w:t>) of LegalZoom.com, Inc. and its subsidiaries (together,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such individuals are responsible for understanding the obligations that come with having access to material nonpublic information and wanting to transact in the Company’s securities. This policy also applies to Related Persons (as defined below).</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Federal and state laws, as well as this Policy, prohibit individuals who are in possession of material nonpublic information relating to a company to engage in transactions in the securities of such company. “</w:t>
      </w:r>
      <w:r>
        <w:rPr>
          <w:rFonts w:ascii="Times New Roman;sans-serif" w:hAnsi="Times New Roman;sans-serif"/>
          <w:b/>
          <w:i/>
          <w:color w:val="000000"/>
          <w:sz w:val="22"/>
        </w:rPr>
        <w:t>Material Nonpublic Information</w:t>
      </w:r>
      <w:r>
        <w:rPr>
          <w:color w:val="000000"/>
        </w:rPr>
        <w:t xml:space="preserve">” </w:t>
      </w:r>
      <w:r>
        <w:rPr>
          <w:rFonts w:ascii="Times New Roman;sans-serif" w:hAnsi="Times New Roman;sans-serif"/>
          <w:b w:val="false"/>
          <w:color w:val="000000"/>
          <w:sz w:val="22"/>
        </w:rPr>
        <w:t>is material information related to the Company or material information related to another company that was obtained as a result of your employment or relationship with the Company, such as information regarding customers, suppliers, strategic partners, or competitors of the Company, or information that could be expected to affect the market price of the Company’s or such other company’s securities or be considered important by investors who are considering trading in the Company’s or such other company’s securities, that is not yet publicly available. Please refer to the FAQs below for further information and examples.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Covered Persons may not disclose Material Nonpublic Information outside of the Company unless the disclosure is made in accordance with a specific Company policy that authorizes such disclosure.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Covered Persons may not disclose Material Nonpublic Information to persons within the Company whose jobs do not require them to have that information.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Covered Persons may not recommend to others the purchase or sale of any Company’s securities.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Generally speaking, insider trading is the buying, selling, gifting or making other transfers of securities or derivatives by someone who possesses or is otherwise aware of Material Nonpublic Information about the securities or the issuer of the securities. If you or any of your Related Persons (as defined below) are aware of Material Nonpublic Information regarding a company (including the Company), such as information regarding customers, suppliers, strategic partners, or competitors of the Company, and you or any of your Related Persons trade in the Company’s or such other company’s securities, you and/or any applicable Related Person have broken the law. Please refer to the FAQs below for further information.</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Officers, directors and other employees who have been notified that they are subject to pre-clearance requirements are also required to pre-clear and provide advance notice of transactions in the Company’s securities as described further below. In addition, if you are those individuals </w:t>
      </w:r>
      <w:r>
        <w:rPr>
          <w:rFonts w:ascii="Times New Roman;sans-serif" w:hAnsi="Times New Roman;sans-serif"/>
          <w:b/>
          <w:color w:val="000000"/>
          <w:sz w:val="22"/>
        </w:rPr>
        <w:t xml:space="preserve">listed on Appendix A </w:t>
      </w:r>
      <w:r>
        <w:rPr>
          <w:rFonts w:ascii="Times New Roman;sans-serif" w:hAnsi="Times New Roman;sans-serif"/>
          <w:b w:val="false"/>
          <w:color w:val="000000"/>
          <w:sz w:val="22"/>
        </w:rPr>
        <w:t>(together, “</w:t>
      </w:r>
      <w:r>
        <w:rPr>
          <w:rFonts w:ascii="Times New Roman;sans-serif" w:hAnsi="Times New Roman;sans-serif"/>
          <w:b/>
          <w:i/>
          <w:color w:val="000000"/>
          <w:sz w:val="22"/>
        </w:rPr>
        <w:t>Specified Personnel</w:t>
      </w:r>
      <w:r>
        <w:rPr>
          <w:color w:val="000000"/>
        </w:rPr>
        <w:t>”</w:t>
      </w:r>
      <w:r>
        <w:rPr>
          <w:rFonts w:ascii="Times New Roman;sans-serif" w:hAnsi="Times New Roman;sans-serif"/>
          <w:b w:val="false"/>
          <w:color w:val="000000"/>
          <w:sz w:val="22"/>
        </w:rPr>
        <w:t>), then you and your Related Persons are subject to the quarterly and other trading blackout periods described below. The Chief Legal Officer or the Chief Legal Officer’s designee (the “</w:t>
      </w:r>
      <w:r>
        <w:rPr>
          <w:rFonts w:ascii="Times New Roman;sans-serif" w:hAnsi="Times New Roman;sans-serif"/>
          <w:b/>
          <w:i/>
          <w:color w:val="000000"/>
          <w:sz w:val="22"/>
        </w:rPr>
        <w:t>Compliance Officer</w:t>
      </w:r>
      <w:r>
        <w:rPr>
          <w:color w:val="000000"/>
        </w:rPr>
        <w:t>”</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is responsible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11"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maintaining and updating the list of individuals subject to the pre-clearance requirements, as well as those individuals designed as Specified Personnel.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Violating the Company’s policies may result in disciplinary action, which may include termination of your employment or other relationship with the Company.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Significant changes to this Policy require approval by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or a duly appointed committee of the Board.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 xml:space="preserve">After carefully reviewing this Policy, you must sign the acknowledgment attached as </w:t>
      </w:r>
      <w:r>
        <w:rPr>
          <w:rFonts w:ascii="Times New Roman;sans-serif" w:hAnsi="Times New Roman;sans-serif"/>
          <w:b/>
          <w:color w:val="000000"/>
          <w:sz w:val="22"/>
        </w:rPr>
        <w:t>Appendix B</w:t>
      </w:r>
      <w:r>
        <w:rPr>
          <w:color w:val="000000"/>
        </w:rPr>
        <w:t xml:space="preserve"> </w:t>
      </w:r>
      <w:r>
        <w:rPr>
          <w:rFonts w:ascii="Times New Roman;sans-serif" w:hAnsi="Times New Roman;sans-serif"/>
          <w:b w:val="false"/>
          <w:color w:val="000000"/>
          <w:sz w:val="22"/>
        </w:rPr>
        <w:t>hereto, indicating that you have received, read, understand and agree to comply with this Policy. The acknowledgment must be returned either electronically in a manner provided for by the Company to the Compliance Officer within ten (10) business days of your receipt of this Policy and on an annual or other basis as the Company may require.</w:t>
      </w:r>
    </w:p>
    <w:p>
      <w:pPr>
        <w:pStyle w:val="TextBody"/>
        <w:bidi w:val="0"/>
        <w:spacing w:before="0" w:after="240"/>
        <w:jc w:val="both"/>
        <w:rPr/>
      </w:pPr>
      <w:r>
        <w:rPr/>
        <w:drawing>
          <wp:inline distT="0" distB="0" distL="0" distR="0">
            <wp:extent cx="6029325" cy="457200"/>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55"/>
                    <a:stretch>
                      <a:fillRect/>
                    </a:stretch>
                  </pic:blipFill>
                  <pic:spPr bwMode="auto">
                    <a:xfrm>
                      <a:off x="0" y="0"/>
                      <a:ext cx="6029325" cy="457200"/>
                    </a:xfrm>
                    <a:prstGeom prst="rect">
                      <a:avLst/>
                    </a:prstGeom>
                  </pic:spPr>
                </pic:pic>
              </a:graphicData>
            </a:graphic>
          </wp:inline>
        </w:drawing>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Policy Q&amp;A</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Policy Scope and Purpose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do we have an insider trading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During the course of your relationship with the Company, you may receive Material Nonpublic Information about the Company or other companies. Material Nonpublic Information may give you, or someone to whom you pass that information, a leg up over others when deciding whether to buy, sell or otherwise transact in the Company’s securities or the securities of another company. This Policy sets forth guidelines with respect to transactions in Company securities, as well as transactions in securities of certain other companies, by persons subject to this Policy.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is subject to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This Policy applies to all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trust, venture or other investment fund, if you influence, direct, or control transactions of such entity). The foregoing persons who are deemed subject to this Policy are referred to in this Policy as “</w:t>
      </w:r>
      <w:r>
        <w:rPr>
          <w:rFonts w:ascii="Times New Roman;sans-serif" w:hAnsi="Times New Roman;sans-serif"/>
          <w:b/>
          <w:i/>
          <w:color w:val="000000"/>
          <w:sz w:val="22"/>
        </w:rPr>
        <w:t>Related Persons</w:t>
      </w:r>
      <w:r>
        <w:rPr>
          <w:rFonts w:ascii="Times New Roman;sans-serif" w:hAnsi="Times New Roman;sans-serif"/>
          <w:b w:val="false"/>
          <w:color w:val="000000"/>
          <w:sz w:val="22"/>
        </w:rPr>
        <w:t xml:space="preserve">.” You are responsible for making sure that your Related Persons understand and comply with this Policy. </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 xml:space="preserve">In addition, Specified Personnel and their Related Persons are subject to the quarterly and other trading blackout periods described below. Officers, directors and other employees or designated consultants who have been notified by the Compliance Officer or his or her designee that they are subject to pre-clearance requirements are also subject to pre-clear and provide advance notice of transactions in the Company’s securities as described further below.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49910"/>
                <wp:effectExtent l="0" t="0" r="0" b="0"/>
                <wp:wrapNone/>
                <wp:docPr id="113" name="Frame110"/>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w:t>
                            </w:r>
                            <w:r>
                              <w:br w:type="page"/>
                            </w:r>
                          </w:p>
                          <w:p>
                            <w:pPr>
                              <w:pStyle w:val="TextBody"/>
                              <w:bidi w:val="0"/>
                              <w:spacing w:before="0" w:after="0"/>
                              <w:jc w:val="both"/>
                              <w:rPr/>
                            </w:pPr>
                            <w:r>
                              <w:rPr/>
                              <w:drawing>
                                <wp:inline distT="0" distB="0" distL="0" distR="0">
                                  <wp:extent cx="2581275" cy="276225"/>
                                  <wp:effectExtent l="0" t="0" r="0" b="0"/>
                                  <wp:docPr id="1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 descr=""/>
                                          <pic:cNvPicPr>
                                            <a:picLocks noChangeAspect="1" noChangeArrowheads="1"/>
                                          </pic:cNvPicPr>
                                        </pic:nvPicPr>
                                        <pic:blipFill>
                                          <a:blip r:embed="rId56"/>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w:t>
                      </w:r>
                    </w:p>
                    <w:p>
                      <w:pPr>
                        <w:pStyle w:val="TextBody"/>
                        <w:bidi w:val="0"/>
                        <w:spacing w:before="0" w:after="0"/>
                        <w:jc w:val="both"/>
                        <w:rPr/>
                      </w:pPr>
                      <w:r>
                        <w:rPr/>
                        <w:drawing>
                          <wp:inline distT="0" distB="0" distL="0" distR="0">
                            <wp:extent cx="2581275" cy="276225"/>
                            <wp:effectExtent l="0" t="0" r="0" b="0"/>
                            <wp:docPr id="1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 descr=""/>
                                    <pic:cNvPicPr>
                                      <a:picLocks noChangeAspect="1" noChangeArrowheads="1"/>
                                    </pic:cNvPicPr>
                                  </pic:nvPicPr>
                                  <pic:blipFill>
                                    <a:blip r:embed="rId57"/>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Whose responsibility is it to comply with this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Covered Persons subject to this Policy have ethical and legal obligations to maintain the confidentiality of information about the Company and to not engage in transactions in the Company’s securities or the securities of another company while aware of Material Nonpublic Information relating to the Company or such other company .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transactions are subject to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This Policy applies to all transactions in securities issued by the Company, as well as derivative securities that are not issued by the Company, such as exchange-traded put or call options or swaps relating to the Company’s securities, and securities of other companies where information about such securities or such issuers was obtained as a result of your employment or relationship with the Company, such as information regarding customers, suppliers, strategic partners, or competitors of the Company. Accordingly, for purposes of this Policy, the terms “</w:t>
      </w:r>
      <w:r>
        <w:rPr>
          <w:rFonts w:ascii="Times New Roman;sans-serif" w:hAnsi="Times New Roman;sans-serif"/>
          <w:b/>
          <w:i/>
          <w:color w:val="000000"/>
          <w:sz w:val="22"/>
        </w:rPr>
        <w:t>trade</w:t>
      </w:r>
      <w:r>
        <w:rPr>
          <w:rFonts w:ascii="Times New Roman;sans-serif" w:hAnsi="Times New Roman;sans-serif"/>
          <w:b w:val="false"/>
          <w:color w:val="000000"/>
          <w:sz w:val="22"/>
        </w:rPr>
        <w:t>,” “</w:t>
      </w:r>
      <w:r>
        <w:rPr>
          <w:rFonts w:ascii="Times New Roman;sans-serif" w:hAnsi="Times New Roman;sans-serif"/>
          <w:b/>
          <w:i/>
          <w:color w:val="000000"/>
          <w:sz w:val="22"/>
        </w:rPr>
        <w:t>trading</w:t>
      </w:r>
      <w:r>
        <w:rPr>
          <w:rFonts w:ascii="Times New Roman;sans-serif" w:hAnsi="Times New Roman;sans-serif"/>
          <w:b w:val="false"/>
          <w:color w:val="000000"/>
          <w:sz w:val="22"/>
        </w:rPr>
        <w:t>,” and “</w:t>
      </w:r>
      <w:r>
        <w:rPr>
          <w:rFonts w:ascii="Times New Roman;sans-serif" w:hAnsi="Times New Roman;sans-serif"/>
          <w:b/>
          <w:i/>
          <w:color w:val="000000"/>
          <w:sz w:val="22"/>
        </w:rPr>
        <w:t>transactions</w:t>
      </w:r>
      <w:r>
        <w:rPr>
          <w:color w:val="000000"/>
        </w:rPr>
        <w:t xml:space="preserve">” </w:t>
      </w:r>
      <w:r>
        <w:rPr>
          <w:rFonts w:ascii="Times New Roman;sans-serif" w:hAnsi="Times New Roman;sans-serif"/>
          <w:b w:val="false"/>
          <w:color w:val="000000"/>
          <w:sz w:val="22"/>
        </w:rPr>
        <w:t xml:space="preserve">include not only purchases and sales in the public markets or otherwise of the Company’s securities and securities of other companies where information about such securities or such issuers was obtained as a result of your employment or relationship with the Company but also </w:t>
      </w:r>
      <w:r>
        <w:rPr>
          <w:rFonts w:ascii="Times New Roman;sans-serif" w:hAnsi="Times New Roman;sans-serif"/>
          <w:b w:val="false"/>
          <w:i/>
          <w:color w:val="000000"/>
          <w:sz w:val="22"/>
        </w:rPr>
        <w:t xml:space="preserve">bona fide </w:t>
      </w:r>
      <w:r>
        <w:rPr>
          <w:rFonts w:ascii="Times New Roman;sans-serif" w:hAnsi="Times New Roman;sans-serif"/>
          <w:b w:val="false"/>
          <w:color w:val="000000"/>
          <w:sz w:val="22"/>
        </w:rPr>
        <w:t>gifts of Company securities or securities of such other companies, as well as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For transactions that are exempt from this Policy, see “</w:t>
      </w:r>
      <w:r>
        <w:rPr>
          <w:rFonts w:ascii="Times New Roman;sans-serif" w:hAnsi="Times New Roman;sans-serif"/>
          <w:b/>
          <w:color w:val="000000"/>
          <w:sz w:val="22"/>
        </w:rPr>
        <w:t>Exceptions to this Policy</w:t>
      </w:r>
      <w:r>
        <w:rPr>
          <w:color w:val="000000"/>
        </w:rPr>
        <w:t xml:space="preserve">” </w:t>
      </w:r>
      <w:r>
        <w:rPr>
          <w:rFonts w:ascii="Times New Roman;sans-serif" w:hAnsi="Times New Roman;sans-serif"/>
          <w:b w:val="false"/>
          <w:color w:val="000000"/>
          <w:sz w:val="22"/>
        </w:rPr>
        <w:t>below.</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Insider Trading and Material Nonpublic Information</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insider trading?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Generally speaking, insider trading is the buying, selling, gifting or making other transfers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securities. It does not matter whether the decision to buy or sell was influenced by the Material Nonpublic Information, how many shares you buy or sell, or whether it has an effect on the stock price. Bottom line: If you or any of your Related Persons are aware of Material Nonpublic Information about the Company or another company that was obtained as a result of your employment or relationship with the Company, and you or any of your Related Persons trade in the Company’s or such other company’s securities, you and/or any applicable Related Person have broken the law.</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 xml:space="preserve">From time to time, the Company may engage in transactions in its own securities. It is the Company’s policy to comply with all applicable securities and state laws (including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49910"/>
                <wp:effectExtent l="0" t="0" r="0" b="0"/>
                <wp:wrapNone/>
                <wp:docPr id="116" name="Frame111"/>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w:t>
                            </w:r>
                            <w:r>
                              <w:br w:type="page"/>
                            </w:r>
                          </w:p>
                          <w:p>
                            <w:pPr>
                              <w:pStyle w:val="TextBody"/>
                              <w:bidi w:val="0"/>
                              <w:spacing w:before="0" w:after="0"/>
                              <w:jc w:val="both"/>
                              <w:rPr/>
                            </w:pPr>
                            <w:r>
                              <w:rPr/>
                              <w:drawing>
                                <wp:inline distT="0" distB="0" distL="0" distR="0">
                                  <wp:extent cx="2581275" cy="276225"/>
                                  <wp:effectExtent l="0" t="0" r="0" b="0"/>
                                  <wp:docPr id="1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 descr=""/>
                                          <pic:cNvPicPr>
                                            <a:picLocks noChangeAspect="1" noChangeArrowheads="1"/>
                                          </pic:cNvPicPr>
                                        </pic:nvPicPr>
                                        <pic:blipFill>
                                          <a:blip r:embed="rId58"/>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3</w:t>
                      </w:r>
                    </w:p>
                    <w:p>
                      <w:pPr>
                        <w:pStyle w:val="TextBody"/>
                        <w:bidi w:val="0"/>
                        <w:spacing w:before="0" w:after="0"/>
                        <w:jc w:val="both"/>
                        <w:rPr/>
                      </w:pPr>
                      <w:r>
                        <w:rPr/>
                        <w:drawing>
                          <wp:inline distT="0" distB="0" distL="0" distR="0">
                            <wp:extent cx="2581275" cy="276225"/>
                            <wp:effectExtent l="0" t="0" r="0" b="0"/>
                            <wp:docPr id="1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 descr=""/>
                                    <pic:cNvPicPr>
                                      <a:picLocks noChangeAspect="1" noChangeArrowheads="1"/>
                                    </pic:cNvPicPr>
                                  </pic:nvPicPr>
                                  <pic:blipFill>
                                    <a:blip r:embed="rId59"/>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approvals by the Board of Directors or appropriate committee, if required) when engaging in transactions in Company securities.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is insider trading illegal?</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material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It is not always easy to figure out whether you are aware of Material Nonpublic Information, but there is one important factor to determine whether nonpublic information you know about a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 xml:space="preserve">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Q:    </w:t>
      </w:r>
      <w:r>
        <w:rPr>
          <w:rFonts w:ascii="Times New Roman;sans-serif" w:hAnsi="Times New Roman;sans-serif"/>
          <w:b/>
          <w:color w:val="000000"/>
          <w:sz w:val="22"/>
        </w:rPr>
        <w:t>What are examples of material informatio</w:t>
      </w:r>
      <w:r>
        <w:rPr>
          <w:rFonts w:ascii="Times New Roman;sans-serif" w:hAnsi="Times New Roman;sans-serif"/>
          <w:b w:val="false"/>
          <w:color w:val="000000"/>
          <w:sz w:val="22"/>
        </w:rPr>
        <w:t>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There may be other types of information that would qualify as material information as well; use this list merely as a non-exhaustive guide: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financial results or forecasts;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acquisitions, dispositions or other strategic transactions;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events regarding the Company’s securities (e.g., repurchase plans, stock splits, public or private equity or debt offerings, or changes in the Company’s dividend policies or amounts);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major contracts or contract cancellations;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gain or loss of a significant customer;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pricing changes;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new product releases;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significant product problems;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management or control changes;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financial restatements or significant writeoffs;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employee layoffs;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a disruption in the Company’s operations, supply chain or distribution channel;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9910"/>
                <wp:effectExtent l="0" t="0" r="0" b="0"/>
                <wp:wrapNone/>
                <wp:docPr id="119" name="Frame112"/>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w:t>
                            </w:r>
                            <w:r>
                              <w:br w:type="page"/>
                            </w:r>
                          </w:p>
                          <w:p>
                            <w:pPr>
                              <w:pStyle w:val="TextBody"/>
                              <w:bidi w:val="0"/>
                              <w:spacing w:before="0" w:after="0"/>
                              <w:jc w:val="both"/>
                              <w:rPr/>
                            </w:pPr>
                            <w:r>
                              <w:rPr/>
                              <w:drawing>
                                <wp:inline distT="0" distB="0" distL="0" distR="0">
                                  <wp:extent cx="2581275" cy="276225"/>
                                  <wp:effectExtent l="0" t="0" r="0" b="0"/>
                                  <wp:docPr id="1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 descr=""/>
                                          <pic:cNvPicPr>
                                            <a:picLocks noChangeAspect="1" noChangeArrowheads="1"/>
                                          </pic:cNvPicPr>
                                        </pic:nvPicPr>
                                        <pic:blipFill>
                                          <a:blip r:embed="rId60"/>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4</w:t>
                      </w:r>
                    </w:p>
                    <w:p>
                      <w:pPr>
                        <w:pStyle w:val="TextBody"/>
                        <w:bidi w:val="0"/>
                        <w:spacing w:before="0" w:after="0"/>
                        <w:jc w:val="both"/>
                        <w:rPr/>
                      </w:pPr>
                      <w:r>
                        <w:rPr/>
                        <w:drawing>
                          <wp:inline distT="0" distB="0" distL="0" distR="0">
                            <wp:extent cx="2581275" cy="276225"/>
                            <wp:effectExtent l="0" t="0" r="0" b="0"/>
                            <wp:docPr id="1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 descr=""/>
                                    <pic:cNvPicPr>
                                      <a:picLocks noChangeAspect="1" noChangeArrowheads="1"/>
                                    </pic:cNvPicPr>
                                  </pic:nvPicPr>
                                  <pic:blipFill>
                                    <a:blip r:embed="rId61"/>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a breach or unauthorized access of the Company’s property or assets, including its facilities or information technology infrastructure;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proxy fights;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actual or threatened major litigation, Securities and Exchange Commission (“</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xml:space="preserve">) or other investigations, or a major development in or the resolution of any such litigation or investigation;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impending bankruptcy;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 xml:space="preserve">communications with government agencies;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changes in patents, trademarks or other intellectual property rights.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you have questions regarding specific information, please contact the Compliance Officer.</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When is information considered public?</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The prohibition on trading when you have Material Nonpublic Information lifts once that information becomes publicly disseminated.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that information would be considered to be publicly disseminated by the time trading begins on Friday; if we announce Material Nonpublic Information after trading ends on Wednesday, then that information would be considered to be publicly disseminated by the time trading ends on Friday. Depending on the particular circumstances, the Company may determine that a longer or shorter waiting period should apply to the release of specific Material Nonpublic Information. The fact that rumors, speculation, or statements attributed to unidentified sources are public is insufficient to be considered publicly disseminated even when the information is accurate.</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can be guilty of insider trading?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288" w:before="0" w:after="240"/>
        <w:ind w:left="0" w:right="0" w:hanging="720"/>
        <w:jc w:val="both"/>
        <w:rPr/>
      </w:pPr>
      <w:r>
        <w:rPr>
          <w:rFonts w:ascii="Times New Roman;sans-serif" w:hAnsi="Times New Roman;sans-serif"/>
          <w:b/>
          <w:color w:val="000000"/>
          <w:sz w:val="22"/>
        </w:rPr>
        <w:t>Q:     What if I am aware of Material Nonpublic Information</w:t>
      </w:r>
      <w:r>
        <w:rPr>
          <w:color w:val="000000"/>
        </w:rPr>
        <w:t xml:space="preserve"> </w:t>
      </w:r>
      <w:r>
        <w:rPr>
          <w:rFonts w:ascii="Times New Roman;sans-serif" w:hAnsi="Times New Roman;sans-serif"/>
          <w:b/>
          <w:color w:val="000000"/>
          <w:sz w:val="22"/>
        </w:rPr>
        <w:t>when I trade, but the reason I trade is because of something else, like to pay medical bills?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9910"/>
                <wp:effectExtent l="0" t="0" r="0" b="0"/>
                <wp:wrapNone/>
                <wp:docPr id="122" name="Frame113"/>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w:t>
                            </w:r>
                            <w:r>
                              <w:br w:type="page"/>
                            </w:r>
                          </w:p>
                          <w:p>
                            <w:pPr>
                              <w:pStyle w:val="TextBody"/>
                              <w:bidi w:val="0"/>
                              <w:spacing w:before="0" w:after="0"/>
                              <w:jc w:val="both"/>
                              <w:rPr/>
                            </w:pPr>
                            <w:r>
                              <w:rPr/>
                              <w:drawing>
                                <wp:inline distT="0" distB="0" distL="0" distR="0">
                                  <wp:extent cx="2581275" cy="276225"/>
                                  <wp:effectExtent l="0" t="0" r="0" b="0"/>
                                  <wp:docPr id="1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 descr=""/>
                                          <pic:cNvPicPr>
                                            <a:picLocks noChangeAspect="1" noChangeArrowheads="1"/>
                                          </pic:cNvPicPr>
                                        </pic:nvPicPr>
                                        <pic:blipFill>
                                          <a:blip r:embed="rId62"/>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5</w:t>
                      </w:r>
                    </w:p>
                    <w:p>
                      <w:pPr>
                        <w:pStyle w:val="TextBody"/>
                        <w:bidi w:val="0"/>
                        <w:spacing w:before="0" w:after="0"/>
                        <w:jc w:val="both"/>
                        <w:rPr/>
                      </w:pPr>
                      <w:r>
                        <w:rPr/>
                        <w:drawing>
                          <wp:inline distT="0" distB="0" distL="0" distR="0">
                            <wp:extent cx="2581275" cy="276225"/>
                            <wp:effectExtent l="0" t="0" r="0" b="0"/>
                            <wp:docPr id="1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 descr=""/>
                                    <pic:cNvPicPr>
                                      <a:picLocks noChangeAspect="1" noChangeArrowheads="1"/>
                                    </pic:cNvPicPr>
                                  </pic:nvPicPr>
                                  <pic:blipFill>
                                    <a:blip r:embed="rId63"/>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I don’t buy or sell anything, but I tell someone else Material Nonpublic Information and he or she buys or sells?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That is called “tipping.” You are the “tipper” and the other person is called the “tippee.” If the tippee buys or sells securities based on that Material Nonpublic Information, both you and the “tippee” could be found guilty of insider trading. In fact, if you tell family members who tell others and those people then trade on the information, both you as the “tippee” and those family members might be found guilty of insider trading. To prevent this, you may not discuss Material Nonpublic Information about the Company or any other company that you obtain information about as a result of your employment or relationship with the Company (i) with persons within the Company whose jobs do not require them to have that Material Nonpublic Information, or (ii)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In addition, you may never recommend to another person that they buy, hold or sell the Company’s securities or any derivative security related to the Company’s common stock, or any securities of any other company for which you obtain information as a result of your employment or relationship with the Company since that could be a form of tipping.</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Does this Policy or the insider trading laws apply to me if I work outside the U.S.?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Yes.</w:t>
      </w:r>
      <w:r>
        <w:rPr>
          <w:color w:val="000000"/>
        </w:rPr>
        <w:t xml:space="preserve"> </w:t>
      </w:r>
      <w:r>
        <w:rPr>
          <w:rFonts w:ascii="Times New Roman;sans-serif" w:hAnsi="Times New Roman;sans-serif"/>
          <w:b w:val="false"/>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Covered Person, our policies apply to you no matter where you work.</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Am I restricted from trading securities of any companies other than the Company, for example a customer or competitor of the Company?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that was obtained as a result of your employment or relationship with the Company, you should not trade in that other company’s securities.</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9910"/>
                <wp:effectExtent l="0" t="0" r="0" b="0"/>
                <wp:wrapNone/>
                <wp:docPr id="125" name="Frame114"/>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w:t>
                            </w:r>
                            <w:r>
                              <w:br w:type="page"/>
                            </w:r>
                          </w:p>
                          <w:p>
                            <w:pPr>
                              <w:pStyle w:val="TextBody"/>
                              <w:bidi w:val="0"/>
                              <w:spacing w:before="0" w:after="0"/>
                              <w:jc w:val="both"/>
                              <w:rPr/>
                            </w:pPr>
                            <w:r>
                              <w:rPr/>
                              <w:drawing>
                                <wp:inline distT="0" distB="0" distL="0" distR="0">
                                  <wp:extent cx="2581275" cy="276225"/>
                                  <wp:effectExtent l="0" t="0" r="0" b="0"/>
                                  <wp:docPr id="1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 descr=""/>
                                          <pic:cNvPicPr>
                                            <a:picLocks noChangeAspect="1" noChangeArrowheads="1"/>
                                          </pic:cNvPicPr>
                                        </pic:nvPicPr>
                                        <pic:blipFill>
                                          <a:blip r:embed="rId64"/>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6</w:t>
                      </w:r>
                    </w:p>
                    <w:p>
                      <w:pPr>
                        <w:pStyle w:val="TextBody"/>
                        <w:bidi w:val="0"/>
                        <w:spacing w:before="0" w:after="0"/>
                        <w:jc w:val="both"/>
                        <w:rPr/>
                      </w:pPr>
                      <w:r>
                        <w:rPr/>
                        <w:drawing>
                          <wp:inline distT="0" distB="0" distL="0" distR="0">
                            <wp:extent cx="2581275" cy="276225"/>
                            <wp:effectExtent l="0" t="0" r="0" b="0"/>
                            <wp:docPr id="1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 descr=""/>
                                    <pic:cNvPicPr>
                                      <a:picLocks noChangeAspect="1" noChangeArrowheads="1"/>
                                    </pic:cNvPicPr>
                                  </pic:nvPicPr>
                                  <pic:blipFill>
                                    <a:blip r:embed="rId65"/>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So when can I trade my Company securities?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If you are aware of Material Nonpublic Information, you may not trade Company securities until two (2) full trading days have elapsed since the information was publicly disclosed. See above under “When is information considered public?” for additional information. </w:t>
      </w:r>
      <w:r>
        <w:rPr>
          <w:rFonts w:ascii="Times New Roman;sans-serif" w:hAnsi="Times New Roman;sans-serif"/>
          <w:b/>
          <w:color w:val="000000"/>
          <w:sz w:val="22"/>
        </w:rPr>
        <w:t>In addition, as discussed further below, even if you are not aware of any Material Nonpublic Information, you may not transact in the Company’s securities during any trading blackout period that applies to you</w:t>
      </w:r>
      <w:r>
        <w:rPr>
          <w:rFonts w:ascii="Times New Roman;sans-serif" w:hAnsi="Times New Roman;sans-serif"/>
          <w:b w:val="false"/>
          <w:color w:val="000000"/>
          <w:sz w:val="22"/>
        </w:rPr>
        <w:t>. This Policy describes the quarterly trading blackout period, and additional event-driven trading blackout periods (which may apply to you even if the quarterly trading blackout periods do not) that may be implemented and announced by the Compliance Officer under “</w:t>
      </w:r>
      <w:r>
        <w:rPr>
          <w:rFonts w:ascii="Times New Roman;sans-serif" w:hAnsi="Times New Roman;sans-serif"/>
          <w:b/>
          <w:color w:val="000000"/>
          <w:sz w:val="22"/>
        </w:rPr>
        <w:t>Blackout Periods</w:t>
      </w:r>
      <w:r>
        <w:rPr>
          <w:color w:val="000000"/>
        </w:rPr>
        <w:t xml:space="preserve">” </w:t>
      </w:r>
      <w:r>
        <w:rPr>
          <w:rFonts w:ascii="Times New Roman;sans-serif" w:hAnsi="Times New Roman;sans-serif"/>
          <w:b w:val="false"/>
          <w:color w:val="000000"/>
          <w:sz w:val="22"/>
        </w:rPr>
        <w:t xml:space="preserve">below.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my relationship with the Company ends?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This Policy continues to apply to your transactions in the Company’s securities and the securities of other public companies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quarterly trading blackout period (as discussed below), then you may not trade the Company’s securities or the securities of other applicable companies until the quarterly trading blackout period has ended.</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Blackout Periods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a quarterly trading blackout period and when do they occur?</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To minimize even the appearance of insider trading by Specified Personnel and their respective Related Persons, we have established “quarterly trading blackout periods” during which such individuals—regardless of whether they are aware of Material Nonpublic Information—may not conduct any trades in Company securities. One significant piece of information about the Company’s overall condition and performance is the Company’s quarterly financial results. As a quarter progresses, more financial information about the quarter is available internally and the Company’s overall performance for the quarter becomes easier to predict. Persons who have access to this information have an advantage not enjoyed by the general investing public. </w:t>
      </w:r>
    </w:p>
    <w:p>
      <w:pPr>
        <w:pStyle w:val="TextBody"/>
        <w:bidi w:val="0"/>
        <w:spacing w:lineRule="auto" w:line="288" w:before="0" w:after="240"/>
        <w:jc w:val="both"/>
        <w:rPr/>
      </w:pPr>
      <w:r>
        <w:rPr>
          <w:rFonts w:ascii="Times New Roman;sans-serif" w:hAnsi="Times New Roman;sans-serif"/>
          <w:b w:val="false"/>
          <w:color w:val="000000"/>
          <w:sz w:val="22"/>
        </w:rPr>
        <w:t>As a result, except as described in this Policy, all Specified Personnel and their respective Related Persons will be prohibited from trading in Company securities during quarterly trading blackout periods, which begin at the end of the 20th day of the third month of each fiscal quarter (</w:t>
      </w:r>
      <w:r>
        <w:rPr>
          <w:rFonts w:ascii="Times New Roman;sans-serif" w:hAnsi="Times New Roman;sans-serif"/>
          <w:b w:val="false"/>
          <w:i/>
          <w:color w:val="000000"/>
          <w:sz w:val="22"/>
        </w:rPr>
        <w:t xml:space="preserve">i.e., </w:t>
      </w:r>
      <w:r>
        <w:rPr>
          <w:rFonts w:ascii="Times New Roman;sans-serif" w:hAnsi="Times New Roman;sans-serif"/>
          <w:b w:val="false"/>
          <w:color w:val="000000"/>
          <w:sz w:val="22"/>
        </w:rPr>
        <w:t xml:space="preserve">March, June, September and December) and end after two (2) full trading days have elapsed since the public dissemination of the Company’s financial results for that quarter. Of course, even during an open trading window period, you may not conduct any trades in Company securities if you are otherwise in possession of Material Nonpublic Information.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the Company’s quarterly trading blackout periods change?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quarterly trading blackout period may commence early or may be extended if, in the judgment of the Chief Executive Officer, Chief Financial Officer or Compliance Officer, there exists undisclosed information that would make trades by Specified Personnel or their respective Related Persons inappropriate. It is important to note that the fact that the quarterly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9910"/>
                <wp:effectExtent l="0" t="0" r="0" b="0"/>
                <wp:wrapNone/>
                <wp:docPr id="128" name="Frame115"/>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w:t>
                            </w:r>
                            <w:r>
                              <w:br w:type="page"/>
                            </w:r>
                          </w:p>
                          <w:p>
                            <w:pPr>
                              <w:pStyle w:val="TextBody"/>
                              <w:bidi w:val="0"/>
                              <w:spacing w:before="0" w:after="0"/>
                              <w:jc w:val="both"/>
                              <w:rPr/>
                            </w:pPr>
                            <w:r>
                              <w:rPr/>
                              <w:drawing>
                                <wp:inline distT="0" distB="0" distL="0" distR="0">
                                  <wp:extent cx="2581275" cy="276225"/>
                                  <wp:effectExtent l="0" t="0" r="0" b="0"/>
                                  <wp:docPr id="1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 descr=""/>
                                          <pic:cNvPicPr>
                                            <a:picLocks noChangeAspect="1" noChangeArrowheads="1"/>
                                          </pic:cNvPicPr>
                                        </pic:nvPicPr>
                                        <pic:blipFill>
                                          <a:blip r:embed="rId66"/>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7</w:t>
                      </w:r>
                    </w:p>
                    <w:p>
                      <w:pPr>
                        <w:pStyle w:val="TextBody"/>
                        <w:bidi w:val="0"/>
                        <w:spacing w:before="0" w:after="0"/>
                        <w:jc w:val="both"/>
                        <w:rPr/>
                      </w:pPr>
                      <w:r>
                        <w:rPr/>
                        <w:drawing>
                          <wp:inline distT="0" distB="0" distL="0" distR="0">
                            <wp:extent cx="2581275" cy="27622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67"/>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blackout period has commenced early or has been extended should be considered Material Nonpublic Information that should not be communicated to any other person.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Does the Company have blackout periods other than quarterly trading blackout periods?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Yes. From time to time, an event may occur that is material to the Company and is known by only a few officers, directors and/or other employees. So long as the event remains material and nonpublic, the Chief Executive Officer, Chief Financial Officer or Chief Compliance Officer may impose a special blackout period. In that situation, the Compliance Officer will notify the designated individuals that neither they nor their Related Persons may trade in the Company’s securities. The existence of a special blackout period should also be considered Material Nonpublic Information and should not be communicated to any other person.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If I am subject to a blackout period and I have an open order to buy or sell Company securities on the date a blackout period commences, can I leave it to my broker to cancel the open order and avoid executing the trade?</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No, unless it is in connection with a Trading Plan (as defined below). If you have any open orders when a blackout period commences other than in connection with a Trading Plan, it is your responsibility to cancel these orders with your broker. If you have an open order and it executes after a blackout period commences not in connection with a Trading Plan, you will have violated this Policy and may also have violated insider trading laws.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Exceptions to this Policy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Are there any exceptions to this policy?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There are no exceptions to this Policy, except as specifically noted below.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exercise options granted to me by the Company during a blackout period or when I possess Material Nonpublic Information?</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Yes. You may exercise your options, but you may </w:t>
      </w:r>
      <w:r>
        <w:rPr>
          <w:rFonts w:ascii="Times New Roman;sans-serif" w:hAnsi="Times New Roman;sans-serif"/>
          <w:b/>
          <w:color w:val="000000"/>
          <w:sz w:val="22"/>
        </w:rPr>
        <w:t>not</w:t>
      </w:r>
      <w:r>
        <w:rPr>
          <w:color w:val="000000"/>
        </w:rPr>
        <w:t xml:space="preserve"> </w:t>
      </w:r>
      <w:r>
        <w:rPr>
          <w:rFonts w:ascii="Times New Roman;sans-serif" w:hAnsi="Times New Roman;sans-serif"/>
          <w:b w:val="false"/>
          <w:color w:val="000000"/>
          <w:sz w:val="22"/>
        </w:rPr>
        <w:t xml:space="preserve">sell the underlying shares (even to pay the exercise price or any taxes due upon exercise) during a blackout period or any time that you are aware of Material Nonpublic Information. To be clear, you may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effect a broker-assisted cashless exercise of options (because these cashless exercise transactions include a market sale) during a blackout period or any time that you are aware of material nonpublic information.</w:t>
      </w:r>
    </w:p>
    <w:p>
      <w:pPr>
        <w:pStyle w:val="TextBody"/>
        <w:bidi w:val="0"/>
        <w:spacing w:lineRule="auto" w:line="288" w:before="0" w:after="240"/>
        <w:ind w:left="0" w:right="0" w:hanging="720"/>
        <w:jc w:val="both"/>
        <w:rPr/>
      </w:pPr>
      <w:r>
        <w:rPr>
          <w:rFonts w:ascii="Times New Roman;sans-serif" w:hAnsi="Times New Roman;sans-serif"/>
          <w:b/>
          <w:color w:val="000000"/>
          <w:sz w:val="22"/>
        </w:rPr>
        <w:t>Q:    What tax withholding transactions are not restricted by this Policy</w:t>
      </w:r>
      <w:r>
        <w:rPr>
          <w:rFonts w:ascii="Times New Roman;sans-serif" w:hAnsi="Times New Roman;sans-serif"/>
          <w:b w:val="false"/>
          <w:color w:val="000000"/>
          <w:sz w:val="22"/>
        </w:rPr>
        <w:t xml:space="preserve">?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This Policy does not apply to the surrender of shares directly to the Company to satisfy tax withholding obligations as a result of the issuance of shares upon exercise of options or settlement of restricted stock units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 xml:space="preserve">) issued by the Company. Of course, any market sale of the underlying shares received upon exercise or settlement of any such equity awards remains subject to all provisions of this Policy whether or not for the purpose of generating the cash needed to pay the exercise price or pay taxes; provided, that employees may sell-to-cover that number of shares of the Company’s common stock necessary to satisfy the tax withholding obligations upon the settlement of RSUs granted under the Company’s equity incentive plans if such sell-to-cover arrangement is effected pursuant to either (i) a program implemented by the Board or a duly appointed committee of the Board or (ii) a written election by the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9910"/>
                <wp:effectExtent l="0" t="0" r="0" b="0"/>
                <wp:wrapNone/>
                <wp:docPr id="131" name="Frame116"/>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w:t>
                            </w:r>
                            <w:r>
                              <w:br w:type="page"/>
                            </w:r>
                          </w:p>
                          <w:p>
                            <w:pPr>
                              <w:pStyle w:val="TextBody"/>
                              <w:bidi w:val="0"/>
                              <w:spacing w:before="0" w:after="0"/>
                              <w:jc w:val="both"/>
                              <w:rPr/>
                            </w:pPr>
                            <w:r>
                              <w:rPr/>
                              <w:drawing>
                                <wp:inline distT="0" distB="0" distL="0" distR="0">
                                  <wp:extent cx="2581275" cy="276225"/>
                                  <wp:effectExtent l="0" t="0" r="0" b="0"/>
                                  <wp:docPr id="1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 descr=""/>
                                          <pic:cNvPicPr>
                                            <a:picLocks noChangeAspect="1" noChangeArrowheads="1"/>
                                          </pic:cNvPicPr>
                                        </pic:nvPicPr>
                                        <pic:blipFill>
                                          <a:blip r:embed="rId68"/>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8</w:t>
                      </w:r>
                    </w:p>
                    <w:p>
                      <w:pPr>
                        <w:pStyle w:val="TextBody"/>
                        <w:bidi w:val="0"/>
                        <w:spacing w:before="0" w:after="0"/>
                        <w:jc w:val="both"/>
                        <w:rPr/>
                      </w:pPr>
                      <w:r>
                        <w:rPr/>
                        <w:drawing>
                          <wp:inline distT="0" distB="0" distL="0" distR="0">
                            <wp:extent cx="2581275" cy="276225"/>
                            <wp:effectExtent l="0" t="0" r="0" b="0"/>
                            <wp:docPr id="1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 descr=""/>
                                    <pic:cNvPicPr>
                                      <a:picLocks noChangeAspect="1" noChangeArrowheads="1"/>
                                    </pic:cNvPicPr>
                                  </pic:nvPicPr>
                                  <pic:blipFill>
                                    <a:blip r:embed="rId69"/>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employee, provided that in the case of an individual election (a) the election (including any changes to or termination of any election) is made during an open trading window period prior to the settlement of such RSUs and (b) at the time of such election, change or termination, as applicable, such individual was not in possession of Material Nonpublic Information about the Company.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Are mutual funds and exchange-trade funds (ETFs) holding Company common stock subject to the blackout periods? </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No. You may trade in mutual funds and ETFs holding Company stock at any time, as long as you do not control the investment decisions on individual stocks within the fund and the Company represents no greater than 10% of the fund’s value.</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the rules that apply to Rule 10b5-1 trading plans?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    Under Rule 10b5-1 of the Securities Exchange Act of 1934, as amended (the “</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individuals may establish a trading plan under which a broker is instructed to buy and sell Company securities based on pre-determined criteria (a “</w:t>
      </w:r>
      <w:r>
        <w:rPr>
          <w:rFonts w:ascii="Times New Roman;sans-serif" w:hAnsi="Times New Roman;sans-serif"/>
          <w:b/>
          <w:i/>
          <w:color w:val="000000"/>
          <w:sz w:val="22"/>
        </w:rPr>
        <w:t>Trading Plan</w:t>
      </w:r>
      <w:r>
        <w:rPr>
          <w:color w:val="000000"/>
        </w:rPr>
        <w:t>”</w:t>
      </w:r>
      <w:r>
        <w:rPr>
          <w:rFonts w:ascii="Times New Roman;sans-serif" w:hAnsi="Times New Roman;sans-serif"/>
          <w:b w:val="false"/>
          <w:color w:val="000000"/>
          <w:sz w:val="22"/>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they were not otherwise subject to a trading blackout period. Moreover, the adoption, amendment or termination of a Trading Plan must be approved by the Company and meet the requirements set forth in the Company’s Guidelines for 10b5-1 Trading Plans, including all applicable pre-clearance procedures.</w:t>
      </w:r>
    </w:p>
    <w:p>
      <w:pPr>
        <w:pStyle w:val="TextBody"/>
        <w:bidi w:val="0"/>
        <w:spacing w:lineRule="auto" w:line="288" w:before="0" w:after="240"/>
        <w:ind w:left="0" w:right="0" w:hanging="720"/>
        <w:jc w:val="both"/>
        <w:rPr/>
      </w:pPr>
      <w:r>
        <w:rPr>
          <w:rFonts w:ascii="Times New Roman;sans-serif" w:hAnsi="Times New Roman;sans-serif"/>
          <w:b/>
          <w:color w:val="000000"/>
          <w:sz w:val="22"/>
        </w:rPr>
        <w:t>Q:     Are purchases of Company stock through an Employee Stock Purchase Plan allowed by this Policy?</w:t>
      </w:r>
      <w:r>
        <w:rPr>
          <w:color w:val="000000"/>
          <w:u w:val="single"/>
        </w:rPr>
        <w:t xml:space="preserve"> </w:t>
      </w:r>
    </w:p>
    <w:p>
      <w:pPr>
        <w:pStyle w:val="TextBody"/>
        <w:bidi w:val="0"/>
        <w:spacing w:lineRule="auto" w:line="288"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This Policy does not apply to purchases of Company securities in the Company’s Employee Stock Purchase Plan (“</w:t>
      </w:r>
      <w:r>
        <w:rPr>
          <w:rFonts w:ascii="Times New Roman;sans-serif" w:hAnsi="Times New Roman;sans-serif"/>
          <w:b/>
          <w:i/>
          <w:color w:val="000000"/>
          <w:sz w:val="22"/>
        </w:rPr>
        <w:t>ESPP</w:t>
      </w:r>
      <w:r>
        <w:rPr>
          <w:color w:val="000000"/>
        </w:rPr>
        <w:t>”</w:t>
      </w:r>
      <w:r>
        <w:rPr>
          <w:rFonts w:ascii="Times New Roman;sans-serif" w:hAnsi="Times New Roman;sans-serif"/>
          <w:b w:val="false"/>
          <w:color w:val="000000"/>
          <w:sz w:val="22"/>
        </w:rPr>
        <w:t xml:space="preserve">) resulting from your periodic contribution of money to the ESPP pursuant to the election you made at the time of your enrollment in the ESPP. This Policy also does not apply to purchases of Company securities resulting from lump sum contributions to the ESPP, provided that you elected to participate by lump sum payment at the beginning of the applicable enrollment period. </w:t>
      </w:r>
    </w:p>
    <w:p>
      <w:pPr>
        <w:pStyle w:val="TextBody"/>
        <w:bidi w:val="0"/>
        <w:spacing w:lineRule="auto" w:line="288" w:before="0" w:after="240"/>
        <w:ind w:left="0" w:right="0" w:hanging="720"/>
        <w:jc w:val="both"/>
        <w:rPr/>
      </w:pPr>
      <w:r>
        <w:rPr>
          <w:rFonts w:ascii="Times New Roman;sans-serif" w:hAnsi="Times New Roman;sans-serif"/>
          <w:b/>
          <w:color w:val="000000"/>
          <w:sz w:val="22"/>
        </w:rPr>
        <w:t>Q:     Are purchases of Company stock in a 401(k) plan allowed by this Policy?</w:t>
      </w:r>
      <w:r>
        <w:rPr>
          <w:color w:val="000000"/>
          <w:u w:val="single"/>
        </w:rPr>
        <w:t xml:space="preserve"> </w:t>
      </w:r>
    </w:p>
    <w:p>
      <w:pPr>
        <w:pStyle w:val="TextBody"/>
        <w:bidi w:val="0"/>
        <w:spacing w:lineRule="auto" w:line="288"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any Company stock fund that may be in place from time to time; (b) an election to make an intra-plan transfer of an existing account balance into or out of any Company stock fund that may be in place from time to time; (c) an election to borrow money against your 401(k) plan account if the loan will result in a liquidation of some or all of the balance of any Company stock fund that may be in place from time to time; and (d) an election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9910"/>
                <wp:effectExtent l="0" t="0" r="0" b="0"/>
                <wp:wrapNone/>
                <wp:docPr id="134" name="Frame117"/>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w:t>
                            </w:r>
                            <w:r>
                              <w:br w:type="page"/>
                            </w:r>
                          </w:p>
                          <w:p>
                            <w:pPr>
                              <w:pStyle w:val="TextBody"/>
                              <w:bidi w:val="0"/>
                              <w:spacing w:before="0" w:after="0"/>
                              <w:jc w:val="both"/>
                              <w:rPr/>
                            </w:pPr>
                            <w:r>
                              <w:rPr/>
                              <w:drawing>
                                <wp:inline distT="0" distB="0" distL="0" distR="0">
                                  <wp:extent cx="2581275" cy="276225"/>
                                  <wp:effectExtent l="0" t="0" r="0" b="0"/>
                                  <wp:docPr id="1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 descr=""/>
                                          <pic:cNvPicPr>
                                            <a:picLocks noChangeAspect="1" noChangeArrowheads="1"/>
                                          </pic:cNvPicPr>
                                        </pic:nvPicPr>
                                        <pic:blipFill>
                                          <a:blip r:embed="rId70"/>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9</w:t>
                      </w:r>
                    </w:p>
                    <w:p>
                      <w:pPr>
                        <w:pStyle w:val="TextBody"/>
                        <w:bidi w:val="0"/>
                        <w:spacing w:before="0" w:after="0"/>
                        <w:jc w:val="both"/>
                        <w:rPr/>
                      </w:pPr>
                      <w:r>
                        <w:rPr/>
                        <w:drawing>
                          <wp:inline distT="0" distB="0" distL="0" distR="0">
                            <wp:extent cx="2581275" cy="276225"/>
                            <wp:effectExtent l="0" t="0" r="0" b="0"/>
                            <wp:docPr id="1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 descr=""/>
                                    <pic:cNvPicPr>
                                      <a:picLocks noChangeAspect="1" noChangeArrowheads="1"/>
                                    </pic:cNvPicPr>
                                  </pic:nvPicPr>
                                  <pic:blipFill>
                                    <a:blip r:embed="rId71"/>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pre-pay a plan loan if the pre-payment will result in allocation of loan proceeds to the Company stock fund.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Margin Accounts, Pledging Shares, Hedging and Other Speculation in Company Stock</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Can I purchase Company securities on margin or hold them in a margin account?</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securities on margin or hold it in a margin account at any time.</w:t>
      </w:r>
    </w:p>
    <w:p>
      <w:pPr>
        <w:pStyle w:val="TextBody"/>
        <w:bidi w:val="0"/>
        <w:spacing w:lineRule="auto" w:line="288" w:before="0" w:after="240"/>
        <w:ind w:left="0" w:right="0" w:hanging="720"/>
        <w:jc w:val="both"/>
        <w:rPr/>
      </w:pPr>
      <w:r>
        <w:rPr>
          <w:rFonts w:ascii="Times New Roman;sans-serif" w:hAnsi="Times New Roman;sans-serif"/>
          <w:b/>
          <w:color w:val="000000"/>
          <w:sz w:val="22"/>
        </w:rPr>
        <w:t>Q:     Can I pledge my Company</w:t>
      </w:r>
      <w:r>
        <w:rPr>
          <w:color w:val="000000"/>
        </w:rPr>
        <w:t xml:space="preserve"> </w:t>
      </w:r>
      <w:r>
        <w:rPr>
          <w:rFonts w:ascii="Times New Roman;sans-serif" w:hAnsi="Times New Roman;sans-serif"/>
          <w:b/>
          <w:color w:val="000000"/>
          <w:sz w:val="22"/>
        </w:rPr>
        <w:t>securities as collateral for a loan?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Pledging your Company securities as collateral for a loan could cause the pledgee to transfer your securities during a trading blackout period or when you are otherwise aware of Material Nonpublic Information. As a result, you may not pledge your Company securities as collateral for a loan.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problematic about margin accounts and pledged securities?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Can I hedge my ownership position in the Company?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Hedging or monetization transactions, including through the use of financial instruments such as prepaid variable forwards, equity swaps, collars and exchange funds are prohibited by this Policy.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Am I allowed to trade derivative securities of Company common stock?</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No. You may not trade in derivative securities related to Company common stock, which include publicly traded call and put options. In addition, you may not engage in short selling of Company common stock at any time.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are derivative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49910"/>
                <wp:effectExtent l="0" t="0" r="0" b="0"/>
                <wp:wrapNone/>
                <wp:docPr id="137" name="Frame118"/>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w:t>
                            </w:r>
                            <w:r>
                              <w:br w:type="page"/>
                            </w:r>
                          </w:p>
                          <w:p>
                            <w:pPr>
                              <w:pStyle w:val="TextBody"/>
                              <w:bidi w:val="0"/>
                              <w:spacing w:before="0" w:after="0"/>
                              <w:jc w:val="both"/>
                              <w:rPr/>
                            </w:pPr>
                            <w:r>
                              <w:rPr/>
                              <w:drawing>
                                <wp:inline distT="0" distB="0" distL="0" distR="0">
                                  <wp:extent cx="2581275" cy="276225"/>
                                  <wp:effectExtent l="0" t="0" r="0" b="0"/>
                                  <wp:docPr id="1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 descr=""/>
                                          <pic:cNvPicPr>
                                            <a:picLocks noChangeAspect="1" noChangeArrowheads="1"/>
                                          </pic:cNvPicPr>
                                        </pic:nvPicPr>
                                        <pic:blipFill>
                                          <a:blip r:embed="rId72"/>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10</w:t>
                      </w:r>
                    </w:p>
                    <w:p>
                      <w:pPr>
                        <w:pStyle w:val="TextBody"/>
                        <w:bidi w:val="0"/>
                        <w:spacing w:before="0" w:after="0"/>
                        <w:jc w:val="both"/>
                        <w:rPr/>
                      </w:pPr>
                      <w:r>
                        <w:rPr/>
                        <w:drawing>
                          <wp:inline distT="0" distB="0" distL="0" distR="0">
                            <wp:extent cx="2581275" cy="276225"/>
                            <wp:effectExtent l="0" t="0" r="0" b="0"/>
                            <wp:docPr id="1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 descr=""/>
                                    <pic:cNvPicPr>
                                      <a:picLocks noChangeAspect="1" noChangeArrowheads="1"/>
                                    </pic:cNvPicPr>
                                  </pic:nvPicPr>
                                  <pic:blipFill>
                                    <a:blip r:embed="rId73"/>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is short selling?</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Why does the Company prohibit trading in derivative securities and short selling?</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if I purchased publicly traded options or other derivative securities before I became subject to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lineRule="auto" w:line="288" w:before="0" w:after="0"/>
        <w:jc w:val="both"/>
        <w:rPr/>
      </w:pPr>
      <w:r>
        <w:rPr>
          <w:rFonts w:ascii="Times New Roman;sans-serif" w:hAnsi="Times New Roman;sans-serif"/>
          <w:b/>
          <w:color w:val="000000"/>
          <w:sz w:val="22"/>
        </w:rPr>
        <w:t>Q:     What are the concerns about standing and limit order</w:t>
      </w:r>
      <w:r>
        <w:rPr>
          <w:rFonts w:ascii="Times New Roman;sans-serif" w:hAnsi="Times New Roman;sans-serif"/>
          <w:b w:val="false"/>
          <w:color w:val="000000"/>
          <w:sz w:val="22"/>
        </w:rPr>
        <w:t xml:space="preserve">s?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 period and other blackout periods described above.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Pre-Clearance of Transactions in Company Stock</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is required to pre-clear and provide advance notice of transactions?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In addition to the requirements above, officers, directors and other employees who have been notified that they are subject to pre-clearance requirements face a further restriction: Even during an open trading window, such individuals may not engage in any transaction in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49910"/>
                <wp:effectExtent l="0" t="0" r="0" b="0"/>
                <wp:wrapNone/>
                <wp:docPr id="140" name="Frame119"/>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w:t>
                            </w:r>
                            <w:r>
                              <w:br w:type="page"/>
                            </w:r>
                          </w:p>
                          <w:p>
                            <w:pPr>
                              <w:pStyle w:val="TextBody"/>
                              <w:bidi w:val="0"/>
                              <w:spacing w:before="0" w:after="0"/>
                              <w:jc w:val="both"/>
                              <w:rPr/>
                            </w:pPr>
                            <w:r>
                              <w:rPr/>
                              <w:drawing>
                                <wp:inline distT="0" distB="0" distL="0" distR="0">
                                  <wp:extent cx="2581275" cy="276225"/>
                                  <wp:effectExtent l="0" t="0" r="0" b="0"/>
                                  <wp:docPr id="1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 descr=""/>
                                          <pic:cNvPicPr>
                                            <a:picLocks noChangeAspect="1" noChangeArrowheads="1"/>
                                          </pic:cNvPicPr>
                                        </pic:nvPicPr>
                                        <pic:blipFill>
                                          <a:blip r:embed="rId74"/>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11</w:t>
                      </w:r>
                    </w:p>
                    <w:p>
                      <w:pPr>
                        <w:pStyle w:val="TextBody"/>
                        <w:bidi w:val="0"/>
                        <w:spacing w:before="0" w:after="0"/>
                        <w:jc w:val="both"/>
                        <w:rPr/>
                      </w:pPr>
                      <w:r>
                        <w:rPr/>
                        <w:drawing>
                          <wp:inline distT="0" distB="0" distL="0" distR="0">
                            <wp:extent cx="2581275" cy="276225"/>
                            <wp:effectExtent l="0" t="0" r="0" b="0"/>
                            <wp:docPr id="1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 descr=""/>
                                    <pic:cNvPicPr>
                                      <a:picLocks noChangeAspect="1" noChangeArrowheads="1"/>
                                    </pic:cNvPicPr>
                                  </pic:nvPicPr>
                                  <pic:blipFill>
                                    <a:blip r:embed="rId75"/>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securities without first obtaining pre-clearance of the transaction from the Compliance Officer at least two (2)</w:t>
      </w:r>
      <w:r>
        <w:rPr>
          <w:color w:val="000000"/>
        </w:rPr>
        <w:t xml:space="preserve"> </w:t>
      </w:r>
      <w:r>
        <w:rPr>
          <w:rFonts w:ascii="Times New Roman;sans-serif" w:hAnsi="Times New Roman;sans-serif"/>
          <w:b w:val="false"/>
          <w:color w:val="000000"/>
          <w:sz w:val="22"/>
        </w:rPr>
        <w:t>business days in advance of the proposed transaction. If the Compliance Officer determines that the transaction does not violate the federal securities laws or a specific provision of this Policy, the transaction may proceed. Pre-cleared transactions not completed within two (2) business days of receipt of pre-clearance by the Compliance Officer will require new pre-clearance. The Company may choose to shorten this period.</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 xml:space="preserve">If the Compliance Officer advises you that you are not precleared, then you may not effect any trades in the Company’s securities under any circumstances, and you must not inform anyone within or outside of the Company of the restriction. </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Are individuals subject to pre-clearance required to provide advanced notice of stock option exercises?</w:t>
      </w:r>
    </w:p>
    <w:p>
      <w:pPr>
        <w:pStyle w:val="TextBody"/>
        <w:bidi w:val="0"/>
        <w:spacing w:lineRule="auto" w:line="288" w:before="0" w:after="240"/>
        <w:ind w:left="0" w:right="0" w:hanging="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     Yes. Persons subject to pre-clearance must also give advance notice of their plans to exercise an outstanding stock option to the Compliance Officer. Once any transaction takes place, the officer, director or applicable member of management must immediately notify the Compliance Officer so that the Company may assist in any Section 16 reporting obligations.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What happens if I violate this Policy?</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Violating the Company’s policies may result in disciplinary action, which may include termination of your employment or other relationship with the Company.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disciplinary action by the Company, 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 up to $5 million.</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Q:     Who should I contact if I have questions about this Policy or specific trades?</w:t>
      </w:r>
    </w:p>
    <w:p>
      <w:pPr>
        <w:pStyle w:val="TextBody"/>
        <w:bidi w:val="0"/>
        <w:spacing w:lineRule="auto" w:line="288" w:before="0" w:after="240"/>
        <w:ind w:left="0" w:right="0" w:hanging="72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You should email the Chief Legal Officer at complianceofficer@legalzoom.com.</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Q:     Do changes to this Policy require approval by the Board?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Yes. Substantial changes to this Policy require approval by the Board or a duly appointed committee of the Board.</w:t>
      </w:r>
    </w:p>
    <w:p>
      <w:pPr>
        <w:pStyle w:val="TextBody"/>
        <w:bidi w:val="0"/>
        <w:spacing w:lineRule="auto" w:line="288" w:before="120" w:after="283"/>
        <w:jc w:val="both"/>
        <w:rPr>
          <w:rFonts w:ascii="Times New Roman;sans-serif" w:hAnsi="Times New Roman;sans-serif"/>
          <w:b/>
          <w:color w:val="000000"/>
          <w:sz w:val="22"/>
        </w:rPr>
      </w:pPr>
      <w:r>
        <w:rPr>
          <w:rFonts w:ascii="Times New Roman;sans-serif" w:hAnsi="Times New Roman;sans-serif"/>
          <w:b/>
          <w:color w:val="000000"/>
          <w:sz w:val="22"/>
        </w:rPr>
        <w:br/>
        <w:t>Approved by the Board of Directors: November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49910"/>
                <wp:effectExtent l="0" t="0" r="0" b="0"/>
                <wp:wrapNone/>
                <wp:docPr id="143" name="Frame120"/>
                <a:graphic xmlns:a="http://schemas.openxmlformats.org/drawingml/2006/main">
                  <a:graphicData uri="http://schemas.microsoft.com/office/word/2010/wordprocessingShape">
                    <wps:wsp>
                      <wps:cNvSpPr txBox="1"/>
                      <wps:spPr>
                        <a:xfrm>
                          <a:off x="0" y="0"/>
                          <a:ext cx="6480175" cy="54991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w:t>
                            </w:r>
                            <w:r>
                              <w:br w:type="page"/>
                            </w:r>
                          </w:p>
                          <w:p>
                            <w:pPr>
                              <w:pStyle w:val="TextBody"/>
                              <w:bidi w:val="0"/>
                              <w:spacing w:before="0" w:after="0"/>
                              <w:jc w:val="both"/>
                              <w:rPr/>
                            </w:pPr>
                            <w:r>
                              <w:rPr/>
                              <w:drawing>
                                <wp:inline distT="0" distB="0" distL="0" distR="0">
                                  <wp:extent cx="2581275" cy="276225"/>
                                  <wp:effectExtent l="0" t="0" r="0" b="0"/>
                                  <wp:docPr id="1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 descr=""/>
                                          <pic:cNvPicPr>
                                            <a:picLocks noChangeAspect="1" noChangeArrowheads="1"/>
                                          </pic:cNvPicPr>
                                        </pic:nvPicPr>
                                        <pic:blipFill>
                                          <a:blip r:embed="rId76"/>
                                          <a:stretch>
                                            <a:fillRect/>
                                          </a:stretch>
                                        </pic:blipFill>
                                        <pic:spPr bwMode="auto">
                                          <a:xfrm>
                                            <a:off x="0" y="0"/>
                                            <a:ext cx="2581275" cy="2762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12</w:t>
                      </w:r>
                    </w:p>
                    <w:p>
                      <w:pPr>
                        <w:pStyle w:val="TextBody"/>
                        <w:bidi w:val="0"/>
                        <w:spacing w:before="0" w:after="0"/>
                        <w:jc w:val="both"/>
                        <w:rPr/>
                      </w:pPr>
                      <w:r>
                        <w:rPr/>
                        <w:drawing>
                          <wp:inline distT="0" distB="0" distL="0" distR="0">
                            <wp:extent cx="2581275" cy="276225"/>
                            <wp:effectExtent l="0" t="0" r="0" b="0"/>
                            <wp:docPr id="1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 descr=""/>
                                    <pic:cNvPicPr>
                                      <a:picLocks noChangeAspect="1" noChangeArrowheads="1"/>
                                    </pic:cNvPicPr>
                                  </pic:nvPicPr>
                                  <pic:blipFill>
                                    <a:blip r:embed="rId77"/>
                                    <a:stretch>
                                      <a:fillRect/>
                                    </a:stretch>
                                  </pic:blipFill>
                                  <pic:spPr bwMode="auto">
                                    <a:xfrm>
                                      <a:off x="0" y="0"/>
                                      <a:ext cx="2581275" cy="2762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employees and members of the Board of Directors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46"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B</w:t>
      </w:r>
    </w:p>
    <w:p>
      <w:pPr>
        <w:pStyle w:val="TextBody"/>
        <w:bidi w:val="0"/>
        <w:spacing w:lineRule="auto" w:line="288"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LEGALZOOM.COM, INC.</w:t>
      </w:r>
    </w:p>
    <w:p>
      <w:pPr>
        <w:pStyle w:val="TextBody"/>
        <w:bidi w:val="0"/>
        <w:spacing w:lineRule="auto" w:line="288"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before="0" w:after="240"/>
        <w:ind w:left="0" w:right="0" w:firstLine="720"/>
        <w:jc w:val="both"/>
        <w:rPr/>
      </w:pPr>
      <w:r>
        <w:rPr/>
      </w:r>
    </w:p>
    <w:p>
      <w:pPr>
        <w:pStyle w:val="TextBody"/>
        <w:bidi w:val="0"/>
        <w:spacing w:lineRule="auto" w:line="288" w:before="0" w:after="240"/>
        <w:ind w:left="0" w:right="0" w:firstLine="706"/>
        <w:jc w:val="both"/>
        <w:rPr/>
      </w:pPr>
      <w:r>
        <w:rPr>
          <w:rFonts w:ascii="Times New Roman;sans-serif" w:hAnsi="Times New Roman;sans-serif"/>
          <w:b w:val="false"/>
          <w:color w:val="000000"/>
          <w:sz w:val="22"/>
        </w:rPr>
        <w:t>I hereby acknowledge that I have received, read, understand and will comply with the LegalZoom.com, Inc. Insider Trading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06"/>
        <w:jc w:val="both"/>
        <w:rPr>
          <w:rFonts w:ascii="Times New Roman;sans-serif" w:hAnsi="Times New Roman;sans-serif"/>
          <w:b w:val="false"/>
          <w:color w:val="000000"/>
          <w:sz w:val="22"/>
        </w:rPr>
      </w:pPr>
      <w:r>
        <w:rPr>
          <w:rFonts w:ascii="Times New Roman;sans-serif" w:hAnsi="Times New Roman;sans-serif"/>
          <w:b w:val="false"/>
          <w:color w:val="000000"/>
          <w:sz w:val="22"/>
        </w:rPr>
        <w:t>I understand that my agreement to comply with this Policy does not constitute a contract of employment.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Please sign here: _________________________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Date: __________________________________</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This signed and completed form must be returned to the General Counsel or the General Counsel’s designee within ten (10) business days of receiving this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47"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pPr>
      <w:r>
        <w:rPr>
          <w:color w:val="000000"/>
        </w:rPr>
        <w:t>                                            </w:t>
      </w:r>
      <w:r>
        <w:rPr>
          <w:rFonts w:ascii="Work Sans;sans-serif" w:hAnsi="Work Sans;sans-serif"/>
          <w:b/>
          <w:color w:val="000000"/>
          <w:sz w:val="18"/>
        </w:rPr>
        <w:t>Exhibit 21.1</w:t>
      </w:r>
    </w:p>
    <w:p>
      <w:pPr>
        <w:pStyle w:val="TextBody"/>
        <w:bidi w:val="0"/>
        <w:spacing w:lineRule="auto" w:line="300" w:before="0" w:after="160"/>
        <w:jc w:val="both"/>
        <w:rPr>
          <w:rFonts w:ascii="Work Sans;sans-serif" w:hAnsi="Work Sans;sans-serif"/>
          <w:b/>
          <w:color w:val="000000"/>
          <w:sz w:val="18"/>
        </w:rPr>
      </w:pPr>
      <w:r>
        <w:rPr>
          <w:rFonts w:ascii="Work Sans;sans-serif" w:hAnsi="Work Sans;sans-serif"/>
          <w:b/>
          <w:color w:val="000000"/>
          <w:sz w:val="18"/>
        </w:rPr>
        <w:t>Subsidiaries of LegalZoom.com, Inc.</w:t>
      </w:r>
    </w:p>
    <w:p>
      <w:pPr>
        <w:pStyle w:val="TextBody"/>
        <w:bidi w:val="0"/>
        <w:spacing w:lineRule="auto" w:line="288" w:before="380" w:after="120"/>
        <w:jc w:val="both"/>
        <w:rPr/>
      </w:pPr>
      <w:r>
        <w:rPr>
          <w:rFonts w:ascii="Work Sans;sans-serif" w:hAnsi="Work Sans;sans-serif"/>
          <w:b/>
          <w:color w:val="000000"/>
          <w:sz w:val="18"/>
          <w:u w:val="single"/>
        </w:rPr>
        <w:t>Name of Subsidiary</w:t>
      </w:r>
      <w:r>
        <w:rPr>
          <w:color w:val="000000"/>
        </w:rPr>
        <w:t xml:space="preserve">                 </w:t>
      </w:r>
      <w:r>
        <w:rPr>
          <w:rFonts w:ascii="Work Sans;sans-serif" w:hAnsi="Work Sans;sans-serif"/>
          <w:b/>
          <w:color w:val="000000"/>
          <w:sz w:val="18"/>
          <w:u w:val="single"/>
        </w:rPr>
        <w:t>Jurisdiction of Organization</w:t>
      </w:r>
    </w:p>
    <w:p>
      <w:pPr>
        <w:pStyle w:val="TextBody"/>
        <w:bidi w:val="0"/>
        <w:spacing w:lineRule="auto" w:line="288" w:before="240" w:after="120"/>
        <w:jc w:val="both"/>
        <w:rPr>
          <w:rFonts w:ascii="Work Sans;sans-serif" w:hAnsi="Work Sans;sans-serif"/>
          <w:b w:val="false"/>
          <w:color w:val="000000"/>
          <w:sz w:val="18"/>
        </w:rPr>
      </w:pPr>
      <w:r>
        <w:rPr>
          <w:rFonts w:ascii="Work Sans;sans-serif" w:hAnsi="Work Sans;sans-serif"/>
          <w:b w:val="false"/>
          <w:color w:val="000000"/>
          <w:sz w:val="18"/>
        </w:rPr>
        <w:t>Earth Class Mail, Inc.                  Texas</w:t>
      </w:r>
    </w:p>
    <w:p>
      <w:pPr>
        <w:pStyle w:val="TextBody"/>
        <w:bidi w:val="0"/>
        <w:spacing w:before="24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4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120"/>
        <w:jc w:val="right"/>
        <w:rPr>
          <w:rFonts w:ascii="Work Sans;sans-serif" w:hAnsi="Work Sans;sans-serif"/>
          <w:b/>
          <w:color w:val="000000"/>
          <w:sz w:val="18"/>
        </w:rPr>
      </w:pPr>
      <w:r>
        <w:rPr>
          <w:rFonts w:ascii="Work Sans;sans-serif" w:hAnsi="Work Sans;sans-serif"/>
          <w:b/>
          <w:color w:val="000000"/>
          <w:sz w:val="18"/>
        </w:rPr>
        <w:t>Exhibit 23.1</w:t>
      </w:r>
    </w:p>
    <w:p>
      <w:pPr>
        <w:pStyle w:val="TextBody"/>
        <w:bidi w:val="0"/>
        <w:spacing w:lineRule="auto" w:line="288" w:before="360" w:after="240"/>
        <w:jc w:val="center"/>
        <w:rPr>
          <w:rFonts w:ascii="Work Sans;sans-serif" w:hAnsi="Work Sans;sans-serif"/>
          <w:b/>
          <w:color w:val="000000"/>
          <w:sz w:val="18"/>
        </w:rPr>
      </w:pPr>
      <w:r>
        <w:rPr>
          <w:rFonts w:ascii="Work Sans;sans-serif" w:hAnsi="Work Sans;sans-serif"/>
          <w:b/>
          <w:color w:val="000000"/>
          <w:sz w:val="18"/>
        </w:rPr>
        <w:t>CONSENT OF INDEPENDENT REGISTERED PUBLIC ACCOUNTING FIRM</w:t>
      </w:r>
    </w:p>
    <w:p>
      <w:pPr>
        <w:pStyle w:val="TextBody"/>
        <w:bidi w:val="0"/>
        <w:spacing w:lineRule="auto" w:line="268" w:before="0" w:after="0"/>
        <w:jc w:val="left"/>
        <w:rPr/>
      </w:pPr>
      <w:r>
        <w:rPr>
          <w:rFonts w:ascii="Work Sans;sans-serif" w:hAnsi="Work Sans;sans-serif"/>
          <w:b w:val="false"/>
          <w:color w:val="000000"/>
          <w:sz w:val="18"/>
        </w:rPr>
        <w:t>We hereby consent to the incorporation by reference in the Registration Statements on Form</w:t>
      </w:r>
      <w:r>
        <w:rPr>
          <w:color w:val="000000"/>
        </w:rPr>
        <w:t xml:space="preserve"> </w:t>
      </w:r>
      <w:r>
        <w:rPr>
          <w:rFonts w:ascii="Work Sans;sans-serif" w:hAnsi="Work Sans;sans-serif"/>
          <w:b w:val="false"/>
          <w:color w:val="000000"/>
          <w:sz w:val="18"/>
        </w:rPr>
        <w:t>S-8 (Nos. 333-257577, 333-263819, 333-270178 and 333-277513) of LegalZoom.com, Inc. of our report dated February 26, 2025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/s/ PricewaterhouseCoopers LLP</w:t>
        <w:br/>
        <w:t>Los Angeles, California</w:t>
        <w:br/>
        <w:t>February 26,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4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Jeffrey Stibel,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600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26, 2025</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5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Annual Report on Form 10-K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6048"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1041"/>
        <w:gridCol w:w="692"/>
        <w:gridCol w:w="985"/>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26, 2025</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5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color w:val="000000"/>
          <w:sz w:val="18"/>
        </w:rPr>
      </w:pPr>
      <w:r>
        <w:rPr>
          <w:rFonts w:ascii="Work Sans;sans-serif" w:hAnsi="Work Sans;sans-serif"/>
          <w:b/>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our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Annual Report on Form 10-K for the period ended December 31, 2024,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26</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February 2025.</w:t>
      </w:r>
    </w:p>
    <w:tbl>
      <w:tblPr>
        <w:tblW w:w="6000"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780"/>
        <w:gridCol w:w="780"/>
        <w:gridCol w:w="1110"/>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26, 2025</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February 26, 2025</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5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6139/000128613925000014/ex21spafinal.htm" TargetMode="External"/><Relationship Id="rId4" Type="http://schemas.openxmlformats.org/officeDocument/2006/relationships/hyperlink" Target="https://www.sec.gov/Archives/edgar/data/1286139/000128613925000014/ex21spafinal.htm" TargetMode="External"/><Relationship Id="rId5" Type="http://schemas.openxmlformats.org/officeDocument/2006/relationships/hyperlink" Target="https://www.sec.gov/Archives/edgar/data/1286139/000128613925000014/ex21spafinal.htm" TargetMode="External"/><Relationship Id="rId6" Type="http://schemas.openxmlformats.org/officeDocument/2006/relationships/hyperlink" Target="https://www.sec.gov/Archives/edgar/data/1286139/000128613925000014/ex21spafinal.htm" TargetMode="External"/><Relationship Id="rId7" Type="http://schemas.openxmlformats.org/officeDocument/2006/relationships/hyperlink" Target="https://www.sec.gov/Archives/edgar/data/0001286139/000119312521207613/d65054dex31.htm" TargetMode="External"/><Relationship Id="rId8" Type="http://schemas.openxmlformats.org/officeDocument/2006/relationships/hyperlink" Target="https://www.sec.gov/Archives/edgar/data/1286139/000128613924000115/ex-31amendedandrestatedbyl.htm" TargetMode="External"/><Relationship Id="rId9" Type="http://schemas.openxmlformats.org/officeDocument/2006/relationships/hyperlink" Target="https://www.sec.gov/Archives/edgar/data/1286139/000128613924000115/ex-31amendedandrestatedbyl.htm" TargetMode="External"/><Relationship Id="rId10" Type="http://schemas.openxmlformats.org/officeDocument/2006/relationships/hyperlink" Target="https://www.sec.gov/Archives/edgar/data/1286139/000128613924000115/ex-31amendedandrestatedbyl.htm" TargetMode="External"/><Relationship Id="rId11" Type="http://schemas.openxmlformats.org/officeDocument/2006/relationships/hyperlink" Target="https://www.sec.gov/Archives/edgar/data/1286139/000128613924000115/ex-31amendedandrestatedbyl.htm" TargetMode="External"/><Relationship Id="rId12" Type="http://schemas.openxmlformats.org/officeDocument/2006/relationships/hyperlink" Target="https://www.sec.gov/Archives/edgar/data/1286139/000128613924000115/ex-31amendedandrestatedbyl.htm" TargetMode="External"/><Relationship Id="rId13" Type="http://schemas.openxmlformats.org/officeDocument/2006/relationships/hyperlink" Target="https://www.sec.gov/Archives/edgar/data/1286139/000128613924000115/ex-31amendedandrestatedbyl.htm" TargetMode="External"/><Relationship Id="rId14" Type="http://schemas.openxmlformats.org/officeDocument/2006/relationships/hyperlink" Target="https://www.sec.gov/Archives/edgar/data/1286139/000128613924000115/ex-31amendedandrestatedbyl.htm" TargetMode="External"/><Relationship Id="rId15" Type="http://schemas.openxmlformats.org/officeDocument/2006/relationships/hyperlink" Target="https://www.sec.gov/Archives/edgar/data/1286139/000128613924000115/ex-31amendedandrestatedbyl.htm" TargetMode="External"/><Relationship Id="rId16" Type="http://schemas.openxmlformats.org/officeDocument/2006/relationships/hyperlink" Target="https://www.sec.gov/Archives/edgar/data/0001286139/000119312521194089/d146270dex41.htm" TargetMode="External"/><Relationship Id="rId17" Type="http://schemas.openxmlformats.org/officeDocument/2006/relationships/hyperlink" Target="https://www.sec.gov/Archives/edgar/data/0001286139/000119312521194089/d146270dex42.htm" TargetMode="External"/><Relationship Id="rId18" Type="http://schemas.openxmlformats.org/officeDocument/2006/relationships/hyperlink" Target="https://www.sec.gov/Archives/edgar/data/1286139/000128613923000036/ex43-descriptionofcommonst.htm" TargetMode="External"/><Relationship Id="rId19" Type="http://schemas.openxmlformats.org/officeDocument/2006/relationships/hyperlink" Target="https://www.sec.gov/Archives/edgar/data/0001286139/000119312521182939/d146270dex101.htm" TargetMode="External"/><Relationship Id="rId20" Type="http://schemas.openxmlformats.org/officeDocument/2006/relationships/hyperlink" Target="https://www.sec.gov/Archives/edgar/data/0001286139/000119312521194089/d146270dex102.htm" TargetMode="External"/><Relationship Id="rId21" Type="http://schemas.openxmlformats.org/officeDocument/2006/relationships/hyperlink" Target="https://www.sec.gov/Archives/edgar/data/0001286139/000119312521194089/d146270dex103.htm" TargetMode="External"/><Relationship Id="rId22" Type="http://schemas.openxmlformats.org/officeDocument/2006/relationships/hyperlink" Target="https://www.sec.gov/Archives/edgar/data/1286139/000128613923000078/ex-102formofrsugrantnotice.htm" TargetMode="External"/><Relationship Id="rId23" Type="http://schemas.openxmlformats.org/officeDocument/2006/relationships/hyperlink" Target="https://www.sec.gov/Archives/edgar/data/1286139/000128613923000078/ex-103formofoptiongrantnot.htm" TargetMode="External"/><Relationship Id="rId24" Type="http://schemas.openxmlformats.org/officeDocument/2006/relationships/hyperlink" Target="https://www.sec.gov/Archives/edgar/data/0001286139/000119312521182939/d146270dex104.htm" TargetMode="External"/><Relationship Id="rId25" Type="http://schemas.openxmlformats.org/officeDocument/2006/relationships/hyperlink" Target="https://www.sec.gov/Archives/edgar/data/0001286139/000119312521182939/d146270dex104.htm" TargetMode="External"/><Relationship Id="rId26" Type="http://schemas.openxmlformats.org/officeDocument/2006/relationships/hyperlink" Target="https://www.sec.gov/Archives/edgar/data/0001286139/000119312521182939/d146270dex104.htm" TargetMode="External"/><Relationship Id="rId27" Type="http://schemas.openxmlformats.org/officeDocument/2006/relationships/hyperlink" Target="https://www.sec.gov/Archives/edgar/data/1286139/000119312524176824/d843790dex101.htm" TargetMode="External"/><Relationship Id="rId28" Type="http://schemas.openxmlformats.org/officeDocument/2006/relationships/hyperlink" Target="https://www.sec.gov/Archives/edgar/data/1286139/000119312524176824/d843790dex101.htm" TargetMode="External"/><Relationship Id="rId29" Type="http://schemas.openxmlformats.org/officeDocument/2006/relationships/hyperlink" Target="https://www.sec.gov/Archives/edgar/data/1286139/000119312524176824/d843790dex101.htm" TargetMode="External"/><Relationship Id="rId30" Type="http://schemas.openxmlformats.org/officeDocument/2006/relationships/hyperlink" Target="https://www.sec.gov/Archives/edgar/data/1286139/000119312524176824/d843790dex101.htm" TargetMode="External"/><Relationship Id="rId31" Type="http://schemas.openxmlformats.org/officeDocument/2006/relationships/hyperlink" Target="https://www.sec.gov/Archives/edgar/data/1286139/000119312524176824/d843790dex101.htm" TargetMode="External"/><Relationship Id="rId32" Type="http://schemas.openxmlformats.org/officeDocument/2006/relationships/hyperlink" Target="https://www.sec.gov/Archives/edgar/data/1286139/000119312524176824/d843790dex101.htm" TargetMode="External"/><Relationship Id="rId33" Type="http://schemas.openxmlformats.org/officeDocument/2006/relationships/hyperlink" Target="https://www.sec.gov/Archives/edgar/data/1286139/000119312524176824/d843790dex101.htm" TargetMode="External"/><Relationship Id="rId34" Type="http://schemas.openxmlformats.org/officeDocument/2006/relationships/hyperlink" Target="https://www.sec.gov/Archives/edgar/data/1286139/000119312524176824/d843790dex101.htm" TargetMode="External"/><Relationship Id="rId35" Type="http://schemas.openxmlformats.org/officeDocument/2006/relationships/hyperlink" Target="https://www.sec.gov/Archives/edgar/data/1286139/000119312521194089/d146270dex105.htm" TargetMode="External"/><Relationship Id="rId36" Type="http://schemas.openxmlformats.org/officeDocument/2006/relationships/hyperlink" Target="https://www.sec.gov/Archives/edgar/data/1286139/000128613922000071/exhibit103amendmenttoemplo.htm" TargetMode="External"/><Relationship Id="rId37" Type="http://schemas.openxmlformats.org/officeDocument/2006/relationships/hyperlink" Target="https://www.sec.gov/Archives/edgar/data/0001286139/000119312521194089/d146270dex107.htm" TargetMode="External"/><Relationship Id="rId38" Type="http://schemas.openxmlformats.org/officeDocument/2006/relationships/hyperlink" Target="https://www.sec.gov/Archives/edgar/data/1286139/000128613922000048/ex109lzwatsonamendment-03x.htm" TargetMode="External"/><Relationship Id="rId39" Type="http://schemas.openxmlformats.org/officeDocument/2006/relationships/hyperlink" Target="https://www.sec.gov/Archives/edgar/data/1286139/000119312521194089/d146270dex106.htm" TargetMode="External"/><Relationship Id="rId40" Type="http://schemas.openxmlformats.org/officeDocument/2006/relationships/hyperlink" Target="https://www.sec.gov/Archives/edgar/data/1286139/000128613921000013/ex-103lzxemploymentagreeme.htm" TargetMode="External"/><Relationship Id="rId41" Type="http://schemas.openxmlformats.org/officeDocument/2006/relationships/hyperlink" Target="https://www.sec.gov/Archives/edgar/data/1286139/000128613922000048/ex1010lzradhakrishnasecond.htm" TargetMode="External"/><Relationship Id="rId42" Type="http://schemas.openxmlformats.org/officeDocument/2006/relationships/hyperlink" Target="https://www.sec.gov/Archives/edgar/data/1286139/000128613922000112/ex102employmentagreement-r.htm" TargetMode="External"/><Relationship Id="rId43" Type="http://schemas.openxmlformats.org/officeDocument/2006/relationships/hyperlink" Target="https://www.sec.gov/Archives/edgar/data/1286139/000128613922000112/ex103amendmenttoemployment.htm" TargetMode="External"/><Relationship Id="rId44" Type="http://schemas.openxmlformats.org/officeDocument/2006/relationships/hyperlink" Target="https://www.sec.gov/Archives/edgar/data/1286139/000128613922000112/ex104secondamendmenttoempl.htm" TargetMode="External"/><Relationship Id="rId45" Type="http://schemas.openxmlformats.org/officeDocument/2006/relationships/hyperlink" Target="https://www.sec.gov/Archives/edgar/data/1286139/000128613923000036/ex1015-ipoemploymentagreem.htm" TargetMode="External"/><Relationship Id="rId46" Type="http://schemas.openxmlformats.org/officeDocument/2006/relationships/hyperlink" Target="https://www.sec.gov/Archives/edgar/data/1286139/000128613922000139/ex-101nonxemployeedirector.htm" TargetMode="External"/><Relationship Id="rId47" Type="http://schemas.openxmlformats.org/officeDocument/2006/relationships/hyperlink" Target="https://www.sec.gov/Archives/edgar/data/0001286139/000119312521194089/d146270dex1016.htm" TargetMode="External"/><Relationship Id="rId48" Type="http://schemas.openxmlformats.org/officeDocument/2006/relationships/hyperlink" Target="https://www.sec.gov/Archives/edgar/data/1286139/000128613921000013/ex-101lzamendedandrestated.htm" TargetMode="External"/><Relationship Id="rId49" Type="http://schemas.openxmlformats.org/officeDocument/2006/relationships/hyperlink" Target="https://www.sec.gov/Archives/edgar/data/1286139/000128613921000013/ex-101lzamendedandrestated.htm" TargetMode="External"/><Relationship Id="rId50" Type="http://schemas.openxmlformats.org/officeDocument/2006/relationships/hyperlink" Target="https://www.sec.gov/Archives/edgar/data/1286139/000128613923000078/ex-101amendmentno1tothe2.htm" TargetMode="External"/><Relationship Id="rId51" Type="http://schemas.openxmlformats.org/officeDocument/2006/relationships/hyperlink" Target="https://www.sec.gov/Archives/edgar/data/1286139/000128613924000031/ex-971lzx2023123110xk.htm" TargetMode="External"/><Relationship Id="rId52" Type="http://schemas.openxmlformats.org/officeDocument/2006/relationships/hyperlink" Target="https://www.sec.gov/Archives/edgar/data/1286139/000128613924000031/ex-971lzx2023123110xk.htm" TargetMode="External"/><Relationship Id="rId53" Type="http://schemas.openxmlformats.org/officeDocument/2006/relationships/hyperlink" Target="https://www.sec.gov/Archives/edgar/data/1286139/000128613924000031/ex-971lzx2023123110xk.htm" TargetMode="External"/><Relationship Id="rId54" Type="http://schemas.openxmlformats.org/officeDocument/2006/relationships/image" Target="media/image2.png"/><Relationship Id="rId55" Type="http://schemas.openxmlformats.org/officeDocument/2006/relationships/image" Target="media/image3.png"/><Relationship Id="rId56" Type="http://schemas.openxmlformats.org/officeDocument/2006/relationships/image" Target="media/image4.png"/><Relationship Id="rId57" Type="http://schemas.openxmlformats.org/officeDocument/2006/relationships/image" Target="media/image4.png"/><Relationship Id="rId58" Type="http://schemas.openxmlformats.org/officeDocument/2006/relationships/image" Target="media/image4.png"/><Relationship Id="rId59" Type="http://schemas.openxmlformats.org/officeDocument/2006/relationships/image" Target="media/image4.png"/><Relationship Id="rId60" Type="http://schemas.openxmlformats.org/officeDocument/2006/relationships/image" Target="media/image4.png"/><Relationship Id="rId61" Type="http://schemas.openxmlformats.org/officeDocument/2006/relationships/image" Target="media/image4.png"/><Relationship Id="rId62" Type="http://schemas.openxmlformats.org/officeDocument/2006/relationships/image" Target="media/image4.png"/><Relationship Id="rId63" Type="http://schemas.openxmlformats.org/officeDocument/2006/relationships/image" Target="media/image4.png"/><Relationship Id="rId64" Type="http://schemas.openxmlformats.org/officeDocument/2006/relationships/image" Target="media/image4.png"/><Relationship Id="rId65" Type="http://schemas.openxmlformats.org/officeDocument/2006/relationships/image" Target="media/image4.png"/><Relationship Id="rId66" Type="http://schemas.openxmlformats.org/officeDocument/2006/relationships/image" Target="media/image4.png"/><Relationship Id="rId67" Type="http://schemas.openxmlformats.org/officeDocument/2006/relationships/image" Target="media/image4.png"/><Relationship Id="rId68" Type="http://schemas.openxmlformats.org/officeDocument/2006/relationships/image" Target="media/image4.png"/><Relationship Id="rId69" Type="http://schemas.openxmlformats.org/officeDocument/2006/relationships/image" Target="media/image4.png"/><Relationship Id="rId70" Type="http://schemas.openxmlformats.org/officeDocument/2006/relationships/image" Target="media/image4.png"/><Relationship Id="rId71" Type="http://schemas.openxmlformats.org/officeDocument/2006/relationships/image" Target="media/image4.png"/><Relationship Id="rId72" Type="http://schemas.openxmlformats.org/officeDocument/2006/relationships/image" Target="media/image4.png"/><Relationship Id="rId73" Type="http://schemas.openxmlformats.org/officeDocument/2006/relationships/image" Target="media/image4.png"/><Relationship Id="rId74" Type="http://schemas.openxmlformats.org/officeDocument/2006/relationships/image" Target="media/image4.png"/><Relationship Id="rId75" Type="http://schemas.openxmlformats.org/officeDocument/2006/relationships/image" Target="media/image4.png"/><Relationship Id="rId76" Type="http://schemas.openxmlformats.org/officeDocument/2006/relationships/image" Target="media/image4.png"/><Relationship Id="rId77" Type="http://schemas.openxmlformats.org/officeDocument/2006/relationships/image" Target="media/image4.png"/><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71543</Words>
  <Characters>398914</Characters>
  <CharactersWithSpaces>468302</CharactersWithSpaces>
  <Paragraphs>4246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