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607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60730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Stibel Jeffrey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954 VILLA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LEGALZOOM.COM,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LZ</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66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gridSpan w:val="5"/>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MOUNTAIN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94041</w:t>
            </w: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74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9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9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18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18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42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ind w:left="1220"/>
              <w:spacing w:after="0"/>
              <w:rPr>
                <w:sz w:val="20"/>
                <w:szCs w:val="20"/>
                <w:color w:val="auto"/>
              </w:rPr>
            </w:pPr>
            <w:r>
              <w:rPr>
                <w:rFonts w:ascii="Times New Roman" w:cs="Times New Roman" w:eastAsia="Times New Roman" w:hAnsi="Times New Roman"/>
                <w:sz w:val="17"/>
                <w:szCs w:val="17"/>
                <w:color w:val="0000FF"/>
              </w:rPr>
              <w:t>05/15/2026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110,321</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right"/>
              <w:ind w:right="1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2,847,288</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Bryant-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13,584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Stibel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Fund 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CES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2,807,719</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JMS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2,807,719</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537,779</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Travron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294,326</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Escondido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Children's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automatic withholding of shares of the Issuer's common stock upon the vesting of restricted stock units in order to satisfy the Reporting Person's tax withholding obligations.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2,000 shares acquired pursuant to the Issuer's employee stock purchase plan on May 15, 2026.</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p>
      <w:pPr>
        <w:sectPr>
          <w:pgSz w:w="11900" w:h="16838" w:orient="portrait"/>
          <w:cols w:equalWidth="0" w:num="1">
            <w:col w:w="11000"/>
          </w:cols>
          <w:pgMar w:left="460" w:top="219" w:right="439" w:bottom="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/s/ Michelle Sparks, Attorney- 05/19/2026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Jeffrey M. Stibel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507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34852" TargetMode="External"/><Relationship Id="rId14" Type="http://schemas.openxmlformats.org/officeDocument/2006/relationships/hyperlink" Target="http://www.sec.gov/cgi-bin/browse-edgar?action=getcompany&amp;CIK=0001286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2026-05-19T15:48:35Z</dcterms:created>
  <dcterms:modified xsi:type="dcterms:W3CDTF">2026-05-19T15:48:35Z</dcterms:modified>
</cp:coreProperties>
</file>