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81885.xml.htm"/>
      <w:bookmarkStart w:id="1" w:name="kswkform4_17839818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Nicole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954 VILLA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LEGALZOOM.COM,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51,545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7.21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1,067,677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the automatic withholding of shares of the Issuer's common stock upon the vesting of restricted stock units in order to satisfy the Reporting Person's tax withholding obligations.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Michelle Sparks, Attorney-in-Fact for Nicole Miller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504" TargetMode="External"/><Relationship Id="rId5" Type="http://schemas.openxmlformats.org/officeDocument/2006/relationships/hyperlink" Target="http://www.sec.gov/cgi-bin/browse-edgar?action=getcompany&amp;CIK=0001286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3253</Characters>
  <CharactersWithSpaces>3786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