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0" w:after="283"/>
        <w:jc w:val="center"/>
        <w:rPr>
          <w:rFonts w:ascii="Work Sans;sans-serif" w:hAnsi="Work Sans;sans-serif"/>
          <w:b/>
          <w:color w:val="000000"/>
          <w:sz w:val="18"/>
        </w:rPr>
      </w:pPr>
      <w:r>
        <w:rPr>
          <w:rFonts w:ascii="Work Sans;sans-serif" w:hAnsi="Work Sans;sans-serif"/>
          <w:b/>
          <w:color w:val="000000"/>
          <w:sz w:val="18"/>
        </w:rPr>
        <w:t>UNITED STATES</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SECURITIES AND EXCHANGE COMMISSION</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WASHINGTON, D.C. 20549</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p>
      <w:pPr>
        <w:pStyle w:val="TextBody"/>
        <w:bidi w:val="0"/>
        <w:spacing w:lineRule="auto" w:line="288" w:before="80" w:after="283"/>
        <w:jc w:val="center"/>
        <w:rPr>
          <w:rFonts w:ascii="Work Sans;sans-serif" w:hAnsi="Work Sans;sans-serif"/>
          <w:b/>
          <w:color w:val="000000"/>
          <w:sz w:val="18"/>
        </w:rPr>
      </w:pPr>
      <w:r>
        <w:rPr>
          <w:rFonts w:ascii="Work Sans;sans-serif" w:hAnsi="Work Sans;sans-serif"/>
          <w:b/>
          <w:color w:val="000000"/>
          <w:sz w:val="18"/>
        </w:rPr>
        <w:t>FORM 8-K</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CURRENT REPORT</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Pursuant to Section 13 or 15(d) of the Securities Exchange Act of 1934</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 xml:space="preserve">Date of Report (Date of earliest event reported): June 3, 2026 </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(Exact name of Registrant as Specified in Its Charter)</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tbl>
      <w:tblPr>
        <w:tblW w:w="6299" w:type="dxa"/>
        <w:jc w:val="left"/>
        <w:tblInd w:w="0" w:type="dxa"/>
        <w:tblLayout w:type="fixed"/>
        <w:tblCellMar>
          <w:top w:w="28" w:type="dxa"/>
          <w:left w:w="28" w:type="dxa"/>
          <w:bottom w:w="28" w:type="dxa"/>
          <w:right w:w="28" w:type="dxa"/>
        </w:tblCellMar>
      </w:tblPr>
      <w:tblGrid>
        <w:gridCol w:w="1042"/>
        <w:gridCol w:w="915"/>
        <w:gridCol w:w="923"/>
        <w:gridCol w:w="473"/>
        <w:gridCol w:w="473"/>
        <w:gridCol w:w="478"/>
        <w:gridCol w:w="583"/>
        <w:gridCol w:w="583"/>
        <w:gridCol w:w="829"/>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Delaware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001-35618</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95-4752856</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(State or Other Jurisdiction</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of Incorporation)</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(Commission</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File Number)</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(IRS Employer</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Identification No.)</w:t>
            </w:r>
          </w:p>
        </w:tc>
      </w:tr>
    </w:tbl>
    <w:tbl>
      <w:tblPr>
        <w:tblW w:w="5639" w:type="dxa"/>
        <w:jc w:val="left"/>
        <w:tblInd w:w="0" w:type="dxa"/>
        <w:tblLayout w:type="fixed"/>
        <w:tblCellMar>
          <w:top w:w="28" w:type="dxa"/>
          <w:left w:w="28" w:type="dxa"/>
          <w:bottom w:w="28" w:type="dxa"/>
          <w:right w:w="28" w:type="dxa"/>
        </w:tblCellMar>
      </w:tblPr>
      <w:tblGrid>
        <w:gridCol w:w="1605"/>
        <w:gridCol w:w="1415"/>
        <w:gridCol w:w="1420"/>
        <w:gridCol w:w="351"/>
        <w:gridCol w:w="351"/>
        <w:gridCol w:w="497"/>
      </w:tblGrid>
      <w:tr>
        <w:trPr/>
        <w:tc>
          <w:tcPr>
            <w:tcW w:w="160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954 Villa Street, Mountain View, California</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8"/>
              </w:rPr>
            </w:pPr>
            <w:r>
              <w:rPr>
                <w:rFonts w:ascii="Open Sans;sans-serif" w:hAnsi="Open Sans;sans-serif"/>
                <w:b/>
                <w:color w:val="000000"/>
                <w:sz w:val="18"/>
              </w:rPr>
              <w:t>94041</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(Address of Principal Executive Offices)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(Zip Code)</w:t>
            </w:r>
          </w:p>
        </w:tc>
      </w:tr>
    </w:tbl>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Registrant’s Telephone Number, Including Area Code: (323) 962-8600</w:t>
      </w:r>
    </w:p>
    <w:p>
      <w:pPr>
        <w:pStyle w:val="TextBody"/>
        <w:bidi w:val="0"/>
        <w:spacing w:before="120" w:after="283"/>
        <w:jc w:val="center"/>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(Former Name or Former Address, if Changed Since Last Report)</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Check the appropriate box below if the Form 8-K filing is intended to simultaneously satisfy the filing obligation of the registrant under any of the following provisions (see General Instructions A.2.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91"/>
        <w:gridCol w:w="2841"/>
        <w:gridCol w:w="40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40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Pre-commencement communications pursuant to Rule 13e-4(c) under the Exchange Act (17 CFR 240.13e-4(c))</w:t>
            </w:r>
          </w:p>
        </w:tc>
      </w:tr>
    </w:tbl>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Securities registered pursuant to Section 12(b) of the Act:</w:t>
      </w:r>
    </w:p>
    <w:tbl>
      <w:tblPr>
        <w:tblW w:w="9818" w:type="dxa"/>
        <w:jc w:val="left"/>
        <w:tblInd w:w="0" w:type="dxa"/>
        <w:tblLayout w:type="fixed"/>
        <w:tblCellMar>
          <w:top w:w="28" w:type="dxa"/>
          <w:left w:w="28" w:type="dxa"/>
          <w:bottom w:w="28" w:type="dxa"/>
          <w:right w:w="28" w:type="dxa"/>
        </w:tblCellMar>
      </w:tblPr>
      <w:tblGrid>
        <w:gridCol w:w="1634"/>
        <w:gridCol w:w="1437"/>
        <w:gridCol w:w="1444"/>
        <w:gridCol w:w="109"/>
        <w:gridCol w:w="109"/>
        <w:gridCol w:w="109"/>
        <w:gridCol w:w="374"/>
        <w:gridCol w:w="374"/>
        <w:gridCol w:w="376"/>
        <w:gridCol w:w="109"/>
        <w:gridCol w:w="109"/>
        <w:gridCol w:w="109"/>
        <w:gridCol w:w="1032"/>
        <w:gridCol w:w="1032"/>
        <w:gridCol w:w="1461"/>
      </w:tblGrid>
      <w:tr>
        <w:trPr/>
        <w:tc>
          <w:tcPr>
            <w:tcW w:w="16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Trading</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Name of each exchange</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on which registered</w:t>
            </w:r>
          </w:p>
        </w:tc>
      </w:tr>
      <w:tr>
        <w:trPr/>
        <w:tc>
          <w:tcPr>
            <w:tcW w:w="4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Common Stock, par value $0.001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The Nasdaq Global Select Market</w:t>
            </w:r>
          </w:p>
        </w:tc>
      </w:tr>
    </w:tbl>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Emerging growth company ☐</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5.07 Submission of Matters to a Vote of Security Holders.</w:t>
      </w:r>
    </w:p>
    <w:p>
      <w:pPr>
        <w:pStyle w:val="TextBody"/>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The 2026 annual meeting of stockholders (the “Annual Meeting”) of LegalZoom.com, Inc. (the “Company”) was held on June 3, 2026. The final results of voting for each matter submitted to a vote of stockholders at the Annual Meeting are set forth below.</w:t>
      </w:r>
    </w:p>
    <w:p>
      <w:pPr>
        <w:pStyle w:val="TextBody"/>
        <w:bidi w:val="0"/>
        <w:spacing w:before="0" w:after="0"/>
        <w:jc w:val="left"/>
        <w:rPr/>
      </w:pPr>
      <w:r>
        <w:rPr/>
      </w:r>
    </w:p>
    <w:p>
      <w:pPr>
        <w:pStyle w:val="TextBody"/>
        <w:bidi w:val="0"/>
        <w:spacing w:lineRule="auto" w:line="288" w:before="0" w:after="0"/>
        <w:jc w:val="left"/>
        <w:rPr/>
      </w:pPr>
      <w:r>
        <w:rPr>
          <w:rFonts w:ascii="Work Sans;sans-serif" w:hAnsi="Work Sans;sans-serif"/>
          <w:b/>
          <w:color w:val="000000"/>
          <w:sz w:val="18"/>
        </w:rPr>
        <w:t xml:space="preserve">Proposal 1 </w:t>
      </w:r>
      <w:r>
        <w:rPr>
          <w:color w:val="000000"/>
        </w:rPr>
        <w:t xml:space="preserve">– </w:t>
      </w:r>
      <w:r>
        <w:rPr>
          <w:rFonts w:ascii="Work Sans;sans-serif" w:hAnsi="Work Sans;sans-serif"/>
          <w:b w:val="false"/>
          <w:color w:val="000000"/>
          <w:sz w:val="18"/>
        </w:rPr>
        <w:t>The one director nominee named in the proxy statement was elected as a Class II director to serve for a three-year term and until her successor has been duly elected and qualified, or until her earlier death, resignation, removal, retirement or disqualification as set forth below:</w:t>
      </w:r>
    </w:p>
    <w:p>
      <w:pPr>
        <w:pStyle w:val="TextBody"/>
        <w:bidi w:val="0"/>
        <w:spacing w:before="0" w:after="0"/>
        <w:jc w:val="left"/>
        <w:rPr/>
      </w:pPr>
      <w:r>
        <w:rPr/>
      </w:r>
    </w:p>
    <w:tbl>
      <w:tblPr>
        <w:tblW w:w="6825" w:type="dxa"/>
        <w:jc w:val="left"/>
        <w:tblInd w:w="0" w:type="dxa"/>
        <w:tblLayout w:type="fixed"/>
        <w:tblCellMar>
          <w:top w:w="28" w:type="dxa"/>
          <w:left w:w="28" w:type="dxa"/>
          <w:bottom w:w="28" w:type="dxa"/>
          <w:right w:w="28" w:type="dxa"/>
        </w:tblCellMar>
      </w:tblPr>
      <w:tblGrid>
        <w:gridCol w:w="766"/>
        <w:gridCol w:w="672"/>
        <w:gridCol w:w="676"/>
        <w:gridCol w:w="434"/>
        <w:gridCol w:w="434"/>
        <w:gridCol w:w="438"/>
        <w:gridCol w:w="400"/>
        <w:gridCol w:w="400"/>
        <w:gridCol w:w="401"/>
        <w:gridCol w:w="645"/>
        <w:gridCol w:w="645"/>
        <w:gridCol w:w="914"/>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color w:val="000000"/>
                <w:sz w:val="18"/>
              </w:rPr>
            </w:pPr>
            <w:r>
              <w:rPr>
                <w:rFonts w:ascii="Work Sans;sans-serif" w:hAnsi="Work Sans;sans-serif"/>
                <w:b/>
                <w:color w:val="000000"/>
                <w:sz w:val="18"/>
              </w:rPr>
              <w:t>DIRECTOR NOMINEE</w:t>
            </w:r>
          </w:p>
        </w:tc>
        <w:tc>
          <w:tcPr>
            <w:tcW w:w="130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0"/>
              <w:jc w:val="center"/>
              <w:rPr>
                <w:rFonts w:ascii="Work Sans;sans-serif" w:hAnsi="Work Sans;sans-serif"/>
                <w:b/>
                <w:color w:val="000000"/>
                <w:sz w:val="18"/>
              </w:rPr>
            </w:pPr>
            <w:r>
              <w:rPr>
                <w:rFonts w:ascii="Work Sans;sans-serif" w:hAnsi="Work Sans;sans-serif"/>
                <w:b/>
                <w:color w:val="000000"/>
                <w:sz w:val="18"/>
              </w:rPr>
              <w:t>FOR</w:t>
            </w:r>
          </w:p>
        </w:tc>
        <w:tc>
          <w:tcPr>
            <w:tcW w:w="12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color w:val="000000"/>
                <w:sz w:val="18"/>
              </w:rPr>
            </w:pPr>
            <w:r>
              <w:rPr>
                <w:rFonts w:ascii="Work Sans;sans-serif" w:hAnsi="Work Sans;sans-serif"/>
                <w:b/>
                <w:color w:val="000000"/>
                <w:sz w:val="18"/>
              </w:rPr>
              <w:t>WITHHOLD</w:t>
            </w:r>
          </w:p>
        </w:tc>
        <w:tc>
          <w:tcPr>
            <w:tcW w:w="22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color w:val="000000"/>
                <w:sz w:val="18"/>
              </w:rPr>
            </w:pPr>
            <w:r>
              <w:rPr>
                <w:rFonts w:ascii="Work Sans;sans-serif" w:hAnsi="Work Sans;sans-serif"/>
                <w:b/>
                <w:color w:val="000000"/>
                <w:sz w:val="18"/>
              </w:rPr>
              <w:t>BROKER NON-VOTES</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val="false"/>
                <w:color w:val="000000"/>
                <w:sz w:val="18"/>
              </w:rPr>
            </w:pPr>
            <w:r>
              <w:rPr>
                <w:rFonts w:ascii="Work Sans;sans-serif" w:hAnsi="Work Sans;sans-serif"/>
                <w:b w:val="false"/>
                <w:color w:val="000000"/>
                <w:sz w:val="18"/>
              </w:rPr>
              <w:t>Sivan Whiteley</w:t>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val="false"/>
                <w:color w:val="000000"/>
                <w:sz w:val="18"/>
              </w:rPr>
            </w:pPr>
            <w:r>
              <w:rPr>
                <w:rFonts w:ascii="Work Sans;sans-serif" w:hAnsi="Work Sans;sans-serif"/>
                <w:b w:val="false"/>
                <w:color w:val="000000"/>
                <w:sz w:val="18"/>
              </w:rPr>
              <w:t>107,724,702</w:t>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val="false"/>
                <w:color w:val="000000"/>
                <w:sz w:val="18"/>
              </w:rPr>
            </w:pPr>
            <w:r>
              <w:rPr>
                <w:rFonts w:ascii="Work Sans;sans-serif" w:hAnsi="Work Sans;sans-serif"/>
                <w:b w:val="false"/>
                <w:color w:val="000000"/>
                <w:sz w:val="18"/>
              </w:rPr>
              <w:t>27,612,563</w:t>
            </w:r>
          </w:p>
        </w:tc>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val="false"/>
                <w:color w:val="000000"/>
                <w:sz w:val="18"/>
              </w:rPr>
            </w:pPr>
            <w:r>
              <w:rPr>
                <w:rFonts w:ascii="Work Sans;sans-serif" w:hAnsi="Work Sans;sans-serif"/>
                <w:b w:val="false"/>
                <w:color w:val="000000"/>
                <w:sz w:val="18"/>
              </w:rPr>
              <w:t>25,073,628</w:t>
            </w:r>
          </w:p>
        </w:tc>
      </w:tr>
    </w:tbl>
    <w:p>
      <w:pPr>
        <w:pStyle w:val="TextBody"/>
        <w:bidi w:val="0"/>
        <w:spacing w:before="0" w:after="120"/>
        <w:jc w:val="left"/>
        <w:rPr/>
      </w:pPr>
      <w:r>
        <w:rPr/>
      </w:r>
    </w:p>
    <w:p>
      <w:pPr>
        <w:pStyle w:val="TextBody"/>
        <w:bidi w:val="0"/>
        <w:spacing w:lineRule="auto" w:line="288" w:before="120" w:after="120"/>
        <w:jc w:val="left"/>
        <w:rPr/>
      </w:pPr>
      <w:r>
        <w:rPr>
          <w:rFonts w:ascii="Work Sans;sans-serif" w:hAnsi="Work Sans;sans-serif"/>
          <w:b/>
          <w:color w:val="000000"/>
          <w:sz w:val="18"/>
        </w:rPr>
        <w:t xml:space="preserve">Proposal 2 </w:t>
      </w:r>
      <w:r>
        <w:rPr>
          <w:color w:val="000000"/>
        </w:rPr>
        <w:t xml:space="preserve">– </w:t>
      </w:r>
      <w:r>
        <w:rPr>
          <w:rFonts w:ascii="Work Sans;sans-serif" w:hAnsi="Work Sans;sans-serif"/>
          <w:b w:val="false"/>
          <w:color w:val="000000"/>
          <w:sz w:val="18"/>
        </w:rPr>
        <w:t>The appointment of PricewaterhouseCoopers LLP as the Company’s independent registered public accounting firm for the year ending December 31, 2026 was ratified as set forth below:</w:t>
      </w:r>
    </w:p>
    <w:p>
      <w:pPr>
        <w:pStyle w:val="TextBody"/>
        <w:bidi w:val="0"/>
        <w:spacing w:before="120" w:after="120"/>
        <w:jc w:val="left"/>
        <w:rPr/>
      </w:pPr>
      <w:r>
        <w:rPr/>
      </w:r>
    </w:p>
    <w:tbl>
      <w:tblPr>
        <w:tblW w:w="5567" w:type="dxa"/>
        <w:jc w:val="left"/>
        <w:tblInd w:w="0" w:type="dxa"/>
        <w:tblLayout w:type="fixed"/>
        <w:tblCellMar>
          <w:top w:w="28" w:type="dxa"/>
          <w:left w:w="28" w:type="dxa"/>
          <w:bottom w:w="28" w:type="dxa"/>
          <w:right w:w="28" w:type="dxa"/>
        </w:tblCellMar>
      </w:tblPr>
      <w:tblGrid>
        <w:gridCol w:w="478"/>
        <w:gridCol w:w="420"/>
        <w:gridCol w:w="423"/>
        <w:gridCol w:w="354"/>
        <w:gridCol w:w="354"/>
        <w:gridCol w:w="358"/>
        <w:gridCol w:w="325"/>
        <w:gridCol w:w="325"/>
        <w:gridCol w:w="326"/>
        <w:gridCol w:w="645"/>
        <w:gridCol w:w="645"/>
        <w:gridCol w:w="914"/>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90"/>
              <w:jc w:val="center"/>
              <w:rPr>
                <w:rFonts w:ascii="Work Sans;sans-serif" w:hAnsi="Work Sans;sans-serif"/>
                <w:b/>
                <w:color w:val="000000"/>
                <w:sz w:val="18"/>
              </w:rPr>
            </w:pPr>
            <w:r>
              <w:rPr>
                <w:rFonts w:ascii="Work Sans;sans-serif" w:hAnsi="Work Sans;sans-serif"/>
                <w:b/>
                <w:color w:val="000000"/>
                <w:sz w:val="18"/>
              </w:rPr>
              <w:t>FOR</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color w:val="000000"/>
                <w:sz w:val="18"/>
              </w:rPr>
            </w:pPr>
            <w:r>
              <w:rPr>
                <w:rFonts w:ascii="Work Sans;sans-serif" w:hAnsi="Work Sans;sans-serif"/>
                <w:b/>
                <w:color w:val="000000"/>
                <w:sz w:val="18"/>
              </w:rPr>
              <w:t>AGAINST</w:t>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color w:val="000000"/>
                <w:sz w:val="18"/>
              </w:rPr>
            </w:pPr>
            <w:r>
              <w:rPr>
                <w:rFonts w:ascii="Work Sans;sans-serif" w:hAnsi="Work Sans;sans-serif"/>
                <w:b/>
                <w:color w:val="000000"/>
                <w:sz w:val="18"/>
              </w:rPr>
              <w:t>ABSTAIN</w:t>
            </w:r>
          </w:p>
        </w:tc>
        <w:tc>
          <w:tcPr>
            <w:tcW w:w="22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color w:val="000000"/>
                <w:sz w:val="18"/>
              </w:rPr>
            </w:pPr>
            <w:r>
              <w:rPr>
                <w:rFonts w:ascii="Work Sans;sans-serif" w:hAnsi="Work Sans;sans-serif"/>
                <w:b/>
                <w:color w:val="000000"/>
                <w:sz w:val="18"/>
              </w:rPr>
              <w:t>BROKER NON-VOTES</w:t>
            </w:r>
          </w:p>
        </w:tc>
      </w:tr>
      <w:tr>
        <w:trPr/>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val="false"/>
                <w:color w:val="000000"/>
                <w:sz w:val="18"/>
              </w:rPr>
            </w:pPr>
            <w:r>
              <w:rPr>
                <w:rFonts w:ascii="Work Sans;sans-serif" w:hAnsi="Work Sans;sans-serif"/>
                <w:b w:val="false"/>
                <w:color w:val="000000"/>
                <w:sz w:val="18"/>
              </w:rPr>
              <w:t>158,422,344</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val="false"/>
                <w:color w:val="000000"/>
                <w:sz w:val="18"/>
              </w:rPr>
            </w:pPr>
            <w:r>
              <w:rPr>
                <w:rFonts w:ascii="Work Sans;sans-serif" w:hAnsi="Work Sans;sans-serif"/>
                <w:b w:val="false"/>
                <w:color w:val="000000"/>
                <w:sz w:val="18"/>
              </w:rPr>
              <w:t>1,968,220</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val="false"/>
                <w:color w:val="000000"/>
                <w:sz w:val="18"/>
              </w:rPr>
            </w:pPr>
            <w:r>
              <w:rPr>
                <w:rFonts w:ascii="Work Sans;sans-serif" w:hAnsi="Work Sans;sans-serif"/>
                <w:b w:val="false"/>
                <w:color w:val="000000"/>
                <w:sz w:val="18"/>
              </w:rPr>
              <w:t>20,330</w:t>
            </w:r>
          </w:p>
        </w:tc>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before="120" w:after="120"/>
        <w:jc w:val="left"/>
        <w:rPr/>
      </w:pPr>
      <w:r>
        <w:rPr/>
      </w:r>
    </w:p>
    <w:p>
      <w:pPr>
        <w:pStyle w:val="TextBody"/>
        <w:bidi w:val="0"/>
        <w:spacing w:lineRule="auto" w:line="288" w:before="120" w:after="120"/>
        <w:jc w:val="left"/>
        <w:rPr/>
      </w:pPr>
      <w:r>
        <w:rPr>
          <w:rFonts w:ascii="Work Sans;sans-serif" w:hAnsi="Work Sans;sans-serif"/>
          <w:b/>
          <w:color w:val="000000"/>
          <w:sz w:val="18"/>
        </w:rPr>
        <w:t xml:space="preserve">Proposal 3 </w:t>
      </w:r>
      <w:r>
        <w:rPr>
          <w:color w:val="000000"/>
        </w:rPr>
        <w:t xml:space="preserve">– </w:t>
      </w:r>
      <w:r>
        <w:rPr>
          <w:rFonts w:ascii="Work Sans;sans-serif" w:hAnsi="Work Sans;sans-serif"/>
          <w:b w:val="false"/>
          <w:color w:val="000000"/>
          <w:sz w:val="18"/>
        </w:rPr>
        <w:t>The advisory vote on the compensation of the Company’s named executive officers was approved as set forth below:</w:t>
      </w:r>
    </w:p>
    <w:tbl>
      <w:tblPr>
        <w:tblW w:w="5567" w:type="dxa"/>
        <w:jc w:val="left"/>
        <w:tblInd w:w="0" w:type="dxa"/>
        <w:tblLayout w:type="fixed"/>
        <w:tblCellMar>
          <w:top w:w="28" w:type="dxa"/>
          <w:left w:w="28" w:type="dxa"/>
          <w:bottom w:w="28" w:type="dxa"/>
          <w:right w:w="28" w:type="dxa"/>
        </w:tblCellMar>
      </w:tblPr>
      <w:tblGrid>
        <w:gridCol w:w="477"/>
        <w:gridCol w:w="419"/>
        <w:gridCol w:w="425"/>
        <w:gridCol w:w="354"/>
        <w:gridCol w:w="354"/>
        <w:gridCol w:w="358"/>
        <w:gridCol w:w="325"/>
        <w:gridCol w:w="325"/>
        <w:gridCol w:w="326"/>
        <w:gridCol w:w="645"/>
        <w:gridCol w:w="645"/>
        <w:gridCol w:w="914"/>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color w:val="000000"/>
                <w:sz w:val="18"/>
              </w:rPr>
            </w:pPr>
            <w:r>
              <w:rPr>
                <w:rFonts w:ascii="Work Sans;sans-serif" w:hAnsi="Work Sans;sans-serif"/>
                <w:b/>
                <w:color w:val="000000"/>
                <w:sz w:val="18"/>
              </w:rPr>
              <w:t>FOR</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color w:val="000000"/>
                <w:sz w:val="18"/>
              </w:rPr>
            </w:pPr>
            <w:r>
              <w:rPr>
                <w:rFonts w:ascii="Work Sans;sans-serif" w:hAnsi="Work Sans;sans-serif"/>
                <w:b/>
                <w:color w:val="000000"/>
                <w:sz w:val="18"/>
              </w:rPr>
              <w:t>AGAINST</w:t>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color w:val="000000"/>
                <w:sz w:val="18"/>
              </w:rPr>
            </w:pPr>
            <w:r>
              <w:rPr>
                <w:rFonts w:ascii="Work Sans;sans-serif" w:hAnsi="Work Sans;sans-serif"/>
                <w:b/>
                <w:color w:val="000000"/>
                <w:sz w:val="18"/>
              </w:rPr>
              <w:t>ABSTAIN</w:t>
            </w:r>
          </w:p>
        </w:tc>
        <w:tc>
          <w:tcPr>
            <w:tcW w:w="22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color w:val="000000"/>
                <w:sz w:val="18"/>
              </w:rPr>
            </w:pPr>
            <w:r>
              <w:rPr>
                <w:rFonts w:ascii="Work Sans;sans-serif" w:hAnsi="Work Sans;sans-serif"/>
                <w:b/>
                <w:color w:val="000000"/>
                <w:sz w:val="18"/>
              </w:rPr>
              <w:t>BROKER NON-VOTES</w:t>
            </w:r>
          </w:p>
        </w:tc>
      </w:tr>
      <w:tr>
        <w:trPr/>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val="false"/>
                <w:color w:val="000000"/>
                <w:sz w:val="18"/>
              </w:rPr>
            </w:pPr>
            <w:r>
              <w:rPr>
                <w:rFonts w:ascii="Work Sans;sans-serif" w:hAnsi="Work Sans;sans-serif"/>
                <w:b w:val="false"/>
                <w:color w:val="000000"/>
                <w:sz w:val="18"/>
              </w:rPr>
              <w:t>130,993,487</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val="false"/>
                <w:color w:val="000000"/>
                <w:sz w:val="18"/>
              </w:rPr>
            </w:pPr>
            <w:r>
              <w:rPr>
                <w:rFonts w:ascii="Work Sans;sans-serif" w:hAnsi="Work Sans;sans-serif"/>
                <w:b w:val="false"/>
                <w:color w:val="000000"/>
                <w:sz w:val="18"/>
              </w:rPr>
              <w:t>4,292,140</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val="false"/>
                <w:color w:val="000000"/>
                <w:sz w:val="18"/>
              </w:rPr>
            </w:pPr>
            <w:r>
              <w:rPr>
                <w:rFonts w:ascii="Work Sans;sans-serif" w:hAnsi="Work Sans;sans-serif"/>
                <w:b w:val="false"/>
                <w:color w:val="000000"/>
                <w:sz w:val="18"/>
              </w:rPr>
              <w:t>51,638</w:t>
            </w:r>
          </w:p>
        </w:tc>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Work Sans;sans-serif" w:hAnsi="Work Sans;sans-serif"/>
                <w:b w:val="false"/>
                <w:color w:val="000000"/>
                <w:sz w:val="18"/>
              </w:rPr>
            </w:pPr>
            <w:r>
              <w:rPr>
                <w:rFonts w:ascii="Work Sans;sans-serif" w:hAnsi="Work Sans;sans-serif"/>
                <w:b w:val="false"/>
                <w:color w:val="000000"/>
                <w:sz w:val="18"/>
              </w:rPr>
              <w:t>25,073,628</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20"/>
                              </w:rPr>
                            </w:pPr>
                            <w:r>
                              <w:rPr>
                                <w:rFonts w:ascii="Work Sans;sans-serif" w:hAnsi="Work Sans;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20"/>
                        </w:rPr>
                      </w:pPr>
                      <w:r>
                        <w:rPr>
                          <w:rFonts w:ascii="Work Sans;sans-serif" w:hAnsi="Work Sans;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Work Sans;sans-serif" w:hAnsi="Work Sans;sans-serif"/>
          <w:b/>
          <w:color w:val="000000"/>
          <w:sz w:val="18"/>
          <w:shd w:fill="FFFFFF" w:val="clear"/>
        </w:rPr>
      </w:pPr>
      <w:r>
        <w:rPr>
          <w:rFonts w:ascii="Work Sans;sans-serif" w:hAnsi="Work Sans;sans-serif"/>
          <w:b/>
          <w:color w:val="000000"/>
          <w:sz w:val="18"/>
          <w:shd w:fill="FFFFFF" w:val="clear"/>
        </w:rPr>
        <w:t>SIGNATURES</w:t>
      </w:r>
    </w:p>
    <w:p>
      <w:pPr>
        <w:pStyle w:val="TextBody"/>
        <w:bidi w:val="0"/>
        <w:spacing w:lineRule="auto" w:line="288" w:before="240" w:after="283"/>
        <w:jc w:val="left"/>
        <w:rPr>
          <w:rFonts w:ascii="Work Sans;sans-serif" w:hAnsi="Work Sans;sans-serif"/>
          <w:b w:val="false"/>
          <w:color w:val="000000"/>
          <w:sz w:val="18"/>
          <w:shd w:fill="FFFFFF" w:val="clear"/>
        </w:rPr>
      </w:pPr>
      <w:r>
        <w:rPr>
          <w:rFonts w:ascii="Work Sans;sans-serif" w:hAnsi="Work Sans;sans-serif"/>
          <w:b w:val="false"/>
          <w:color w:val="000000"/>
          <w:sz w:val="18"/>
          <w:shd w:fill="FFFFFF" w:val="clear"/>
        </w:rPr>
        <w:t>Pursuant to the requirements of the Securities Exchange Act of 1934, the registrant has duly caused this report to be signed on its behalf by the undersigned thereunto duly authorized.</w:t>
      </w:r>
    </w:p>
    <w:tbl>
      <w:tblPr>
        <w:tblW w:w="6073" w:type="dxa"/>
        <w:jc w:val="left"/>
        <w:tblInd w:w="0" w:type="dxa"/>
        <w:tblLayout w:type="fixed"/>
        <w:tblCellMar>
          <w:top w:w="28" w:type="dxa"/>
          <w:left w:w="28" w:type="dxa"/>
          <w:bottom w:w="28" w:type="dxa"/>
          <w:right w:w="28" w:type="dxa"/>
        </w:tblCellMar>
      </w:tblPr>
      <w:tblGrid>
        <w:gridCol w:w="666"/>
        <w:gridCol w:w="586"/>
        <w:gridCol w:w="592"/>
        <w:gridCol w:w="320"/>
        <w:gridCol w:w="320"/>
        <w:gridCol w:w="320"/>
        <w:gridCol w:w="955"/>
        <w:gridCol w:w="955"/>
        <w:gridCol w:w="1359"/>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Date: June 4, 2026</w:t>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Nicole Miller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Nicole Miller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Legal Officer &amp; Secretary</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20"/>
                              </w:rPr>
                            </w:pPr>
                            <w:r>
                              <w:rPr>
                                <w:rFonts w:ascii="Work Sans;sans-serif" w:hAnsi="Work Sans;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20"/>
                        </w:rPr>
                      </w:pPr>
                      <w:r>
                        <w:rPr>
                          <w:rFonts w:ascii="Work Sans;sans-serif" w:hAnsi="Work Sans;sans-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Work Sans">
    <w:altName w:val="sans-serif"/>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539</Words>
  <Characters>3043</Characters>
  <CharactersWithSpaces>3500</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