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4117.xml.htm"/>
      <w:bookmarkStart w:id="1" w:name="kswkform4_178708411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Watson Noel Bertram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954 VILLA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MOUNTAIN VIEW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94041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LEGALZOOM.COM,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600"/>
        <w:gridCol w:w="346"/>
        <w:gridCol w:w="969"/>
        <w:gridCol w:w="449"/>
        <w:gridCol w:w="665"/>
        <w:gridCol w:w="1272"/>
        <w:gridCol w:w="991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82,501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5.62</w:t>
            </w:r>
          </w:p>
        </w:tc>
        <w:tc>
          <w:tcPr>
            <w:tcW w:w="12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1,907,801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represents the automatic withholding of shares of the Issuer's common stock upon the vesting of restricted stock units in order to satisfy the Reporting Person's tax withholding obligations.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Nicole Miller, Attorney-in-Fact for Noel Bertram Watson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69081" TargetMode="External"/><Relationship Id="rId5" Type="http://schemas.openxmlformats.org/officeDocument/2006/relationships/hyperlink" Target="http://www.sec.gov/cgi-bin/browse-edgar?action=getcompany&amp;CIK=0001286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599</Words>
  <Characters>3286</Characters>
  <CharactersWithSpaces>3817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