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466725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UNITED STATES</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27" w:lineRule="exact"/>
        <w:rPr>
          <w:sz w:val="24"/>
          <w:szCs w:val="24"/>
          <w:color w:val="auto"/>
        </w:rPr>
      </w:pPr>
    </w:p>
    <w:p>
      <w:pPr>
        <w:ind w:left="4140"/>
        <w:spacing w:after="0"/>
        <w:rPr>
          <w:sz w:val="20"/>
          <w:szCs w:val="20"/>
          <w:color w:val="auto"/>
        </w:rPr>
      </w:pPr>
      <w:r>
        <w:rPr>
          <w:rFonts w:ascii="Arial" w:cs="Arial" w:eastAsia="Arial" w:hAnsi="Arial"/>
          <w:sz w:val="15"/>
          <w:szCs w:val="15"/>
          <w:color w:val="auto"/>
        </w:rPr>
        <w:t>___________________________________</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 10-Q</w:t>
      </w:r>
    </w:p>
    <w:p>
      <w:pPr>
        <w:spacing w:after="0" w:line="125" w:lineRule="exact"/>
        <w:rPr>
          <w:sz w:val="24"/>
          <w:szCs w:val="24"/>
          <w:color w:val="auto"/>
        </w:rPr>
      </w:pPr>
    </w:p>
    <w:p>
      <w:pPr>
        <w:ind w:left="80"/>
        <w:spacing w:after="0"/>
        <w:rPr>
          <w:sz w:val="20"/>
          <w:szCs w:val="20"/>
          <w:color w:val="auto"/>
        </w:rPr>
      </w:pPr>
      <w:r>
        <w:rPr>
          <w:rFonts w:ascii="Arial" w:cs="Arial" w:eastAsia="Arial" w:hAnsi="Arial"/>
          <w:sz w:val="15"/>
          <w:szCs w:val="15"/>
          <w:b w:val="1"/>
          <w:bCs w:val="1"/>
          <w:color w:val="auto"/>
        </w:rPr>
        <w:t>(Mark One)</w:t>
      </w:r>
    </w:p>
    <w:p>
      <w:pPr>
        <w:spacing w:after="0" w:line="138" w:lineRule="exact"/>
        <w:rPr>
          <w:sz w:val="24"/>
          <w:szCs w:val="24"/>
          <w:color w:val="auto"/>
        </w:rPr>
      </w:pPr>
    </w:p>
    <w:p>
      <w:pPr>
        <w:ind w:left="360"/>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5" w:lineRule="exact"/>
        <w:rPr>
          <w:sz w:val="24"/>
          <w:szCs w:val="24"/>
          <w:color w:val="auto"/>
        </w:rPr>
      </w:pPr>
    </w:p>
    <w:p>
      <w:pPr>
        <w:ind w:left="100"/>
        <w:spacing w:after="0" w:line="151" w:lineRule="exact"/>
        <w:rPr>
          <w:sz w:val="20"/>
          <w:szCs w:val="20"/>
          <w:color w:val="auto"/>
        </w:rPr>
      </w:pPr>
      <w:r>
        <w:rPr>
          <w:rFonts w:ascii="MS PGothic" w:cs="MS PGothic" w:eastAsia="MS PGothic" w:hAnsi="MS PGothic"/>
          <w:sz w:val="15"/>
          <w:szCs w:val="15"/>
          <w:color w:val="auto"/>
        </w:rPr>
        <w:t>☒</w:t>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For the three months ended March 31, 2025</w:t>
      </w:r>
    </w:p>
    <w:p>
      <w:pPr>
        <w:spacing w:after="0" w:line="57" w:lineRule="exact"/>
        <w:rPr>
          <w:sz w:val="24"/>
          <w:szCs w:val="24"/>
          <w:color w:val="auto"/>
        </w:rPr>
      </w:pPr>
    </w:p>
    <w:p>
      <w:pPr>
        <w:ind w:left="3900"/>
        <w:spacing w:after="0"/>
        <w:rPr>
          <w:sz w:val="20"/>
          <w:szCs w:val="20"/>
          <w:color w:val="auto"/>
        </w:rPr>
      </w:pPr>
      <w:r>
        <w:rPr>
          <w:rFonts w:ascii="Arial" w:cs="Arial" w:eastAsia="Arial" w:hAnsi="Arial"/>
          <w:sz w:val="15"/>
          <w:szCs w:val="15"/>
          <w:b w:val="1"/>
          <w:bCs w:val="1"/>
          <w:color w:val="auto"/>
        </w:rPr>
        <w:t>OR</w:t>
      </w:r>
    </w:p>
    <w:p>
      <w:pPr>
        <w:spacing w:after="0" w:line="179" w:lineRule="exact"/>
        <w:rPr>
          <w:sz w:val="24"/>
          <w:szCs w:val="24"/>
          <w:color w:val="auto"/>
        </w:rPr>
      </w:pPr>
    </w:p>
    <w:p>
      <w:pPr>
        <w:ind w:left="380" w:hanging="264"/>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2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For the transition period from  to</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001-35618</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LegalZoom.com, Inc.</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73" w:lineRule="exact"/>
        <w:rPr>
          <w:sz w:val="24"/>
          <w:szCs w:val="24"/>
          <w:color w:val="auto"/>
        </w:rPr>
      </w:pPr>
    </w:p>
    <w:p>
      <w:pPr>
        <w:ind w:left="4140"/>
        <w:spacing w:after="0"/>
        <w:rPr>
          <w:sz w:val="20"/>
          <w:szCs w:val="20"/>
          <w:color w:val="auto"/>
        </w:rPr>
      </w:pPr>
      <w:r>
        <w:rPr>
          <w:rFonts w:ascii="Arial" w:cs="Arial" w:eastAsia="Arial" w:hAnsi="Arial"/>
          <w:sz w:val="15"/>
          <w:szCs w:val="15"/>
          <w:color w:val="auto"/>
        </w:rPr>
        <w:t>___________________________________</w:t>
      </w:r>
    </w:p>
    <w:p>
      <w:pPr>
        <w:spacing w:after="0" w:line="177" w:lineRule="exact"/>
        <w:rPr>
          <w:sz w:val="24"/>
          <w:szCs w:val="24"/>
          <w:color w:val="auto"/>
        </w:rPr>
      </w:pPr>
    </w:p>
    <w:tbl>
      <w:tblPr>
        <w:tblLayout w:type="fixed"/>
        <w:tblInd w:w="20" w:type="dxa"/>
        <w:tblCellMar>
          <w:top w:w="0" w:type="dxa"/>
          <w:left w:w="0" w:type="dxa"/>
          <w:bottom w:w="0" w:type="dxa"/>
          <w:right w:w="0" w:type="dxa"/>
        </w:tblCellMar>
      </w:tblPr>
      <w:tr>
        <w:trPr>
          <w:trHeight w:val="208"/>
        </w:trPr>
        <w:tc>
          <w:tcPr>
            <w:tcW w:w="4200" w:type="dxa"/>
            <w:vAlign w:val="bottom"/>
          </w:tcPr>
          <w:p>
            <w:pPr>
              <w:ind w:left="2460"/>
              <w:spacing w:after="0"/>
              <w:rPr>
                <w:sz w:val="20"/>
                <w:szCs w:val="20"/>
                <w:color w:val="auto"/>
              </w:rPr>
            </w:pPr>
            <w:r>
              <w:rPr>
                <w:rFonts w:ascii="Arial" w:cs="Arial" w:eastAsia="Arial" w:hAnsi="Arial"/>
                <w:sz w:val="15"/>
                <w:szCs w:val="15"/>
                <w:b w:val="1"/>
                <w:bCs w:val="1"/>
                <w:color w:val="auto"/>
              </w:rPr>
              <w:t>Delaware</w:t>
            </w:r>
          </w:p>
        </w:tc>
        <w:tc>
          <w:tcPr>
            <w:tcW w:w="5380" w:type="dxa"/>
            <w:vAlign w:val="bottom"/>
            <w:vMerge w:val="restart"/>
          </w:tcPr>
          <w:p>
            <w:pPr>
              <w:jc w:val="right"/>
              <w:ind w:right="684"/>
              <w:spacing w:after="0"/>
              <w:rPr>
                <w:sz w:val="20"/>
                <w:szCs w:val="20"/>
                <w:color w:val="auto"/>
              </w:rPr>
            </w:pPr>
            <w:r>
              <w:rPr>
                <w:rFonts w:ascii="Arial" w:cs="Arial" w:eastAsia="Arial" w:hAnsi="Arial"/>
                <w:sz w:val="15"/>
                <w:szCs w:val="15"/>
                <w:b w:val="1"/>
                <w:bCs w:val="1"/>
                <w:color w:val="auto"/>
              </w:rPr>
              <w:t>95-4752856</w:t>
            </w:r>
          </w:p>
        </w:tc>
        <w:tc>
          <w:tcPr>
            <w:tcW w:w="0" w:type="dxa"/>
            <w:vAlign w:val="bottom"/>
          </w:tcPr>
          <w:p>
            <w:pPr>
              <w:spacing w:after="0"/>
              <w:rPr>
                <w:sz w:val="1"/>
                <w:szCs w:val="1"/>
                <w:color w:val="auto"/>
              </w:rPr>
            </w:pPr>
          </w:p>
        </w:tc>
      </w:tr>
      <w:tr>
        <w:trPr>
          <w:trHeight w:val="56"/>
        </w:trPr>
        <w:tc>
          <w:tcPr>
            <w:tcW w:w="4200" w:type="dxa"/>
            <w:vAlign w:val="bottom"/>
          </w:tcPr>
          <w:p>
            <w:pPr>
              <w:spacing w:after="0"/>
              <w:rPr>
                <w:sz w:val="4"/>
                <w:szCs w:val="4"/>
                <w:color w:val="auto"/>
              </w:rPr>
            </w:pP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200" w:type="dxa"/>
            <w:vAlign w:val="bottom"/>
          </w:tcPr>
          <w:p>
            <w:pPr>
              <w:spacing w:after="0"/>
              <w:rPr>
                <w:sz w:val="20"/>
                <w:szCs w:val="20"/>
                <w:color w:val="auto"/>
              </w:rPr>
            </w:pPr>
            <w:r>
              <w:rPr>
                <w:rFonts w:ascii="Arial" w:cs="Arial" w:eastAsia="Arial" w:hAnsi="Arial"/>
                <w:sz w:val="15"/>
                <w:szCs w:val="15"/>
                <w:color w:val="auto"/>
              </w:rPr>
              <w:t>(State or other jurisdiction of incorporation or organization)</w:t>
            </w:r>
          </w:p>
        </w:tc>
        <w:tc>
          <w:tcPr>
            <w:tcW w:w="5380" w:type="dxa"/>
            <w:vAlign w:val="bottom"/>
          </w:tcPr>
          <w:p>
            <w:pPr>
              <w:jc w:val="center"/>
              <w:ind w:left="2964"/>
              <w:spacing w:after="0"/>
              <w:rPr>
                <w:sz w:val="20"/>
                <w:szCs w:val="20"/>
                <w:color w:val="auto"/>
              </w:rPr>
            </w:pPr>
            <w:r>
              <w:rPr>
                <w:rFonts w:ascii="Arial" w:cs="Arial" w:eastAsia="Arial" w:hAnsi="Arial"/>
                <w:sz w:val="15"/>
                <w:szCs w:val="15"/>
                <w:color w:val="auto"/>
              </w:rPr>
              <w:t>(I.R.S. Employer Identification No.)</w:t>
            </w:r>
          </w:p>
        </w:tc>
        <w:tc>
          <w:tcPr>
            <w:tcW w:w="0" w:type="dxa"/>
            <w:vAlign w:val="bottom"/>
          </w:tcPr>
          <w:p>
            <w:pPr>
              <w:spacing w:after="0"/>
              <w:rPr>
                <w:sz w:val="1"/>
                <w:szCs w:val="1"/>
                <w:color w:val="auto"/>
              </w:rPr>
            </w:pPr>
          </w:p>
        </w:tc>
      </w:tr>
      <w:tr>
        <w:trPr>
          <w:trHeight w:val="303"/>
        </w:trPr>
        <w:tc>
          <w:tcPr>
            <w:tcW w:w="4200" w:type="dxa"/>
            <w:vAlign w:val="bottom"/>
          </w:tcPr>
          <w:p>
            <w:pPr>
              <w:spacing w:after="0"/>
              <w:rPr>
                <w:sz w:val="24"/>
                <w:szCs w:val="24"/>
                <w:color w:val="auto"/>
              </w:rPr>
            </w:pPr>
          </w:p>
        </w:tc>
        <w:tc>
          <w:tcPr>
            <w:tcW w:w="5380" w:type="dxa"/>
            <w:vAlign w:val="bottom"/>
          </w:tcPr>
          <w:p>
            <w:pPr>
              <w:jc w:val="center"/>
              <w:ind w:right="2504"/>
              <w:spacing w:after="0"/>
              <w:rPr>
                <w:sz w:val="20"/>
                <w:szCs w:val="20"/>
                <w:color w:val="auto"/>
              </w:rPr>
            </w:pPr>
            <w:r>
              <w:rPr>
                <w:rFonts w:ascii="Arial" w:cs="Arial" w:eastAsia="Arial" w:hAnsi="Arial"/>
                <w:sz w:val="15"/>
                <w:szCs w:val="15"/>
                <w:b w:val="1"/>
                <w:bCs w:val="1"/>
                <w:color w:val="auto"/>
              </w:rPr>
              <w:t>954 Villa Street,</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5380" w:type="dxa"/>
            <w:vAlign w:val="bottom"/>
          </w:tcPr>
          <w:p>
            <w:pPr>
              <w:jc w:val="center"/>
              <w:ind w:right="2504"/>
              <w:spacing w:after="0"/>
              <w:rPr>
                <w:sz w:val="20"/>
                <w:szCs w:val="20"/>
                <w:color w:val="auto"/>
              </w:rPr>
            </w:pPr>
            <w:r>
              <w:rPr>
                <w:rFonts w:ascii="Arial" w:cs="Arial" w:eastAsia="Arial" w:hAnsi="Arial"/>
                <w:sz w:val="15"/>
                <w:szCs w:val="15"/>
                <w:b w:val="1"/>
                <w:bCs w:val="1"/>
                <w:color w:val="auto"/>
              </w:rPr>
              <w:t>Mountain View, California 94041</w:t>
            </w:r>
          </w:p>
        </w:tc>
        <w:tc>
          <w:tcPr>
            <w:tcW w:w="0" w:type="dxa"/>
            <w:vAlign w:val="bottom"/>
          </w:tcPr>
          <w:p>
            <w:pPr>
              <w:spacing w:after="0"/>
              <w:rPr>
                <w:sz w:val="1"/>
                <w:szCs w:val="1"/>
                <w:color w:val="auto"/>
              </w:rPr>
            </w:pPr>
          </w:p>
        </w:tc>
      </w:tr>
    </w:tbl>
    <w:p>
      <w:pPr>
        <w:spacing w:after="0" w:line="25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(323) 962-8600</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44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46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300"/>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Title of each class</w:t>
            </w:r>
          </w:p>
        </w:tc>
        <w:tc>
          <w:tcPr>
            <w:tcW w:w="246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rPr>
              <w:t>Trading Symbol(s)</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Name of each exchange on which registered</w:t>
            </w:r>
          </w:p>
        </w:tc>
      </w:tr>
      <w:tr>
        <w:trPr>
          <w:trHeight w:val="197"/>
        </w:trPr>
        <w:tc>
          <w:tcPr>
            <w:tcW w:w="4440" w:type="dxa"/>
            <w:vAlign w:val="bottom"/>
          </w:tcPr>
          <w:p>
            <w:pPr>
              <w:jc w:val="center"/>
              <w:spacing w:after="0"/>
              <w:rPr>
                <w:sz w:val="20"/>
                <w:szCs w:val="20"/>
                <w:color w:val="auto"/>
              </w:rPr>
            </w:pPr>
            <w:r>
              <w:rPr>
                <w:rFonts w:ascii="Arial" w:cs="Arial" w:eastAsia="Arial" w:hAnsi="Arial"/>
                <w:sz w:val="15"/>
                <w:szCs w:val="15"/>
                <w:color w:val="auto"/>
              </w:rPr>
              <w:t>Common Stock, par value $0.001 per share</w:t>
            </w:r>
          </w:p>
        </w:tc>
        <w:tc>
          <w:tcPr>
            <w:tcW w:w="2460" w:type="dxa"/>
            <w:vAlign w:val="bottom"/>
          </w:tcPr>
          <w:p>
            <w:pPr>
              <w:jc w:val="center"/>
              <w:ind w:right="4"/>
              <w:spacing w:after="0"/>
              <w:rPr>
                <w:sz w:val="20"/>
                <w:szCs w:val="20"/>
                <w:color w:val="auto"/>
              </w:rPr>
            </w:pPr>
            <w:r>
              <w:rPr>
                <w:rFonts w:ascii="Arial" w:cs="Arial" w:eastAsia="Arial" w:hAnsi="Arial"/>
                <w:sz w:val="15"/>
                <w:szCs w:val="15"/>
                <w:color w:val="auto"/>
              </w:rPr>
              <w:t>LZ</w:t>
            </w:r>
          </w:p>
        </w:tc>
        <w:tc>
          <w:tcPr>
            <w:tcW w:w="4340" w:type="dxa"/>
            <w:vAlign w:val="bottom"/>
          </w:tcPr>
          <w:p>
            <w:pPr>
              <w:jc w:val="center"/>
              <w:spacing w:after="0"/>
              <w:rPr>
                <w:sz w:val="20"/>
                <w:szCs w:val="20"/>
                <w:color w:val="auto"/>
              </w:rPr>
            </w:pPr>
            <w:r>
              <w:rPr>
                <w:rFonts w:ascii="Arial" w:cs="Arial" w:eastAsia="Arial" w:hAnsi="Arial"/>
                <w:sz w:val="15"/>
                <w:szCs w:val="15"/>
                <w:color w:val="auto"/>
              </w:rPr>
              <w:t>The Nasdaq Global Select Market</w:t>
            </w:r>
          </w:p>
        </w:tc>
      </w:tr>
    </w:tbl>
    <w:p>
      <w:pPr>
        <w:spacing w:after="0" w:line="187" w:lineRule="exact"/>
        <w:rPr>
          <w:sz w:val="24"/>
          <w:szCs w:val="24"/>
          <w:color w:val="auto"/>
        </w:rPr>
      </w:pPr>
    </w:p>
    <w:p>
      <w:pPr>
        <w:ind w:right="100"/>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5"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w:t>
      </w:r>
    </w:p>
    <w:p>
      <w:pPr>
        <w:spacing w:after="0" w:line="13" w:lineRule="exact"/>
        <w:rPr>
          <w:sz w:val="24"/>
          <w:szCs w:val="24"/>
          <w:color w:val="auto"/>
        </w:rPr>
      </w:pPr>
    </w:p>
    <w:p>
      <w:pPr>
        <w:spacing w:after="0" w:line="173" w:lineRule="exact"/>
        <w:tabs>
          <w:tab w:leader="none" w:pos="10040" w:val="left"/>
        </w:tabs>
        <w:rPr>
          <w:sz w:val="20"/>
          <w:szCs w:val="20"/>
          <w:color w:val="auto"/>
        </w:rPr>
      </w:pPr>
      <w:r>
        <w:rPr>
          <w:rFonts w:ascii="Arial" w:cs="Arial" w:eastAsia="Arial" w:hAnsi="Arial"/>
          <w:sz w:val="15"/>
          <w:szCs w:val="15"/>
          <w:color w:val="auto"/>
        </w:rPr>
        <w:t>(§232.405 of this chapter) during the preceding 12 months (or for such shorter period that the registrant was required to submit such files).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jc w:val="both"/>
        <w:spacing w:after="0" w:line="28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63"/>
        </w:trPr>
        <w:tc>
          <w:tcPr>
            <w:tcW w:w="2360" w:type="dxa"/>
            <w:vAlign w:val="bottom"/>
          </w:tcPr>
          <w:p>
            <w:pPr>
              <w:ind w:left="20"/>
              <w:spacing w:after="0"/>
              <w:rPr>
                <w:sz w:val="20"/>
                <w:szCs w:val="20"/>
                <w:color w:val="auto"/>
              </w:rPr>
            </w:pPr>
            <w:r>
              <w:rPr>
                <w:rFonts w:ascii="Arial" w:cs="Arial" w:eastAsia="Arial" w:hAnsi="Arial"/>
                <w:sz w:val="15"/>
                <w:szCs w:val="15"/>
                <w:color w:val="auto"/>
              </w:rPr>
              <w:t>Large accelerated filer</w:t>
            </w:r>
          </w:p>
        </w:tc>
        <w:tc>
          <w:tcPr>
            <w:tcW w:w="3120" w:type="dxa"/>
            <w:vAlign w:val="bottom"/>
          </w:tcPr>
          <w:p>
            <w:pPr>
              <w:ind w:left="820"/>
              <w:spacing w:after="0" w:line="151" w:lineRule="exact"/>
              <w:rPr>
                <w:sz w:val="20"/>
                <w:szCs w:val="20"/>
                <w:color w:val="auto"/>
              </w:rPr>
            </w:pPr>
            <w:r>
              <w:rPr>
                <w:rFonts w:ascii="MS PGothic" w:cs="MS PGothic" w:eastAsia="MS PGothic" w:hAnsi="MS PGothic"/>
                <w:sz w:val="15"/>
                <w:szCs w:val="15"/>
                <w:color w:val="auto"/>
              </w:rPr>
              <w:t>☒</w:t>
            </w:r>
          </w:p>
        </w:tc>
        <w:tc>
          <w:tcPr>
            <w:tcW w:w="4640" w:type="dxa"/>
            <w:vAlign w:val="bottom"/>
          </w:tcPr>
          <w:p>
            <w:pPr>
              <w:ind w:left="2180"/>
              <w:spacing w:after="0"/>
              <w:rPr>
                <w:sz w:val="20"/>
                <w:szCs w:val="20"/>
                <w:color w:val="auto"/>
              </w:rPr>
            </w:pPr>
            <w:r>
              <w:rPr>
                <w:rFonts w:ascii="Arial" w:cs="Arial" w:eastAsia="Arial" w:hAnsi="Arial"/>
                <w:sz w:val="15"/>
                <w:szCs w:val="15"/>
                <w:color w:val="auto"/>
              </w:rPr>
              <w:t>Accelerated filer</w:t>
            </w:r>
          </w:p>
        </w:tc>
        <w:tc>
          <w:tcPr>
            <w:tcW w:w="740" w:type="dxa"/>
            <w:vAlign w:val="bottom"/>
          </w:tcPr>
          <w:p>
            <w:pPr>
              <w:ind w:left="660"/>
              <w:spacing w:after="0"/>
              <w:rPr>
                <w:sz w:val="20"/>
                <w:szCs w:val="20"/>
                <w:color w:val="auto"/>
              </w:rPr>
            </w:pPr>
            <w:r>
              <w:rPr>
                <w:rFonts w:ascii="Arial" w:cs="Arial" w:eastAsia="Arial" w:hAnsi="Arial"/>
                <w:sz w:val="15"/>
                <w:szCs w:val="15"/>
                <w:color w:val="auto"/>
                <w:w w:val="71"/>
              </w:rPr>
              <w:t>o</w:t>
            </w:r>
          </w:p>
        </w:tc>
      </w:tr>
      <w:tr>
        <w:trPr>
          <w:trHeight w:val="256"/>
        </w:trPr>
        <w:tc>
          <w:tcPr>
            <w:tcW w:w="2360" w:type="dxa"/>
            <w:vAlign w:val="bottom"/>
          </w:tcPr>
          <w:p>
            <w:pPr>
              <w:spacing w:after="0"/>
              <w:rPr>
                <w:sz w:val="20"/>
                <w:szCs w:val="20"/>
                <w:color w:val="auto"/>
              </w:rPr>
            </w:pPr>
            <w:r>
              <w:rPr>
                <w:rFonts w:ascii="Arial" w:cs="Arial" w:eastAsia="Arial" w:hAnsi="Arial"/>
                <w:sz w:val="15"/>
                <w:szCs w:val="15"/>
                <w:color w:val="auto"/>
              </w:rPr>
              <w:t>Non-accelerated filer</w:t>
            </w:r>
          </w:p>
        </w:tc>
        <w:tc>
          <w:tcPr>
            <w:tcW w:w="3120" w:type="dxa"/>
            <w:vAlign w:val="bottom"/>
          </w:tcPr>
          <w:p>
            <w:pPr>
              <w:ind w:left="820"/>
              <w:spacing w:after="0"/>
              <w:rPr>
                <w:sz w:val="20"/>
                <w:szCs w:val="20"/>
                <w:color w:val="auto"/>
              </w:rPr>
            </w:pPr>
            <w:r>
              <w:rPr>
                <w:rFonts w:ascii="Arial" w:cs="Arial" w:eastAsia="Arial" w:hAnsi="Arial"/>
                <w:sz w:val="15"/>
                <w:szCs w:val="15"/>
                <w:color w:val="auto"/>
              </w:rPr>
              <w:t>o</w:t>
            </w:r>
          </w:p>
        </w:tc>
        <w:tc>
          <w:tcPr>
            <w:tcW w:w="4640" w:type="dxa"/>
            <w:vAlign w:val="bottom"/>
          </w:tcPr>
          <w:p>
            <w:pPr>
              <w:ind w:left="2180"/>
              <w:spacing w:after="0"/>
              <w:rPr>
                <w:sz w:val="20"/>
                <w:szCs w:val="20"/>
                <w:color w:val="auto"/>
              </w:rPr>
            </w:pPr>
            <w:r>
              <w:rPr>
                <w:rFonts w:ascii="Arial" w:cs="Arial" w:eastAsia="Arial" w:hAnsi="Arial"/>
                <w:sz w:val="15"/>
                <w:szCs w:val="15"/>
                <w:color w:val="auto"/>
              </w:rPr>
              <w:t>Smaller reporting company</w:t>
            </w:r>
          </w:p>
        </w:tc>
        <w:tc>
          <w:tcPr>
            <w:tcW w:w="740" w:type="dxa"/>
            <w:vAlign w:val="bottom"/>
          </w:tcPr>
          <w:p>
            <w:pPr>
              <w:ind w:left="660"/>
              <w:spacing w:after="0"/>
              <w:rPr>
                <w:sz w:val="20"/>
                <w:szCs w:val="20"/>
                <w:color w:val="auto"/>
              </w:rPr>
            </w:pPr>
            <w:r>
              <w:rPr>
                <w:rFonts w:ascii="Arial" w:cs="Arial" w:eastAsia="Arial" w:hAnsi="Arial"/>
                <w:sz w:val="15"/>
                <w:szCs w:val="15"/>
                <w:color w:val="auto"/>
                <w:w w:val="71"/>
              </w:rPr>
              <w:t>o</w:t>
            </w:r>
          </w:p>
        </w:tc>
      </w:tr>
      <w:tr>
        <w:trPr>
          <w:trHeight w:val="311"/>
        </w:trPr>
        <w:tc>
          <w:tcPr>
            <w:tcW w:w="2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40" w:type="dxa"/>
            <w:vAlign w:val="bottom"/>
          </w:tcPr>
          <w:p>
            <w:pPr>
              <w:ind w:left="2180"/>
              <w:spacing w:after="0"/>
              <w:rPr>
                <w:sz w:val="20"/>
                <w:szCs w:val="20"/>
                <w:color w:val="auto"/>
              </w:rPr>
            </w:pPr>
            <w:r>
              <w:rPr>
                <w:rFonts w:ascii="Arial" w:cs="Arial" w:eastAsia="Arial" w:hAnsi="Arial"/>
                <w:sz w:val="15"/>
                <w:szCs w:val="15"/>
                <w:color w:val="auto"/>
              </w:rPr>
              <w:t>Emerging growth company</w:t>
            </w:r>
          </w:p>
        </w:tc>
        <w:tc>
          <w:tcPr>
            <w:tcW w:w="740" w:type="dxa"/>
            <w:vAlign w:val="bottom"/>
          </w:tcPr>
          <w:p>
            <w:pPr>
              <w:ind w:left="660"/>
              <w:spacing w:after="0"/>
              <w:rPr>
                <w:sz w:val="20"/>
                <w:szCs w:val="20"/>
                <w:color w:val="auto"/>
              </w:rPr>
            </w:pPr>
            <w:r>
              <w:rPr>
                <w:rFonts w:ascii="Arial" w:cs="Arial" w:eastAsia="Arial" w:hAnsi="Arial"/>
                <w:sz w:val="15"/>
                <w:szCs w:val="15"/>
                <w:color w:val="auto"/>
                <w:w w:val="71"/>
              </w:rPr>
              <w:t>o</w:t>
            </w:r>
          </w:p>
        </w:tc>
      </w:tr>
    </w:tbl>
    <w:p>
      <w:pPr>
        <w:spacing w:after="0" w:line="191" w:lineRule="exact"/>
        <w:rPr>
          <w:sz w:val="24"/>
          <w:szCs w:val="24"/>
          <w:color w:val="auto"/>
        </w:rPr>
      </w:pPr>
    </w:p>
    <w:p>
      <w:pPr>
        <w:ind w:right="220"/>
        <w:spacing w:after="0" w:line="20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jc w:val="both"/>
        <w:ind w:right="2460"/>
        <w:spacing w:after="0" w:line="25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 2025, the registrant had outstanding 181,184,393 shares of common stock, $0.001 par value per share, outstanding</w:t>
      </w:r>
      <w:r>
        <w:rPr>
          <w:rFonts w:ascii="Arial" w:cs="Arial" w:eastAsia="Arial" w:hAnsi="Arial"/>
          <w:sz w:val="15"/>
          <w:szCs w:val="1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5" w:lineRule="exact"/>
        <w:rPr>
          <w:sz w:val="24"/>
          <w:szCs w:val="24"/>
          <w:color w:val="auto"/>
        </w:rPr>
      </w:pPr>
    </w:p>
    <w:p>
      <w:pPr>
        <w:ind w:right="20" w:firstLine="405"/>
        <w:spacing w:after="0" w:line="257"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84" w:lineRule="exact"/>
        <w:rPr>
          <w:sz w:val="24"/>
          <w:szCs w:val="24"/>
          <w:color w:val="auto"/>
        </w:rPr>
      </w:pPr>
    </w:p>
    <w:p>
      <w:pPr>
        <w:ind w:right="40" w:firstLine="405"/>
        <w:spacing w:after="0" w:line="260"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factors discussed below under “Summary of Risk Factors” and in Part II, Item 1A, “Risk Factors” and elsewhere</w:t>
      </w:r>
    </w:p>
    <w:p>
      <w:pPr>
        <w:sectPr>
          <w:pgSz w:w="11900" w:h="16888" w:orient="portrait"/>
          <w:cols w:equalWidth="0" w:num="1">
            <w:col w:w="11240"/>
          </w:cols>
          <w:pgMar w:left="320" w:top="233" w:right="339" w:bottom="0" w:gutter="0" w:footer="0" w:header="0"/>
        </w:sectPr>
      </w:pPr>
    </w:p>
    <w:bookmarkStart w:id="1" w:name="page2"/>
    <w:bookmarkEnd w:id="1"/>
    <w:p>
      <w:pPr>
        <w:ind w:right="100"/>
        <w:spacing w:after="0" w:line="265" w:lineRule="auto"/>
        <w:rPr>
          <w:sz w:val="20"/>
          <w:szCs w:val="20"/>
          <w:color w:val="auto"/>
        </w:rPr>
      </w:pPr>
      <w:r>
        <w:rPr>
          <w:rFonts w:ascii="Arial" w:cs="Arial" w:eastAsia="Arial" w:hAnsi="Arial"/>
          <w:sz w:val="16"/>
          <w:szCs w:val="16"/>
          <w:color w:val="auto"/>
        </w:rPr>
        <w:t>in this Quarterly Report on Form 10-Q, as well as any factors contained in our subsequent filings with the Securities and Exchange Commission, or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64"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You should read this Quarterly Report on Form 10-Q and the documents that we reference herein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Quarterly Report on Form 10-Q, whether as a result of any new information, future events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business involves significant risks and you are urged to carefully consider the risks discussed under Part II, Item 1A, “Risk Factors” in this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prior to making an investment in our common stock. These risks include, but are not limited to, the following:</w:t>
      </w:r>
    </w:p>
    <w:p>
      <w:pPr>
        <w:spacing w:after="0" w:line="101" w:lineRule="exact"/>
        <w:rPr>
          <w:sz w:val="20"/>
          <w:szCs w:val="20"/>
          <w:color w:val="auto"/>
        </w:rPr>
      </w:pPr>
    </w:p>
    <w:p>
      <w:pPr>
        <w:ind w:left="720" w:hanging="297"/>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primarily depends on business formations.</w:t>
      </w:r>
    </w:p>
    <w:p>
      <w:pPr>
        <w:spacing w:after="0" w:line="113" w:lineRule="exact"/>
        <w:rPr>
          <w:rFonts w:ascii="Arial" w:cs="Arial" w:eastAsia="Arial" w:hAnsi="Arial"/>
          <w:sz w:val="16"/>
          <w:szCs w:val="16"/>
          <w:color w:val="auto"/>
        </w:rPr>
      </w:pPr>
    </w:p>
    <w:p>
      <w:pPr>
        <w:ind w:left="740" w:right="340" w:hanging="317"/>
        <w:spacing w:after="0" w:line="304" w:lineRule="auto"/>
        <w:tabs>
          <w:tab w:leader="none" w:pos="715"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depends substantially on our customers expanding their use of our platform, including converting our transactional customers to subscribers and our subscribers renewing their subscriptions with us.</w:t>
      </w:r>
    </w:p>
    <w:p>
      <w:pPr>
        <w:spacing w:after="0" w:line="33" w:lineRule="exact"/>
        <w:rPr>
          <w:rFonts w:ascii="Arial" w:cs="Arial" w:eastAsia="Arial" w:hAnsi="Arial"/>
          <w:sz w:val="16"/>
          <w:szCs w:val="16"/>
          <w:color w:val="auto"/>
        </w:rPr>
      </w:pPr>
    </w:p>
    <w:p>
      <w:pPr>
        <w:ind w:left="720" w:hanging="297"/>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Failure to effectively manage our growth could adversely impact our business.</w:t>
      </w:r>
    </w:p>
    <w:p>
      <w:pPr>
        <w:spacing w:after="0" w:line="126" w:lineRule="exact"/>
        <w:rPr>
          <w:rFonts w:ascii="Arial" w:cs="Arial" w:eastAsia="Arial" w:hAnsi="Arial"/>
          <w:sz w:val="16"/>
          <w:szCs w:val="16"/>
          <w:color w:val="auto"/>
        </w:rPr>
      </w:pPr>
    </w:p>
    <w:p>
      <w:pPr>
        <w:ind w:left="740" w:right="480" w:hanging="317"/>
        <w:spacing w:after="0" w:line="286" w:lineRule="auto"/>
        <w:tabs>
          <w:tab w:leader="none" w:pos="715"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future quarterly results of operations may fluctuate significantly due to a wide range of factors, which makes our future results difficult to predict.</w:t>
      </w:r>
    </w:p>
    <w:p>
      <w:pPr>
        <w:spacing w:after="0" w:line="47" w:lineRule="exact"/>
        <w:rPr>
          <w:rFonts w:ascii="Arial" w:cs="Arial" w:eastAsia="Arial" w:hAnsi="Arial"/>
          <w:sz w:val="16"/>
          <w:szCs w:val="16"/>
          <w:color w:val="auto"/>
        </w:rPr>
      </w:pPr>
    </w:p>
    <w:p>
      <w:pPr>
        <w:ind w:left="720" w:hanging="297"/>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 history of net losses and we may not be able to maintain profitability.</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fail to provide high-quality products and services that meet our customers’ expectations, we may not be able to attract and retain customers.</w:t>
      </w:r>
    </w:p>
    <w:p>
      <w:pPr>
        <w:spacing w:after="0" w:line="113" w:lineRule="exact"/>
        <w:rPr>
          <w:rFonts w:ascii="Arial" w:cs="Arial" w:eastAsia="Arial" w:hAnsi="Arial"/>
          <w:sz w:val="16"/>
          <w:szCs w:val="16"/>
          <w:color w:val="auto"/>
        </w:rPr>
      </w:pPr>
    </w:p>
    <w:p>
      <w:pPr>
        <w:ind w:left="740" w:right="620" w:hanging="317"/>
        <w:spacing w:after="0" w:line="304" w:lineRule="auto"/>
        <w:tabs>
          <w:tab w:leader="none" w:pos="715"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do not continue to innovate and provide a platform that is useful to our customers, we may not remain competitive, and our results of operations could suffer.</w:t>
      </w:r>
    </w:p>
    <w:p>
      <w:pPr>
        <w:spacing w:after="0" w:line="33" w:lineRule="exact"/>
        <w:rPr>
          <w:rFonts w:ascii="Arial" w:cs="Arial" w:eastAsia="Arial" w:hAnsi="Arial"/>
          <w:sz w:val="16"/>
          <w:szCs w:val="16"/>
          <w:color w:val="auto"/>
        </w:rPr>
      </w:pPr>
    </w:p>
    <w:p>
      <w:pPr>
        <w:ind w:left="740" w:right="540" w:hanging="317"/>
        <w:spacing w:after="0" w:line="286" w:lineRule="auto"/>
        <w:tabs>
          <w:tab w:leader="none" w:pos="71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legal solutions market is highly competitive and our failure to effectively compete successfully could materially and adversely affect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20" w:hanging="297"/>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depends on our brand and reputation, which could be adversely affected by numerous factors.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incorporating generative artificial intelligence into some of our offerings, which may present compliance risks and reputational risks.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our marketing efforts are unsuccessful, our business, results of operations, financial condition and future prospects may be adversely affected.</w:t>
      </w:r>
    </w:p>
    <w:p>
      <w:pPr>
        <w:spacing w:after="0" w:line="113" w:lineRule="exact"/>
        <w:rPr>
          <w:rFonts w:ascii="Arial" w:cs="Arial" w:eastAsia="Arial" w:hAnsi="Arial"/>
          <w:sz w:val="16"/>
          <w:szCs w:val="16"/>
          <w:color w:val="auto"/>
        </w:rPr>
      </w:pPr>
    </w:p>
    <w:p>
      <w:pPr>
        <w:jc w:val="both"/>
        <w:ind w:left="740" w:right="580" w:hanging="317"/>
        <w:spacing w:after="0" w:line="304" w:lineRule="auto"/>
        <w:tabs>
          <w:tab w:leader="none" w:pos="715"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33" w:lineRule="exact"/>
        <w:rPr>
          <w:rFonts w:ascii="Arial" w:cs="Arial" w:eastAsia="Arial" w:hAnsi="Arial"/>
          <w:sz w:val="16"/>
          <w:szCs w:val="16"/>
          <w:color w:val="auto"/>
        </w:rPr>
      </w:pPr>
    </w:p>
    <w:p>
      <w:pPr>
        <w:ind w:left="740" w:right="120" w:hanging="317"/>
        <w:spacing w:after="0" w:line="286" w:lineRule="auto"/>
        <w:tabs>
          <w:tab w:leader="none" w:pos="71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and success depend in part on our strategic relationships with third parties, including our partner ecosystem, and our business may be harmed if we fail to maintain or expand these relationships.</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third party providers could adversely affect our business.</w:t>
      </w:r>
    </w:p>
    <w:p>
      <w:pPr>
        <w:spacing w:after="0" w:line="113" w:lineRule="exact"/>
        <w:rPr>
          <w:rFonts w:ascii="Arial" w:cs="Arial" w:eastAsia="Arial" w:hAnsi="Arial"/>
          <w:sz w:val="16"/>
          <w:szCs w:val="16"/>
          <w:color w:val="auto"/>
        </w:rPr>
      </w:pPr>
    </w:p>
    <w:p>
      <w:pPr>
        <w:ind w:left="740" w:hanging="317"/>
        <w:spacing w:after="0" w:line="304" w:lineRule="auto"/>
        <w:tabs>
          <w:tab w:leader="none" w:pos="71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acquisition of Formation Nation, Inc. and any future acquisitions or investments may divert management’s attention, result in additional dilution or adversely affect our operating results.</w:t>
      </w:r>
    </w:p>
    <w:p>
      <w:pPr>
        <w:spacing w:after="0" w:line="33" w:lineRule="exact"/>
        <w:rPr>
          <w:rFonts w:ascii="Arial" w:cs="Arial" w:eastAsia="Arial" w:hAnsi="Arial"/>
          <w:sz w:val="16"/>
          <w:szCs w:val="16"/>
          <w:color w:val="auto"/>
        </w:rPr>
      </w:pPr>
    </w:p>
    <w:p>
      <w:pPr>
        <w:ind w:left="740" w:right="460" w:hanging="317"/>
        <w:spacing w:after="0" w:line="286" w:lineRule="auto"/>
        <w:tabs>
          <w:tab w:leader="none" w:pos="715"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unable to maintain effective internal control over financial reporting in the future, investors may lose confidence in the accuracy and completeness of our financial reports and the market price of our common stock may decline.</w:t>
      </w:r>
    </w:p>
    <w:p>
      <w:pPr>
        <w:spacing w:after="0" w:line="61" w:lineRule="exact"/>
        <w:rPr>
          <w:rFonts w:ascii="Arial" w:cs="Arial" w:eastAsia="Arial" w:hAnsi="Arial"/>
          <w:sz w:val="16"/>
          <w:szCs w:val="16"/>
          <w:color w:val="auto"/>
        </w:rPr>
      </w:pPr>
    </w:p>
    <w:p>
      <w:pPr>
        <w:ind w:left="740" w:right="160" w:hanging="317"/>
        <w:spacing w:after="0" w:line="266" w:lineRule="auto"/>
        <w:tabs>
          <w:tab w:leader="none" w:pos="71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and services subject us to complex and evolving U.S. and foreign laws and regulations and any failure or perceived failure by us to comply with applicable laws and regulations may subject us to regulatory inquiries, claims, suits, and prosecutions, as well as changes in our service offerings, potential liabilities, or additional costs.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Third Party Information</w:t>
      </w:r>
    </w:p>
    <w:p>
      <w:pPr>
        <w:spacing w:after="0" w:line="221" w:lineRule="exact"/>
        <w:rPr>
          <w:sz w:val="20"/>
          <w:szCs w:val="20"/>
          <w:color w:val="auto"/>
        </w:rPr>
      </w:pPr>
    </w:p>
    <w:p>
      <w:pPr>
        <w:ind w:right="100" w:firstLine="405"/>
        <w:spacing w:after="0" w:line="261" w:lineRule="auto"/>
        <w:rPr>
          <w:sz w:val="20"/>
          <w:szCs w:val="20"/>
          <w:color w:val="auto"/>
        </w:rPr>
      </w:pPr>
      <w:r>
        <w:rPr>
          <w:rFonts w:ascii="Arial" w:cs="Arial" w:eastAsia="Arial" w:hAnsi="Arial"/>
          <w:sz w:val="16"/>
          <w:szCs w:val="16"/>
          <w:color w:val="auto"/>
        </w:rPr>
        <w:t>This Quarterly Report on Form 10-Q includes market data and certain other statistical information and estimates that are based on reports and other publications from independent third party sources, as well as management's own good faith estimates and analyses. We believe these third party reports to be reputable, but have not independently verified the underlying data sources, methodologies, or assumptions. The reports and other publications referenced are generally available to the public and were not commissioned by LegalZoom.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gridSpan w:val="9"/>
          </w:tcPr>
          <w:p>
            <w:pPr>
              <w:ind w:left="640"/>
              <w:spacing w:after="0"/>
              <w:rPr>
                <w:sz w:val="20"/>
                <w:szCs w:val="20"/>
                <w:color w:val="auto"/>
              </w:rPr>
            </w:pPr>
            <w:r>
              <w:rPr>
                <w:rFonts w:ascii="Arial" w:cs="Arial" w:eastAsia="Arial" w:hAnsi="Arial"/>
                <w:sz w:val="16"/>
                <w:szCs w:val="16"/>
                <w:b w:val="1"/>
                <w:bCs w:val="1"/>
                <w:color w:val="auto"/>
              </w:rPr>
              <w:t>TABLE OF CONTENTS</w:t>
            </w:r>
          </w:p>
        </w:tc>
        <w:tc>
          <w:tcPr>
            <w:tcW w:w="0" w:type="dxa"/>
            <w:vAlign w:val="bottom"/>
          </w:tcPr>
          <w:p>
            <w:pPr>
              <w:spacing w:after="0"/>
              <w:rPr>
                <w:sz w:val="1"/>
                <w:szCs w:val="1"/>
                <w:color w:val="auto"/>
              </w:rPr>
            </w:pPr>
          </w:p>
        </w:tc>
      </w:tr>
      <w:tr>
        <w:trPr>
          <w:trHeight w:val="615"/>
        </w:trPr>
        <w:tc>
          <w:tcPr>
            <w:tcW w:w="42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w w:val="99"/>
              </w:rPr>
              <w:t>Part I</w:t>
            </w:r>
          </w:p>
        </w:tc>
        <w:tc>
          <w:tcPr>
            <w:tcW w:w="680" w:type="dxa"/>
            <w:vAlign w:val="bottom"/>
            <w:gridSpan w:val="5"/>
          </w:tcPr>
          <w:p>
            <w:pPr>
              <w:spacing w:after="0"/>
              <w:rPr>
                <w:sz w:val="24"/>
                <w:szCs w:val="24"/>
                <w:color w:val="auto"/>
              </w:rPr>
            </w:pPr>
          </w:p>
        </w:tc>
        <w:tc>
          <w:tcPr>
            <w:tcW w:w="20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9"/>
              </w:rPr>
              <w:t>FINANCIAL INFORMATION</w:t>
            </w:r>
          </w:p>
        </w:tc>
        <w:tc>
          <w:tcPr>
            <w:tcW w:w="51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00" w:type="dxa"/>
            <w:vAlign w:val="bottom"/>
            <w:gridSpan w:val="6"/>
          </w:tcPr>
          <w:p>
            <w:pPr>
              <w:spacing w:after="0" w:line="183" w:lineRule="exact"/>
              <w:rPr>
                <w:sz w:val="20"/>
                <w:szCs w:val="20"/>
                <w:color w:val="auto"/>
              </w:rPr>
            </w:pPr>
            <w:r>
              <w:rPr>
                <w:rFonts w:ascii="Arial" w:cs="Arial" w:eastAsia="Arial" w:hAnsi="Arial"/>
                <w:sz w:val="16"/>
                <w:szCs w:val="16"/>
                <w:color w:val="0000FF"/>
              </w:rPr>
              <w:t>Item 1.</w:t>
            </w:r>
          </w:p>
        </w:tc>
        <w:tc>
          <w:tcPr>
            <w:tcW w:w="7180" w:type="dxa"/>
            <w:vAlign w:val="bottom"/>
            <w:gridSpan w:val="20"/>
          </w:tcPr>
          <w:p>
            <w:pPr>
              <w:spacing w:after="0" w:line="183" w:lineRule="exact"/>
              <w:rPr>
                <w:sz w:val="20"/>
                <w:szCs w:val="20"/>
                <w:color w:val="auto"/>
              </w:rPr>
            </w:pPr>
            <w:r>
              <w:rPr>
                <w:rFonts w:ascii="Arial" w:cs="Arial" w:eastAsia="Arial" w:hAnsi="Arial"/>
                <w:sz w:val="16"/>
                <w:szCs w:val="16"/>
                <w:color w:val="0000FF"/>
              </w:rPr>
              <w:t>Condensed Consolidated Financial Statements (Unaudited)</w:t>
            </w:r>
          </w:p>
        </w:tc>
        <w:tc>
          <w:tcPr>
            <w:tcW w:w="0" w:type="dxa"/>
            <w:vAlign w:val="bottom"/>
          </w:tcPr>
          <w:p>
            <w:pPr>
              <w:spacing w:after="0"/>
              <w:rPr>
                <w:sz w:val="1"/>
                <w:szCs w:val="1"/>
                <w:color w:val="auto"/>
              </w:rPr>
            </w:pPr>
          </w:p>
        </w:tc>
      </w:tr>
      <w:tr>
        <w:trPr>
          <w:trHeight w:val="229"/>
        </w:trPr>
        <w:tc>
          <w:tcPr>
            <w:tcW w:w="4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rPr>
              <w:t>Condensed Consolidated Balance Sheets</w:t>
            </w:r>
          </w:p>
        </w:tc>
        <w:tc>
          <w:tcPr>
            <w:tcW w:w="1260" w:type="dxa"/>
            <w:vAlign w:val="bottom"/>
            <w:tcBorders>
              <w:top w:val="single" w:sz="8" w:color="0000FF"/>
            </w:tcBorders>
            <w:gridSpan w:val="5"/>
          </w:tcPr>
          <w:p>
            <w:pPr>
              <w:spacing w:after="0"/>
              <w:rPr>
                <w:sz w:val="19"/>
                <w:szCs w:val="19"/>
                <w:color w:val="auto"/>
              </w:rPr>
            </w:pPr>
          </w:p>
        </w:tc>
        <w:tc>
          <w:tcPr>
            <w:tcW w:w="29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Condensed Consolidated Statements of Operations</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2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Condensed Consolidated Statements of Comprehensive Income</w:t>
            </w:r>
          </w:p>
        </w:tc>
        <w:tc>
          <w:tcPr>
            <w:tcW w:w="2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28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6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Condensed Consolidated Statements of Cash Flows</w:t>
            </w:r>
          </w:p>
        </w:tc>
        <w:tc>
          <w:tcPr>
            <w:tcW w:w="342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spacing w:after="0"/>
              <w:rPr>
                <w:sz w:val="20"/>
                <w:szCs w:val="20"/>
                <w:color w:val="auto"/>
              </w:rPr>
            </w:pPr>
            <w:r>
              <w:rPr>
                <w:rFonts w:ascii="Arial" w:cs="Arial" w:eastAsia="Arial" w:hAnsi="Arial"/>
                <w:sz w:val="16"/>
                <w:szCs w:val="16"/>
                <w:color w:val="0000FF"/>
                <w:w w:val="98"/>
              </w:rPr>
              <w:t>Item 2.</w:t>
            </w:r>
          </w:p>
        </w:tc>
        <w:tc>
          <w:tcPr>
            <w:tcW w:w="580" w:type="dxa"/>
            <w:vAlign w:val="bottom"/>
            <w:gridSpan w:val="3"/>
            <w:vMerge w:val="restart"/>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 w:type="dxa"/>
            <w:vAlign w:val="bottom"/>
            <w:gridSpan w:val="3"/>
            <w:vMerge w:val="continue"/>
          </w:tcPr>
          <w:p>
            <w:pPr>
              <w:spacing w:after="0"/>
              <w:rPr>
                <w:sz w:val="19"/>
                <w:szCs w:val="19"/>
                <w:color w:val="auto"/>
              </w:rPr>
            </w:pPr>
          </w:p>
        </w:tc>
        <w:tc>
          <w:tcPr>
            <w:tcW w:w="580" w:type="dxa"/>
            <w:vAlign w:val="bottom"/>
            <w:gridSpan w:val="3"/>
            <w:vMerge w:val="continue"/>
          </w:tcPr>
          <w:p>
            <w:pPr>
              <w:spacing w:after="0"/>
              <w:rPr>
                <w:sz w:val="19"/>
                <w:szCs w:val="19"/>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23"/>
        </w:trPr>
        <w:tc>
          <w:tcPr>
            <w:tcW w:w="5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8"/>
              </w:rPr>
              <w:t>Item 3.</w:t>
            </w:r>
          </w:p>
        </w:tc>
        <w:tc>
          <w:tcPr>
            <w:tcW w:w="580" w:type="dxa"/>
            <w:vAlign w:val="bottom"/>
            <w:gridSpan w:val="3"/>
          </w:tcPr>
          <w:p>
            <w:pPr>
              <w:spacing w:after="0"/>
              <w:rPr>
                <w:sz w:val="19"/>
                <w:szCs w:val="19"/>
                <w:color w:val="auto"/>
              </w:rPr>
            </w:pPr>
          </w:p>
        </w:tc>
        <w:tc>
          <w:tcPr>
            <w:tcW w:w="636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gridSpan w:val="6"/>
          </w:tcPr>
          <w:p>
            <w:pPr>
              <w:spacing w:after="0"/>
              <w:rPr>
                <w:sz w:val="20"/>
                <w:szCs w:val="20"/>
                <w:color w:val="auto"/>
              </w:rPr>
            </w:pPr>
            <w:r>
              <w:rPr>
                <w:rFonts w:ascii="Arial" w:cs="Arial" w:eastAsia="Arial" w:hAnsi="Arial"/>
                <w:sz w:val="16"/>
                <w:szCs w:val="16"/>
                <w:color w:val="0000FF"/>
              </w:rPr>
              <w:t>Item 4.</w:t>
            </w:r>
          </w:p>
        </w:tc>
        <w:tc>
          <w:tcPr>
            <w:tcW w:w="422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0000FF"/>
              </w:rPr>
              <w:t>Controls and Procedures</w:t>
            </w:r>
          </w:p>
        </w:tc>
        <w:tc>
          <w:tcPr>
            <w:tcW w:w="296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98"/>
              </w:rPr>
              <w:t>Part II</w:t>
            </w:r>
          </w:p>
        </w:tc>
        <w:tc>
          <w:tcPr>
            <w:tcW w:w="60" w:type="dxa"/>
            <w:vAlign w:val="bottom"/>
            <w:tcBorders>
              <w:top w:val="single" w:sz="8" w:color="0000FF"/>
            </w:tcBorders>
          </w:tcPr>
          <w:p>
            <w:pPr>
              <w:spacing w:after="0"/>
              <w:rPr>
                <w:sz w:val="19"/>
                <w:szCs w:val="19"/>
                <w:color w:val="auto"/>
              </w:rPr>
            </w:pPr>
          </w:p>
        </w:tc>
        <w:tc>
          <w:tcPr>
            <w:tcW w:w="580" w:type="dxa"/>
            <w:vAlign w:val="bottom"/>
            <w:gridSpan w:val="3"/>
          </w:tcPr>
          <w:p>
            <w:pPr>
              <w:spacing w:after="0"/>
              <w:rPr>
                <w:sz w:val="19"/>
                <w:szCs w:val="19"/>
                <w:color w:val="auto"/>
              </w:rPr>
            </w:pPr>
          </w:p>
        </w:tc>
        <w:tc>
          <w:tcPr>
            <w:tcW w:w="17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9"/>
              </w:rPr>
              <w:t>OTHER INFORMATION</w:t>
            </w:r>
          </w:p>
        </w:tc>
        <w:tc>
          <w:tcPr>
            <w:tcW w:w="60" w:type="dxa"/>
            <w:vAlign w:val="bottom"/>
            <w:tcBorders>
              <w:top w:val="single" w:sz="8" w:color="0000FF"/>
            </w:tcBorders>
          </w:tcPr>
          <w:p>
            <w:pPr>
              <w:spacing w:after="0"/>
              <w:rPr>
                <w:sz w:val="19"/>
                <w:szCs w:val="19"/>
                <w:color w:val="auto"/>
              </w:rPr>
            </w:pPr>
          </w:p>
        </w:tc>
        <w:tc>
          <w:tcPr>
            <w:tcW w:w="538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0" w:type="dxa"/>
            <w:vAlign w:val="bottom"/>
            <w:gridSpan w:val="3"/>
          </w:tcPr>
          <w:p>
            <w:pPr>
              <w:spacing w:after="0"/>
              <w:rPr>
                <w:sz w:val="20"/>
                <w:szCs w:val="20"/>
                <w:color w:val="auto"/>
              </w:rPr>
            </w:pPr>
            <w:r>
              <w:rPr>
                <w:rFonts w:ascii="Arial" w:cs="Arial" w:eastAsia="Arial" w:hAnsi="Arial"/>
                <w:sz w:val="16"/>
                <w:szCs w:val="16"/>
                <w:color w:val="0000FF"/>
                <w:w w:val="98"/>
              </w:rPr>
              <w:t>Item 1.</w:t>
            </w:r>
          </w:p>
        </w:tc>
        <w:tc>
          <w:tcPr>
            <w:tcW w:w="580" w:type="dxa"/>
            <w:vAlign w:val="bottom"/>
            <w:gridSpan w:val="3"/>
          </w:tcPr>
          <w:p>
            <w:pPr>
              <w:spacing w:after="0"/>
              <w:rPr>
                <w:sz w:val="17"/>
                <w:szCs w:val="17"/>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Legal Proceedings</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00" w:type="dxa"/>
            <w:vAlign w:val="bottom"/>
            <w:gridSpan w:val="6"/>
          </w:tcPr>
          <w:p>
            <w:pPr>
              <w:spacing w:after="0"/>
              <w:rPr>
                <w:sz w:val="20"/>
                <w:szCs w:val="20"/>
                <w:color w:val="auto"/>
              </w:rPr>
            </w:pPr>
            <w:r>
              <w:rPr>
                <w:rFonts w:ascii="Arial" w:cs="Arial" w:eastAsia="Arial" w:hAnsi="Arial"/>
                <w:sz w:val="16"/>
                <w:szCs w:val="16"/>
                <w:color w:val="0000FF"/>
              </w:rPr>
              <w:t>Item 1A</w:t>
            </w:r>
            <w:r>
              <w:rPr>
                <w:rFonts w:ascii="Arial" w:cs="Arial" w:eastAsia="Arial" w:hAnsi="Arial"/>
                <w:sz w:val="16"/>
                <w:szCs w:val="16"/>
                <w:color w:val="000000"/>
              </w:rPr>
              <w:t>.</w:t>
            </w:r>
          </w:p>
        </w:tc>
        <w:tc>
          <w:tcPr>
            <w:tcW w:w="7180" w:type="dxa"/>
            <w:vAlign w:val="bottom"/>
            <w:gridSpan w:val="20"/>
          </w:tcPr>
          <w:p>
            <w:pPr>
              <w:spacing w:after="0"/>
              <w:rPr>
                <w:sz w:val="20"/>
                <w:szCs w:val="20"/>
                <w:color w:val="auto"/>
              </w:rPr>
            </w:pPr>
            <w:r>
              <w:rPr>
                <w:rFonts w:ascii="Arial" w:cs="Arial" w:eastAsia="Arial" w:hAnsi="Arial"/>
                <w:sz w:val="16"/>
                <w:szCs w:val="16"/>
                <w:color w:val="0000FF"/>
              </w:rPr>
              <w:t>Risk Factors</w:t>
            </w: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gridSpan w:val="3"/>
            <w:vMerge w:val="restart"/>
          </w:tcPr>
          <w:p>
            <w:pPr>
              <w:spacing w:after="0"/>
              <w:rPr>
                <w:sz w:val="20"/>
                <w:szCs w:val="20"/>
                <w:color w:val="auto"/>
              </w:rPr>
            </w:pPr>
            <w:r>
              <w:rPr>
                <w:rFonts w:ascii="Arial" w:cs="Arial" w:eastAsia="Arial" w:hAnsi="Arial"/>
                <w:sz w:val="16"/>
                <w:szCs w:val="16"/>
                <w:color w:val="0000FF"/>
                <w:w w:val="98"/>
              </w:rPr>
              <w:t>Item 2.</w:t>
            </w:r>
          </w:p>
        </w:tc>
        <w:tc>
          <w:tcPr>
            <w:tcW w:w="40" w:type="dxa"/>
            <w:vAlign w:val="bottom"/>
            <w:tcBorders>
              <w:top w:val="single" w:sz="8" w:color="0000FF"/>
            </w:tcBorders>
            <w:vMerge w:val="restart"/>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0000FF"/>
            </w:tcBorders>
            <w:gridSpan w:val="3"/>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718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Unregistered Sales of Equity Securities, Use of Proceeds, and Issuer Purchases of Equity Securities</w:t>
            </w: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Item 3.</w:t>
            </w:r>
          </w:p>
        </w:tc>
        <w:tc>
          <w:tcPr>
            <w:tcW w:w="580" w:type="dxa"/>
            <w:vAlign w:val="bottom"/>
            <w:gridSpan w:val="3"/>
          </w:tcPr>
          <w:p>
            <w:pPr>
              <w:spacing w:after="0"/>
              <w:rPr>
                <w:sz w:val="19"/>
                <w:szCs w:val="19"/>
                <w:color w:val="auto"/>
              </w:rPr>
            </w:pPr>
          </w:p>
        </w:tc>
        <w:tc>
          <w:tcPr>
            <w:tcW w:w="23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Defaults Upon Senior Securities</w:t>
            </w:r>
          </w:p>
        </w:tc>
        <w:tc>
          <w:tcPr>
            <w:tcW w:w="488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Item 4.</w:t>
            </w:r>
          </w:p>
        </w:tc>
        <w:tc>
          <w:tcPr>
            <w:tcW w:w="580" w:type="dxa"/>
            <w:vAlign w:val="bottom"/>
            <w:gridSpan w:val="3"/>
          </w:tcPr>
          <w:p>
            <w:pPr>
              <w:spacing w:after="0"/>
              <w:rPr>
                <w:sz w:val="19"/>
                <w:szCs w:val="19"/>
                <w:color w:val="auto"/>
              </w:rPr>
            </w:pPr>
          </w:p>
        </w:tc>
        <w:tc>
          <w:tcPr>
            <w:tcW w:w="174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Mine Safety Disclosures</w:t>
            </w:r>
          </w:p>
        </w:tc>
        <w:tc>
          <w:tcPr>
            <w:tcW w:w="544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Item 5.</w:t>
            </w:r>
          </w:p>
        </w:tc>
        <w:tc>
          <w:tcPr>
            <w:tcW w:w="580" w:type="dxa"/>
            <w:vAlign w:val="bottom"/>
            <w:gridSpan w:val="3"/>
          </w:tcPr>
          <w:p>
            <w:pPr>
              <w:spacing w:after="0"/>
              <w:rPr>
                <w:sz w:val="19"/>
                <w:szCs w:val="19"/>
                <w:color w:val="auto"/>
              </w:rPr>
            </w:pPr>
          </w:p>
        </w:tc>
        <w:tc>
          <w:tcPr>
            <w:tcW w:w="12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Other Information</w:t>
            </w:r>
          </w:p>
        </w:tc>
        <w:tc>
          <w:tcPr>
            <w:tcW w:w="592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Item 6.</w:t>
            </w:r>
          </w:p>
        </w:tc>
        <w:tc>
          <w:tcPr>
            <w:tcW w:w="580" w:type="dxa"/>
            <w:vAlign w:val="bottom"/>
            <w:gridSpan w:val="3"/>
          </w:tcPr>
          <w:p>
            <w:pPr>
              <w:spacing w:after="0"/>
              <w:rPr>
                <w:sz w:val="19"/>
                <w:szCs w:val="19"/>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Exhibits</w:t>
            </w:r>
          </w:p>
        </w:tc>
        <w:tc>
          <w:tcPr>
            <w:tcW w:w="0" w:type="dxa"/>
            <w:vAlign w:val="bottom"/>
          </w:tcPr>
          <w:p>
            <w:pPr>
              <w:spacing w:after="0"/>
              <w:rPr>
                <w:sz w:val="1"/>
                <w:szCs w:val="1"/>
                <w:color w:val="auto"/>
              </w:rPr>
            </w:pPr>
          </w:p>
        </w:tc>
      </w:tr>
      <w:tr>
        <w:trPr>
          <w:trHeight w:val="217"/>
        </w:trPr>
        <w:tc>
          <w:tcPr>
            <w:tcW w:w="1100" w:type="dxa"/>
            <w:vAlign w:val="bottom"/>
            <w:gridSpan w:val="6"/>
          </w:tcPr>
          <w:p>
            <w:pPr>
              <w:spacing w:after="0"/>
              <w:rPr>
                <w:sz w:val="20"/>
                <w:szCs w:val="20"/>
                <w:color w:val="auto"/>
              </w:rPr>
            </w:pPr>
            <w:r>
              <w:rPr>
                <w:rFonts w:ascii="Arial" w:cs="Arial" w:eastAsia="Arial" w:hAnsi="Arial"/>
                <w:sz w:val="16"/>
                <w:szCs w:val="16"/>
                <w:color w:val="0000FF"/>
              </w:rPr>
              <w:t>Signatures</w:t>
            </w:r>
          </w:p>
        </w:tc>
        <w:tc>
          <w:tcPr>
            <w:tcW w:w="5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20955</wp:posOffset>
            </wp:positionV>
            <wp:extent cx="702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28"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4</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4</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5</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6</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8</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10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22</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36</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37</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38</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38</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62</w:t>
      </w:r>
    </w:p>
    <w:p>
      <w:pPr>
        <w:sectPr>
          <w:pgSz w:w="11900" w:h="16838" w:orient="portrait"/>
          <w:cols w:equalWidth="0" w:num="2">
            <w:col w:w="9780" w:space="720"/>
            <w:col w:w="380"/>
          </w:cols>
          <w:pgMar w:left="320" w:top="125" w:right="6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4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7"/>
        </w:trPr>
        <w:tc>
          <w:tcPr>
            <w:tcW w:w="1260" w:type="dxa"/>
            <w:vAlign w:val="bottom"/>
            <w:tcBorders>
              <w:top w:val="single" w:sz="8" w:color="0000FF"/>
            </w:tcBorders>
          </w:tcPr>
          <w:p>
            <w:pPr>
              <w:spacing w:after="0"/>
              <w:rPr>
                <w:sz w:val="20"/>
                <w:szCs w:val="20"/>
                <w:color w:val="auto"/>
              </w:rPr>
            </w:pPr>
            <w:r>
              <w:rPr>
                <w:rFonts w:ascii="Arial" w:cs="Arial" w:eastAsia="Arial" w:hAnsi="Arial"/>
                <w:sz w:val="16"/>
                <w:szCs w:val="16"/>
                <w:b w:val="1"/>
                <w:bCs w:val="1"/>
                <w:color w:val="auto"/>
              </w:rPr>
              <w:t>Part I</w:t>
            </w:r>
          </w:p>
        </w:tc>
        <w:tc>
          <w:tcPr>
            <w:tcW w:w="7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0" w:type="dxa"/>
            <w:vAlign w:val="bottom"/>
            <w:gridSpan w:val="2"/>
          </w:tcPr>
          <w:p>
            <w:pPr>
              <w:spacing w:after="0"/>
              <w:rPr>
                <w:sz w:val="20"/>
                <w:szCs w:val="20"/>
                <w:color w:val="auto"/>
              </w:rPr>
            </w:pPr>
            <w:r>
              <w:rPr>
                <w:rFonts w:ascii="Arial" w:cs="Arial" w:eastAsia="Arial" w:hAnsi="Arial"/>
                <w:sz w:val="16"/>
                <w:szCs w:val="16"/>
                <w:b w:val="1"/>
                <w:bCs w:val="1"/>
                <w:color w:val="auto"/>
              </w:rPr>
              <w:t>Item 1. Condensed Consolidated Financial Statements (Unaudited)</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4"/>
                <w:szCs w:val="24"/>
                <w:color w:val="auto"/>
              </w:rPr>
            </w:pPr>
          </w:p>
        </w:tc>
        <w:tc>
          <w:tcPr>
            <w:tcW w:w="7140" w:type="dxa"/>
            <w:vAlign w:val="bottom"/>
          </w:tcPr>
          <w:p>
            <w:pPr>
              <w:jc w:val="center"/>
              <w:ind w:left="1499"/>
              <w:spacing w:after="0"/>
              <w:rPr>
                <w:sz w:val="20"/>
                <w:szCs w:val="20"/>
                <w:color w:val="auto"/>
              </w:rPr>
            </w:pPr>
            <w:r>
              <w:rPr>
                <w:rFonts w:ascii="Arial" w:cs="Arial" w:eastAsia="Arial" w:hAnsi="Arial"/>
                <w:sz w:val="16"/>
                <w:szCs w:val="16"/>
                <w:b w:val="1"/>
                <w:bCs w:val="1"/>
                <w:color w:val="auto"/>
              </w:rPr>
              <w:t>LegalZoom.com, Inc.</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60" w:type="dxa"/>
            <w:vAlign w:val="bottom"/>
          </w:tcPr>
          <w:p>
            <w:pPr>
              <w:spacing w:after="0"/>
              <w:rPr>
                <w:sz w:val="24"/>
                <w:szCs w:val="24"/>
                <w:color w:val="auto"/>
              </w:rPr>
            </w:pPr>
          </w:p>
        </w:tc>
        <w:tc>
          <w:tcPr>
            <w:tcW w:w="7140" w:type="dxa"/>
            <w:vAlign w:val="bottom"/>
          </w:tcPr>
          <w:p>
            <w:pPr>
              <w:jc w:val="center"/>
              <w:ind w:left="1499"/>
              <w:spacing w:after="0"/>
              <w:rPr>
                <w:sz w:val="20"/>
                <w:szCs w:val="20"/>
                <w:color w:val="auto"/>
              </w:rPr>
            </w:pPr>
            <w:r>
              <w:rPr>
                <w:rFonts w:ascii="Arial" w:cs="Arial" w:eastAsia="Arial" w:hAnsi="Arial"/>
                <w:sz w:val="16"/>
                <w:szCs w:val="16"/>
                <w:b w:val="1"/>
                <w:bCs w:val="1"/>
                <w:color w:val="auto"/>
              </w:rPr>
              <w:t>Unaudited Condensed Consolidated Balance Sheets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7140" w:type="dxa"/>
            <w:vAlign w:val="bottom"/>
          </w:tcPr>
          <w:p>
            <w:pPr>
              <w:jc w:val="center"/>
              <w:ind w:left="1499"/>
              <w:spacing w:after="0"/>
              <w:rPr>
                <w:sz w:val="20"/>
                <w:szCs w:val="20"/>
                <w:color w:val="auto"/>
              </w:rPr>
            </w:pPr>
            <w:r>
              <w:rPr>
                <w:rFonts w:ascii="Arial" w:cs="Arial" w:eastAsia="Arial" w:hAnsi="Arial"/>
                <w:sz w:val="16"/>
                <w:szCs w:val="16"/>
                <w:i w:val="1"/>
                <w:iCs w:val="1"/>
                <w:color w:val="auto"/>
              </w:rPr>
              <w:t>(In thousands, except par values)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2025</w:t>
            </w:r>
          </w:p>
        </w:tc>
        <w:tc>
          <w:tcPr>
            <w:tcW w:w="140" w:type="dxa"/>
            <w:vAlign w:val="bottom"/>
          </w:tcPr>
          <w:p>
            <w:pPr>
              <w:spacing w:after="0"/>
              <w:rPr>
                <w:sz w:val="15"/>
                <w:szCs w:val="15"/>
                <w:color w:val="auto"/>
              </w:rPr>
            </w:pPr>
          </w:p>
        </w:tc>
        <w:tc>
          <w:tcPr>
            <w:tcW w:w="1240" w:type="dxa"/>
            <w:vAlign w:val="bottom"/>
          </w:tcPr>
          <w:p>
            <w:pPr>
              <w:jc w:val="right"/>
              <w:ind w:right="79"/>
              <w:spacing w:after="0" w:line="178"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8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142,064</w:t>
            </w:r>
          </w:p>
        </w:tc>
        <w:tc>
          <w:tcPr>
            <w:tcW w:w="0" w:type="dxa"/>
            <w:vAlign w:val="bottom"/>
          </w:tcPr>
          <w:p>
            <w:pPr>
              <w:spacing w:after="0"/>
              <w:rPr>
                <w:sz w:val="1"/>
                <w:szCs w:val="1"/>
                <w:color w:val="auto"/>
              </w:rPr>
            </w:pPr>
          </w:p>
        </w:tc>
      </w:tr>
      <w:tr>
        <w:trPr>
          <w:trHeight w:val="215"/>
        </w:trPr>
        <w:tc>
          <w:tcPr>
            <w:tcW w:w="8400" w:type="dxa"/>
            <w:vAlign w:val="bottom"/>
            <w:gridSpan w:val="2"/>
          </w:tcPr>
          <w:p>
            <w:pPr>
              <w:ind w:left="360"/>
              <w:spacing w:after="0"/>
              <w:rPr>
                <w:sz w:val="20"/>
                <w:szCs w:val="20"/>
                <w:color w:val="auto"/>
              </w:rPr>
            </w:pPr>
            <w:r>
              <w:rPr>
                <w:rFonts w:ascii="Arial" w:cs="Arial" w:eastAsia="Arial" w:hAnsi="Arial"/>
                <w:sz w:val="16"/>
                <w:szCs w:val="16"/>
                <w:color w:val="auto"/>
              </w:rPr>
              <w:t>Accounts receivable, net of allowances of $2,624 and $2,121, respectively</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8,511</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17,926</w:t>
            </w:r>
          </w:p>
        </w:tc>
        <w:tc>
          <w:tcPr>
            <w:tcW w:w="0" w:type="dxa"/>
            <w:vAlign w:val="bottom"/>
          </w:tcPr>
          <w:p>
            <w:pPr>
              <w:spacing w:after="0"/>
              <w:rPr>
                <w:sz w:val="1"/>
                <w:szCs w:val="1"/>
                <w:color w:val="auto"/>
              </w:rPr>
            </w:pPr>
          </w:p>
        </w:tc>
      </w:tr>
      <w:tr>
        <w:trPr>
          <w:trHeight w:val="215"/>
        </w:trPr>
        <w:tc>
          <w:tcPr>
            <w:tcW w:w="8400" w:type="dxa"/>
            <w:vAlign w:val="bottom"/>
            <w:gridSpan w:val="2"/>
          </w:tcPr>
          <w:p>
            <w:pPr>
              <w:ind w:left="360"/>
              <w:spacing w:after="0"/>
              <w:rPr>
                <w:sz w:val="20"/>
                <w:szCs w:val="20"/>
                <w:color w:val="auto"/>
              </w:rPr>
            </w:pPr>
            <w:r>
              <w:rPr>
                <w:rFonts w:ascii="Arial" w:cs="Arial" w:eastAsia="Arial" w:hAnsi="Arial"/>
                <w:sz w:val="16"/>
                <w:szCs w:val="16"/>
                <w:color w:val="auto"/>
              </w:rPr>
              <w:t>Current assets held for sale</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22,722</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191,223</w:t>
            </w: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60,167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59,788</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63,318</w:t>
            </w: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7,189</w:t>
            </w: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35,341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34,696</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Available-for-sale debt security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7,639</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532,666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373,883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gridSpan w:val="2"/>
          </w:tcPr>
          <w:p>
            <w:pPr>
              <w:ind w:left="360"/>
              <w:spacing w:after="0"/>
              <w:rPr>
                <w:sz w:val="20"/>
                <w:szCs w:val="20"/>
                <w:color w:val="auto"/>
              </w:rPr>
            </w:pPr>
            <w:r>
              <w:rPr>
                <w:rFonts w:ascii="Arial" w:cs="Arial" w:eastAsia="Arial" w:hAnsi="Arial"/>
                <w:sz w:val="16"/>
                <w:szCs w:val="16"/>
                <w:color w:val="auto"/>
              </w:rPr>
              <w:t>Accounts payable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35,489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31,150</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57,928</w:t>
            </w:r>
          </w:p>
        </w:tc>
        <w:tc>
          <w:tcPr>
            <w:tcW w:w="0" w:type="dxa"/>
            <w:vAlign w:val="bottom"/>
          </w:tcPr>
          <w:p>
            <w:pPr>
              <w:spacing w:after="0"/>
              <w:rPr>
                <w:sz w:val="1"/>
                <w:szCs w:val="1"/>
                <w:color w:val="auto"/>
              </w:rPr>
            </w:pPr>
          </w:p>
        </w:tc>
      </w:tr>
      <w:tr>
        <w:trPr>
          <w:trHeight w:val="215"/>
        </w:trPr>
        <w:tc>
          <w:tcPr>
            <w:tcW w:w="8400" w:type="dxa"/>
            <w:vAlign w:val="bottom"/>
            <w:gridSpan w:val="2"/>
          </w:tcPr>
          <w:p>
            <w:pPr>
              <w:ind w:left="360"/>
              <w:spacing w:after="0"/>
              <w:rPr>
                <w:sz w:val="20"/>
                <w:szCs w:val="20"/>
                <w:color w:val="auto"/>
              </w:rPr>
            </w:pPr>
            <w:r>
              <w:rPr>
                <w:rFonts w:ascii="Arial" w:cs="Arial" w:eastAsia="Arial" w:hAnsi="Arial"/>
                <w:sz w:val="16"/>
                <w:szCs w:val="16"/>
                <w:color w:val="auto"/>
              </w:rPr>
              <w:t>Deferred revenue</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211,094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174,643</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209"/>
        </w:trPr>
        <w:tc>
          <w:tcPr>
            <w:tcW w:w="8400" w:type="dxa"/>
            <w:vAlign w:val="bottom"/>
            <w:gridSpan w:val="2"/>
          </w:tcPr>
          <w:p>
            <w:pPr>
              <w:ind w:left="680"/>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322,495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265,582</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w:t>
            </w: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8,645</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345,454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280,626</w:t>
            </w:r>
          </w:p>
        </w:tc>
        <w:tc>
          <w:tcPr>
            <w:tcW w:w="0" w:type="dxa"/>
            <w:vAlign w:val="bottom"/>
          </w:tcPr>
          <w:p>
            <w:pPr>
              <w:spacing w:after="0"/>
              <w:rPr>
                <w:sz w:val="1"/>
                <w:szCs w:val="1"/>
                <w:color w:val="auto"/>
              </w:rPr>
            </w:pPr>
          </w:p>
        </w:tc>
      </w:tr>
      <w:tr>
        <w:trPr>
          <w:trHeight w:val="19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Stockholders’ equity:</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400" w:type="dxa"/>
            <w:vAlign w:val="bottom"/>
            <w:gridSpan w:val="2"/>
            <w:shd w:val="clear" w:color="auto" w:fill="CCEEFF"/>
          </w:tcPr>
          <w:p>
            <w:pPr>
              <w:ind w:left="360"/>
              <w:spacing w:after="0" w:line="163" w:lineRule="exact"/>
              <w:rPr>
                <w:sz w:val="20"/>
                <w:szCs w:val="20"/>
                <w:color w:val="auto"/>
              </w:rPr>
            </w:pPr>
            <w:r>
              <w:rPr>
                <w:rFonts w:ascii="Arial" w:cs="Arial" w:eastAsia="Arial" w:hAnsi="Arial"/>
                <w:sz w:val="16"/>
                <w:szCs w:val="16"/>
                <w:color w:val="auto"/>
              </w:rPr>
              <w:t>Preferred stock, $0.001 par value; 100,000 shares authorized at March 31, 2025 and December 31, 2024, none</w:t>
            </w:r>
          </w:p>
        </w:tc>
        <w:tc>
          <w:tcPr>
            <w:tcW w:w="10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issued or outstanding at March 31, 2025 and December 31, 2024</w:t>
            </w:r>
          </w:p>
        </w:tc>
        <w:tc>
          <w:tcPr>
            <w:tcW w:w="1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gridSpan w:val="2"/>
          </w:tcPr>
          <w:p>
            <w:pPr>
              <w:ind w:left="360"/>
              <w:spacing w:after="0" w:line="162" w:lineRule="exact"/>
              <w:rPr>
                <w:sz w:val="20"/>
                <w:szCs w:val="20"/>
                <w:color w:val="auto"/>
              </w:rPr>
            </w:pPr>
            <w:r>
              <w:rPr>
                <w:rFonts w:ascii="Arial" w:cs="Arial" w:eastAsia="Arial" w:hAnsi="Arial"/>
                <w:sz w:val="16"/>
                <w:szCs w:val="16"/>
                <w:color w:val="auto"/>
              </w:rPr>
              <w:t>Common stock, $0.001 par value; 1,000,000 shares authorized; 181,177 shares and 173,619 shares issued</w:t>
            </w: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5"/>
        </w:trPr>
        <w:tc>
          <w:tcPr>
            <w:tcW w:w="8400" w:type="dxa"/>
            <w:vAlign w:val="bottom"/>
            <w:gridSpan w:val="2"/>
          </w:tcPr>
          <w:p>
            <w:pPr>
              <w:ind w:left="520"/>
              <w:spacing w:after="0"/>
              <w:rPr>
                <w:sz w:val="20"/>
                <w:szCs w:val="20"/>
                <w:color w:val="auto"/>
              </w:rPr>
            </w:pPr>
            <w:r>
              <w:rPr>
                <w:rFonts w:ascii="Arial" w:cs="Arial" w:eastAsia="Arial" w:hAnsi="Arial"/>
                <w:sz w:val="16"/>
                <w:szCs w:val="16"/>
                <w:color w:val="auto"/>
              </w:rPr>
              <w:t>and outstanding at March 31, 2025 and December 31, 2024, respectively</w:t>
            </w: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1,250,279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1,161,538</w:t>
            </w:r>
          </w:p>
        </w:tc>
        <w:tc>
          <w:tcPr>
            <w:tcW w:w="0" w:type="dxa"/>
            <w:vAlign w:val="bottom"/>
          </w:tcPr>
          <w:p>
            <w:pPr>
              <w:spacing w:after="0"/>
              <w:rPr>
                <w:sz w:val="1"/>
                <w:szCs w:val="1"/>
                <w:color w:val="auto"/>
              </w:rPr>
            </w:pPr>
          </w:p>
        </w:tc>
      </w:tr>
      <w:tr>
        <w:trPr>
          <w:trHeight w:val="215"/>
        </w:trPr>
        <w:tc>
          <w:tcPr>
            <w:tcW w:w="8400" w:type="dxa"/>
            <w:vAlign w:val="bottom"/>
            <w:gridSpan w:val="2"/>
          </w:tcPr>
          <w:p>
            <w:pPr>
              <w:ind w:left="360"/>
              <w:spacing w:after="0"/>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(1,064,190)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(1,069,317)</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93,257</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532,666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373,883</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left="4780"/>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174,214</w:t>
            </w:r>
          </w:p>
        </w:tc>
      </w:tr>
      <w:tr>
        <w:trPr>
          <w:trHeight w:val="215"/>
        </w:trPr>
        <w:tc>
          <w:tcPr>
            <w:tcW w:w="8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66,560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68,384</w:t>
            </w:r>
          </w:p>
        </w:tc>
      </w:tr>
      <w:tr>
        <w:trPr>
          <w:trHeight w:val="210"/>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105,830</w:t>
            </w:r>
          </w:p>
        </w:tc>
      </w:tr>
      <w:tr>
        <w:trPr>
          <w:trHeight w:val="215"/>
        </w:trPr>
        <w:tc>
          <w:tcPr>
            <w:tcW w:w="8340" w:type="dxa"/>
            <w:vAlign w:val="bottom"/>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53,753</w:t>
            </w:r>
          </w:p>
        </w:tc>
      </w:tr>
      <w:tr>
        <w:trPr>
          <w:trHeight w:val="215"/>
        </w:trPr>
        <w:tc>
          <w:tcPr>
            <w:tcW w:w="8340" w:type="dxa"/>
            <w:vAlign w:val="bottom"/>
          </w:tcPr>
          <w:p>
            <w:pPr>
              <w:ind w:left="340"/>
              <w:spacing w:after="0"/>
              <w:rPr>
                <w:sz w:val="20"/>
                <w:szCs w:val="20"/>
                <w:color w:val="auto"/>
              </w:rPr>
            </w:pPr>
            <w:r>
              <w:rPr>
                <w:rFonts w:ascii="Arial" w:cs="Arial" w:eastAsia="Arial" w:hAnsi="Arial"/>
                <w:sz w:val="16"/>
                <w:szCs w:val="16"/>
                <w:color w:val="auto"/>
              </w:rPr>
              <w:t>Technology and development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23,957</w:t>
            </w:r>
          </w:p>
        </w:tc>
      </w:tr>
      <w:tr>
        <w:trPr>
          <w:trHeight w:val="21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23,065</w:t>
            </w:r>
          </w:p>
        </w:tc>
      </w:tr>
      <w:tr>
        <w:trPr>
          <w:trHeight w:val="215"/>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Gain on sale of assets held for sale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3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107,584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100,775</w:t>
            </w:r>
          </w:p>
        </w:tc>
      </w:tr>
      <w:tr>
        <w:trPr>
          <w:trHeight w:val="209"/>
        </w:trPr>
        <w:tc>
          <w:tcPr>
            <w:tcW w:w="834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5,055</w:t>
            </w:r>
          </w:p>
        </w:tc>
      </w:tr>
      <w:tr>
        <w:trPr>
          <w:trHeight w:val="21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834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2,887</w:t>
            </w:r>
          </w:p>
        </w:tc>
      </w:tr>
      <w:tr>
        <w:trPr>
          <w:trHeight w:val="21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9"/>
        </w:trPr>
        <w:tc>
          <w:tcPr>
            <w:tcW w:w="83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7,974</w:t>
            </w: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3,230</w:t>
            </w:r>
          </w:p>
        </w:tc>
      </w:tr>
      <w:tr>
        <w:trPr>
          <w:trHeight w:val="210"/>
        </w:trPr>
        <w:tc>
          <w:tcPr>
            <w:tcW w:w="8340" w:type="dxa"/>
            <w:vAlign w:val="bottom"/>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4,744</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per share —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340" w:type="dxa"/>
            <w:vAlign w:val="bottom"/>
          </w:tcPr>
          <w:p>
            <w:pPr>
              <w:spacing w:after="0"/>
              <w:rPr>
                <w:sz w:val="20"/>
                <w:szCs w:val="20"/>
                <w:color w:val="auto"/>
              </w:rPr>
            </w:pPr>
            <w:r>
              <w:rPr>
                <w:rFonts w:ascii="Arial" w:cs="Arial" w:eastAsia="Arial" w:hAnsi="Arial"/>
                <w:sz w:val="16"/>
                <w:szCs w:val="16"/>
                <w:color w:val="auto"/>
              </w:rPr>
              <w:t>Net income per share —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Weighted-average shares used to compute net income per share — basic:</w:t>
            </w: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176,829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188,618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340" w:type="dxa"/>
            <w:vAlign w:val="bottom"/>
          </w:tcPr>
          <w:p>
            <w:pPr>
              <w:spacing w:after="0"/>
              <w:rPr>
                <w:sz w:val="20"/>
                <w:szCs w:val="20"/>
                <w:color w:val="auto"/>
              </w:rPr>
            </w:pPr>
            <w:r>
              <w:rPr>
                <w:rFonts w:ascii="Arial" w:cs="Arial" w:eastAsia="Arial" w:hAnsi="Arial"/>
                <w:sz w:val="16"/>
                <w:szCs w:val="16"/>
                <w:color w:val="auto"/>
              </w:rPr>
              <w:t>Weighted-average shares used to compute net income per share — diluted:</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180,616</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193,397</w:t>
            </w:r>
          </w:p>
        </w:tc>
      </w:tr>
      <w:tr>
        <w:trPr>
          <w:trHeight w:val="21"/>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51" w:right="359" w:bottom="1440" w:gutter="0" w:footer="0" w:header="0"/>
        </w:sectPr>
      </w:pPr>
    </w:p>
    <w:bookmarkStart w:id="6" w:name="page7"/>
    <w:bookmarkEnd w:id="6"/>
    <w:p>
      <w:pPr>
        <w:ind w:left="4820"/>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Unaudited Condensed Consolidated Statements of Comprehensive Income</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3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5,127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4,744</w:t>
            </w:r>
          </w:p>
        </w:tc>
      </w:tr>
      <w:tr>
        <w:trPr>
          <w:trHeight w:val="215"/>
        </w:trPr>
        <w:tc>
          <w:tcPr>
            <w:tcW w:w="8360" w:type="dxa"/>
            <w:vAlign w:val="bottom"/>
          </w:tcPr>
          <w:p>
            <w:pPr>
              <w:ind w:left="100"/>
              <w:spacing w:after="0"/>
              <w:rPr>
                <w:sz w:val="20"/>
                <w:szCs w:val="20"/>
                <w:color w:val="auto"/>
              </w:rPr>
            </w:pPr>
            <w:r>
              <w:rPr>
                <w:rFonts w:ascii="Arial" w:cs="Arial" w:eastAsia="Arial" w:hAnsi="Arial"/>
                <w:sz w:val="16"/>
                <w:szCs w:val="16"/>
                <w:color w:val="auto"/>
              </w:rPr>
              <w:t>Other comprehensive income, net of tax:</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foreign currency translation adjustments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5"/>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Change in available-for-sale debt security due to unrealized gains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3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Total other comprehensive income</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0"/>
        </w:trPr>
        <w:tc>
          <w:tcPr>
            <w:tcW w:w="8360" w:type="dxa"/>
            <w:vAlign w:val="bottom"/>
          </w:tcPr>
          <w:p>
            <w:pPr>
              <w:ind w:left="1100"/>
              <w:spacing w:after="0"/>
              <w:rPr>
                <w:sz w:val="20"/>
                <w:szCs w:val="20"/>
                <w:color w:val="auto"/>
              </w:rPr>
            </w:pPr>
            <w:r>
              <w:rPr>
                <w:rFonts w:ascii="Arial" w:cs="Arial" w:eastAsia="Arial" w:hAnsi="Arial"/>
                <w:sz w:val="16"/>
                <w:szCs w:val="16"/>
                <w:color w:val="auto"/>
              </w:rPr>
              <w:t>Total comprehensive income</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5,207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5,040</w:t>
            </w:r>
          </w:p>
        </w:tc>
      </w:tr>
      <w:tr>
        <w:trPr>
          <w:trHeight w:val="21"/>
        </w:trPr>
        <w:tc>
          <w:tcPr>
            <w:tcW w:w="8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7" w:name="page8"/>
    <w:bookmarkEnd w:id="7"/>
    <w:p>
      <w:pPr>
        <w:ind w:left="4800"/>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Unaudited Condensed Consolidated Statements of Stockholders’ Equity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5"/>
                <w:szCs w:val="15"/>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6"/>
        </w:trPr>
        <w:tc>
          <w:tcPr>
            <w:tcW w:w="4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8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0"/>
                <w:szCs w:val="10"/>
                <w:color w:val="auto"/>
              </w:rPr>
            </w:pPr>
          </w:p>
        </w:tc>
        <w:tc>
          <w:tcPr>
            <w:tcW w:w="11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8"/>
                <w:szCs w:val="18"/>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173,619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1,161,538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(1,069,317)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93,257</w:t>
            </w:r>
          </w:p>
        </w:tc>
        <w:tc>
          <w:tcPr>
            <w:tcW w:w="0" w:type="dxa"/>
            <w:vAlign w:val="bottom"/>
          </w:tcPr>
          <w:p>
            <w:pPr>
              <w:spacing w:after="0"/>
              <w:rPr>
                <w:sz w:val="1"/>
                <w:szCs w:val="1"/>
                <w:color w:val="auto"/>
              </w:rPr>
            </w:pPr>
          </w:p>
        </w:tc>
      </w:tr>
      <w:tr>
        <w:trPr>
          <w:trHeight w:val="198"/>
        </w:trPr>
        <w:tc>
          <w:tcPr>
            <w:tcW w:w="4320" w:type="dxa"/>
            <w:vAlign w:val="bottom"/>
          </w:tcPr>
          <w:p>
            <w:pPr>
              <w:ind w:left="340"/>
              <w:spacing w:after="0"/>
              <w:rPr>
                <w:sz w:val="20"/>
                <w:szCs w:val="20"/>
                <w:color w:val="auto"/>
              </w:rPr>
            </w:pPr>
            <w:r>
              <w:rPr>
                <w:rFonts w:ascii="Arial" w:cs="Arial" w:eastAsia="Arial" w:hAnsi="Arial"/>
                <w:sz w:val="14"/>
                <w:szCs w:val="14"/>
                <w:color w:val="auto"/>
              </w:rPr>
              <w:t>Issuance of common stock upon exercise of stock options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4,473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43,543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43,547</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340"/>
              <w:spacing w:after="0" w:line="157" w:lineRule="exact"/>
              <w:rPr>
                <w:sz w:val="20"/>
                <w:szCs w:val="20"/>
                <w:color w:val="auto"/>
              </w:rPr>
            </w:pPr>
            <w:r>
              <w:rPr>
                <w:rFonts w:ascii="Arial" w:cs="Arial" w:eastAsia="Arial" w:hAnsi="Arial"/>
                <w:sz w:val="14"/>
                <w:szCs w:val="14"/>
                <w:color w:val="auto"/>
              </w:rPr>
              <w:t>Issuance of common stock upon vesting of restricted stock</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unit awards</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320" w:type="dxa"/>
            <w:vAlign w:val="bottom"/>
          </w:tcPr>
          <w:p>
            <w:pPr>
              <w:ind w:left="340"/>
              <w:spacing w:after="0" w:line="153" w:lineRule="exact"/>
              <w:rPr>
                <w:sz w:val="20"/>
                <w:szCs w:val="20"/>
                <w:color w:val="auto"/>
              </w:rPr>
            </w:pPr>
            <w:r>
              <w:rPr>
                <w:rFonts w:ascii="Arial" w:cs="Arial" w:eastAsia="Arial" w:hAnsi="Arial"/>
                <w:sz w:val="14"/>
                <w:szCs w:val="14"/>
                <w:color w:val="auto"/>
              </w:rPr>
              <w:t>Shares surrendered for settlement of minimum statutory tax</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(5,941)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(5,942)</w:t>
            </w:r>
          </w:p>
        </w:tc>
        <w:tc>
          <w:tcPr>
            <w:tcW w:w="0" w:type="dxa"/>
            <w:vAlign w:val="bottom"/>
          </w:tcPr>
          <w:p>
            <w:pPr>
              <w:spacing w:after="0"/>
              <w:rPr>
                <w:sz w:val="1"/>
                <w:szCs w:val="1"/>
                <w:color w:val="auto"/>
              </w:rPr>
            </w:pPr>
          </w:p>
        </w:tc>
      </w:tr>
      <w:tr>
        <w:trPr>
          <w:trHeight w:val="185"/>
        </w:trPr>
        <w:tc>
          <w:tcPr>
            <w:tcW w:w="4320" w:type="dxa"/>
            <w:vAlign w:val="bottom"/>
          </w:tcPr>
          <w:p>
            <w:pPr>
              <w:ind w:left="500"/>
              <w:spacing w:after="0"/>
              <w:rPr>
                <w:sz w:val="20"/>
                <w:szCs w:val="20"/>
                <w:color w:val="auto"/>
              </w:rPr>
            </w:pPr>
            <w:r>
              <w:rPr>
                <w:rFonts w:ascii="Arial" w:cs="Arial" w:eastAsia="Arial" w:hAnsi="Arial"/>
                <w:sz w:val="14"/>
                <w:szCs w:val="14"/>
                <w:color w:val="auto"/>
              </w:rPr>
              <w:t>withholdings</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31,096</w:t>
            </w:r>
          </w:p>
        </w:tc>
        <w:tc>
          <w:tcPr>
            <w:tcW w:w="0" w:type="dxa"/>
            <w:vAlign w:val="bottom"/>
          </w:tcPr>
          <w:p>
            <w:pPr>
              <w:spacing w:after="0"/>
              <w:rPr>
                <w:sz w:val="1"/>
                <w:szCs w:val="1"/>
                <w:color w:val="auto"/>
              </w:rPr>
            </w:pPr>
          </w:p>
        </w:tc>
      </w:tr>
      <w:tr>
        <w:trPr>
          <w:trHeight w:val="198"/>
        </w:trPr>
        <w:tc>
          <w:tcPr>
            <w:tcW w:w="4320" w:type="dxa"/>
            <w:vAlign w:val="bottom"/>
          </w:tcPr>
          <w:p>
            <w:pPr>
              <w:ind w:left="340"/>
              <w:spacing w:after="0"/>
              <w:rPr>
                <w:sz w:val="20"/>
                <w:szCs w:val="20"/>
                <w:color w:val="auto"/>
              </w:rPr>
            </w:pPr>
            <w:r>
              <w:rPr>
                <w:rFonts w:ascii="Arial" w:cs="Arial" w:eastAsia="Arial" w:hAnsi="Arial"/>
                <w:sz w:val="14"/>
                <w:szCs w:val="14"/>
                <w:color w:val="auto"/>
              </w:rPr>
              <w:t>Other comprehensive income</w:t>
            </w:r>
          </w:p>
        </w:tc>
        <w:tc>
          <w:tcPr>
            <w:tcW w:w="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5,127</w:t>
            </w:r>
          </w:p>
        </w:tc>
        <w:tc>
          <w:tcPr>
            <w:tcW w:w="0" w:type="dxa"/>
            <w:vAlign w:val="bottom"/>
          </w:tcPr>
          <w:p>
            <w:pPr>
              <w:spacing w:after="0"/>
              <w:rPr>
                <w:sz w:val="1"/>
                <w:szCs w:val="1"/>
                <w:color w:val="auto"/>
              </w:rPr>
            </w:pPr>
          </w:p>
        </w:tc>
      </w:tr>
      <w:tr>
        <w:trPr>
          <w:trHeight w:val="198"/>
        </w:trPr>
        <w:tc>
          <w:tcPr>
            <w:tcW w:w="4320" w:type="dxa"/>
            <w:vAlign w:val="bottom"/>
          </w:tcPr>
          <w:p>
            <w:pPr>
              <w:ind w:left="340"/>
              <w:spacing w:after="0"/>
              <w:rPr>
                <w:sz w:val="20"/>
                <w:szCs w:val="20"/>
                <w:color w:val="auto"/>
              </w:rPr>
            </w:pPr>
            <w:r>
              <w:rPr>
                <w:rFonts w:ascii="Arial" w:cs="Arial" w:eastAsia="Arial" w:hAnsi="Arial"/>
                <w:sz w:val="14"/>
                <w:szCs w:val="14"/>
                <w:color w:val="auto"/>
              </w:rPr>
              <w:t>Issuance of common stock for acquisition</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2,205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20,047</w:t>
            </w: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2025</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181,177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1,250,279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187,212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0"/>
        </w:trPr>
        <w:tc>
          <w:tcPr>
            <w:tcW w:w="4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1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188,538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1,101,474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(933,061)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168,834</w:t>
            </w:r>
          </w:p>
        </w:tc>
        <w:tc>
          <w:tcPr>
            <w:tcW w:w="0" w:type="dxa"/>
            <w:vAlign w:val="bottom"/>
          </w:tcPr>
          <w:p>
            <w:pPr>
              <w:spacing w:after="0"/>
              <w:rPr>
                <w:sz w:val="1"/>
                <w:szCs w:val="1"/>
                <w:color w:val="auto"/>
              </w:rPr>
            </w:pPr>
          </w:p>
        </w:tc>
      </w:tr>
      <w:tr>
        <w:trPr>
          <w:trHeight w:val="198"/>
        </w:trPr>
        <w:tc>
          <w:tcPr>
            <w:tcW w:w="4320" w:type="dxa"/>
            <w:vAlign w:val="bottom"/>
          </w:tcPr>
          <w:p>
            <w:pPr>
              <w:ind w:left="240"/>
              <w:spacing w:after="0"/>
              <w:rPr>
                <w:sz w:val="20"/>
                <w:szCs w:val="20"/>
                <w:color w:val="auto"/>
              </w:rPr>
            </w:pPr>
            <w:r>
              <w:rPr>
                <w:rFonts w:ascii="Arial" w:cs="Arial" w:eastAsia="Arial" w:hAnsi="Arial"/>
                <w:sz w:val="14"/>
                <w:szCs w:val="14"/>
                <w:color w:val="auto"/>
              </w:rPr>
              <w:t>Issuance of common stock upon exercise of stock options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53"/>
        </w:trPr>
        <w:tc>
          <w:tcPr>
            <w:tcW w:w="432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Issuance of common stock upon vesting of restricted stock</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2,236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unit awards</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240"/>
              <w:spacing w:after="0" w:line="149" w:lineRule="exact"/>
              <w:rPr>
                <w:sz w:val="20"/>
                <w:szCs w:val="20"/>
                <w:color w:val="auto"/>
              </w:rPr>
            </w:pPr>
            <w:r>
              <w:rPr>
                <w:rFonts w:ascii="Arial" w:cs="Arial" w:eastAsia="Arial" w:hAnsi="Arial"/>
                <w:sz w:val="14"/>
                <w:szCs w:val="14"/>
                <w:color w:val="auto"/>
              </w:rPr>
              <w:t>Shares surrendered for settlement of minimum statutory tax</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(9,564)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(9,564)</w:t>
            </w:r>
          </w:p>
        </w:tc>
        <w:tc>
          <w:tcPr>
            <w:tcW w:w="0" w:type="dxa"/>
            <w:vAlign w:val="bottom"/>
          </w:tcPr>
          <w:p>
            <w:pPr>
              <w:spacing w:after="0"/>
              <w:rPr>
                <w:sz w:val="1"/>
                <w:szCs w:val="1"/>
                <w:color w:val="auto"/>
              </w:rPr>
            </w:pPr>
          </w:p>
        </w:tc>
      </w:tr>
      <w:tr>
        <w:trPr>
          <w:trHeight w:val="189"/>
        </w:trPr>
        <w:tc>
          <w:tcPr>
            <w:tcW w:w="4320" w:type="dxa"/>
            <w:vAlign w:val="bottom"/>
          </w:tcPr>
          <w:p>
            <w:pPr>
              <w:ind w:left="400"/>
              <w:spacing w:after="0"/>
              <w:rPr>
                <w:sz w:val="20"/>
                <w:szCs w:val="20"/>
                <w:color w:val="auto"/>
              </w:rPr>
            </w:pPr>
            <w:r>
              <w:rPr>
                <w:rFonts w:ascii="Arial" w:cs="Arial" w:eastAsia="Arial" w:hAnsi="Arial"/>
                <w:sz w:val="14"/>
                <w:szCs w:val="14"/>
                <w:color w:val="auto"/>
              </w:rPr>
              <w:t>withholdings</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16,273</w:t>
            </w:r>
          </w:p>
        </w:tc>
        <w:tc>
          <w:tcPr>
            <w:tcW w:w="0" w:type="dxa"/>
            <w:vAlign w:val="bottom"/>
          </w:tcPr>
          <w:p>
            <w:pPr>
              <w:spacing w:after="0"/>
              <w:rPr>
                <w:sz w:val="1"/>
                <w:szCs w:val="1"/>
                <w:color w:val="auto"/>
              </w:rPr>
            </w:pPr>
          </w:p>
        </w:tc>
      </w:tr>
      <w:tr>
        <w:trPr>
          <w:trHeight w:val="198"/>
        </w:trPr>
        <w:tc>
          <w:tcPr>
            <w:tcW w:w="4320" w:type="dxa"/>
            <w:vAlign w:val="bottom"/>
          </w:tcPr>
          <w:p>
            <w:pPr>
              <w:ind w:left="240"/>
              <w:spacing w:after="0"/>
              <w:rPr>
                <w:sz w:val="20"/>
                <w:szCs w:val="20"/>
                <w:color w:val="auto"/>
              </w:rPr>
            </w:pPr>
            <w:r>
              <w:rPr>
                <w:rFonts w:ascii="Arial" w:cs="Arial" w:eastAsia="Arial" w:hAnsi="Arial"/>
                <w:sz w:val="14"/>
                <w:szCs w:val="14"/>
                <w:color w:val="auto"/>
              </w:rPr>
              <w:t>Repurchase and retirement of common stock</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(1,172)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(12,759)</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w:t>
            </w: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98"/>
        </w:trPr>
        <w:tc>
          <w:tcPr>
            <w:tcW w:w="43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Net income</w:t>
            </w:r>
          </w:p>
        </w:tc>
        <w:tc>
          <w:tcPr>
            <w:tcW w:w="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4,744</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188,875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167,906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5" w:right="359" w:bottom="1440" w:gutter="0" w:footer="0" w:header="0"/>
        </w:sectPr>
      </w:pPr>
    </w:p>
    <w:bookmarkStart w:id="8" w:name="page9"/>
    <w:bookmarkEnd w:id="8"/>
    <w:p>
      <w:pPr>
        <w:spacing w:after="0" w:line="198"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5,127</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4,744</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36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7,670</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right-of-use 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98"/>
        </w:trPr>
        <w:tc>
          <w:tcPr>
            <w:tcW w:w="8360" w:type="dxa"/>
            <w:vAlign w:val="bottom"/>
          </w:tcPr>
          <w:p>
            <w:pPr>
              <w:ind w:left="300"/>
              <w:spacing w:after="0"/>
              <w:rPr>
                <w:sz w:val="20"/>
                <w:szCs w:val="20"/>
                <w:color w:val="auto"/>
              </w:rPr>
            </w:pPr>
            <w:r>
              <w:rPr>
                <w:rFonts w:ascii="Arial" w:cs="Arial" w:eastAsia="Arial" w:hAnsi="Arial"/>
                <w:sz w:val="14"/>
                <w:szCs w:val="14"/>
                <w:color w:val="auto"/>
              </w:rPr>
              <w:t>Amortization of debt issuance costs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14,856</w:t>
            </w:r>
          </w:p>
        </w:tc>
        <w:tc>
          <w:tcPr>
            <w:tcW w:w="0" w:type="dxa"/>
            <w:vAlign w:val="bottom"/>
          </w:tcPr>
          <w:p>
            <w:pPr>
              <w:spacing w:after="0"/>
              <w:rPr>
                <w:sz w:val="1"/>
                <w:szCs w:val="1"/>
                <w:color w:val="auto"/>
              </w:rPr>
            </w:pPr>
          </w:p>
        </w:tc>
      </w:tr>
      <w:tr>
        <w:trPr>
          <w:trHeight w:val="198"/>
        </w:trPr>
        <w:tc>
          <w:tcPr>
            <w:tcW w:w="8360" w:type="dxa"/>
            <w:vAlign w:val="bottom"/>
          </w:tcPr>
          <w:p>
            <w:pPr>
              <w:ind w:left="30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Change in fair value of other equity security</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360" w:type="dxa"/>
            <w:vAlign w:val="bottom"/>
          </w:tcPr>
          <w:p>
            <w:pPr>
              <w:ind w:left="300"/>
              <w:spacing w:after="0"/>
              <w:rPr>
                <w:sz w:val="20"/>
                <w:szCs w:val="20"/>
                <w:color w:val="auto"/>
              </w:rPr>
            </w:pPr>
            <w:r>
              <w:rPr>
                <w:rFonts w:ascii="Arial" w:cs="Arial" w:eastAsia="Arial" w:hAnsi="Arial"/>
                <w:sz w:val="14"/>
                <w:szCs w:val="14"/>
                <w:color w:val="auto"/>
              </w:rPr>
              <w:t>Unrealized foreign exchange loss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on sale of assets held for sale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360" w:type="dxa"/>
            <w:vAlign w:val="bottom"/>
          </w:tcPr>
          <w:p>
            <w:pPr>
              <w:ind w:left="300"/>
              <w:spacing w:after="0"/>
              <w:rPr>
                <w:sz w:val="20"/>
                <w:szCs w:val="20"/>
                <w:color w:val="auto"/>
              </w:rPr>
            </w:pPr>
            <w:r>
              <w:rPr>
                <w:rFonts w:ascii="Arial" w:cs="Arial" w:eastAsia="Arial" w:hAnsi="Arial"/>
                <w:sz w:val="14"/>
                <w:szCs w:val="14"/>
                <w:color w:val="auto"/>
              </w:rPr>
              <w:t>Loss on disposal of property and equipment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360" w:type="dxa"/>
            <w:vAlign w:val="bottom"/>
          </w:tcPr>
          <w:p>
            <w:pPr>
              <w:ind w:left="74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(3,989)</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0" w:type="dxa"/>
            <w:vAlign w:val="bottom"/>
          </w:tcPr>
          <w:p>
            <w:pPr>
              <w:spacing w:after="0"/>
              <w:rPr>
                <w:sz w:val="1"/>
                <w:szCs w:val="1"/>
                <w:color w:val="auto"/>
              </w:rPr>
            </w:pPr>
          </w:p>
        </w:tc>
      </w:tr>
      <w:tr>
        <w:trPr>
          <w:trHeight w:val="198"/>
        </w:trPr>
        <w:tc>
          <w:tcPr>
            <w:tcW w:w="8360" w:type="dxa"/>
            <w:vAlign w:val="bottom"/>
          </w:tcPr>
          <w:p>
            <w:pPr>
              <w:ind w:left="74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198"/>
        </w:trPr>
        <w:tc>
          <w:tcPr>
            <w:tcW w:w="8360" w:type="dxa"/>
            <w:vAlign w:val="bottom"/>
          </w:tcPr>
          <w:p>
            <w:pPr>
              <w:ind w:left="74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(9,086)</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198"/>
        </w:trPr>
        <w:tc>
          <w:tcPr>
            <w:tcW w:w="8360" w:type="dxa"/>
            <w:vAlign w:val="bottom"/>
          </w:tcPr>
          <w:p>
            <w:pPr>
              <w:ind w:left="740"/>
              <w:spacing w:after="0"/>
              <w:rPr>
                <w:sz w:val="20"/>
                <w:szCs w:val="20"/>
                <w:color w:val="auto"/>
              </w:rPr>
            </w:pPr>
            <w:r>
              <w:rPr>
                <w:rFonts w:ascii="Arial" w:cs="Arial" w:eastAsia="Arial" w:hAnsi="Arial"/>
                <w:sz w:val="14"/>
                <w:szCs w:val="14"/>
                <w:color w:val="auto"/>
              </w:rPr>
              <w:t>Income tax payable</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Deferred revenue</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26,838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19,593</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ind w:left="108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50,703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34,194</w:t>
            </w:r>
          </w:p>
        </w:tc>
        <w:tc>
          <w:tcPr>
            <w:tcW w:w="0" w:type="dxa"/>
            <w:vAlign w:val="bottom"/>
          </w:tcPr>
          <w:p>
            <w:pPr>
              <w:spacing w:after="0"/>
              <w:rPr>
                <w:sz w:val="1"/>
                <w:szCs w:val="1"/>
                <w:color w:val="auto"/>
              </w:rPr>
            </w:pPr>
          </w:p>
        </w:tc>
      </w:tr>
      <w:tr>
        <w:trPr>
          <w:trHeight w:val="187"/>
        </w:trPr>
        <w:tc>
          <w:tcPr>
            <w:tcW w:w="8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Acquisition, net of cash acquired</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(48,123)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Proceeds from disposal of assets held for sale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Purchase of property and equipment</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(9,477)</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(9,477)</w:t>
            </w:r>
          </w:p>
        </w:tc>
        <w:tc>
          <w:tcPr>
            <w:tcW w:w="0" w:type="dxa"/>
            <w:vAlign w:val="bottom"/>
          </w:tcPr>
          <w:p>
            <w:pPr>
              <w:spacing w:after="0"/>
              <w:rPr>
                <w:sz w:val="1"/>
                <w:szCs w:val="1"/>
                <w:color w:val="auto"/>
              </w:rPr>
            </w:pPr>
          </w:p>
        </w:tc>
      </w:tr>
      <w:tr>
        <w:trPr>
          <w:trHeight w:val="181"/>
        </w:trPr>
        <w:tc>
          <w:tcPr>
            <w:tcW w:w="83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Repayment of capital lease obligations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(12,783)</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Shares surrendered for settlement of minimum statutory tax withholding</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(9,564)</w:t>
            </w:r>
          </w:p>
        </w:tc>
        <w:tc>
          <w:tcPr>
            <w:tcW w:w="0" w:type="dxa"/>
            <w:vAlign w:val="bottom"/>
          </w:tcPr>
          <w:p>
            <w:pPr>
              <w:spacing w:after="0"/>
              <w:rPr>
                <w:sz w:val="1"/>
                <w:szCs w:val="1"/>
                <w:color w:val="auto"/>
              </w:rPr>
            </w:pPr>
          </w:p>
        </w:tc>
      </w:tr>
      <w:tr>
        <w:trPr>
          <w:trHeight w:val="198"/>
        </w:trPr>
        <w:tc>
          <w:tcPr>
            <w:tcW w:w="8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Proceeds from issuance of stock under employee stock plans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43,548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37,604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(22,271)</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6"/>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2,410</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at beginning of the period</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142,064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225,719</w:t>
            </w:r>
          </w:p>
        </w:tc>
        <w:tc>
          <w:tcPr>
            <w:tcW w:w="0" w:type="dxa"/>
            <w:vAlign w:val="bottom"/>
          </w:tcPr>
          <w:p>
            <w:pPr>
              <w:spacing w:after="0"/>
              <w:rPr>
                <w:sz w:val="1"/>
                <w:szCs w:val="1"/>
                <w:color w:val="auto"/>
              </w:rPr>
            </w:pPr>
          </w:p>
        </w:tc>
      </w:tr>
      <w:tr>
        <w:trPr>
          <w:trHeight w:val="225"/>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at end of the period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209,973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228,129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Non-cash operating, investing, and financing activities: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Acquisition-related deferred consideration</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8360" w:type="dxa"/>
            <w:vAlign w:val="bottom"/>
          </w:tcPr>
          <w:p>
            <w:pPr>
              <w:spacing w:after="0"/>
              <w:rPr>
                <w:sz w:val="20"/>
                <w:szCs w:val="20"/>
                <w:color w:val="auto"/>
              </w:rPr>
            </w:pPr>
            <w:r>
              <w:rPr>
                <w:rFonts w:ascii="Arial" w:cs="Arial" w:eastAsia="Arial" w:hAnsi="Arial"/>
                <w:sz w:val="14"/>
                <w:szCs w:val="14"/>
                <w:color w:val="auto"/>
              </w:rPr>
              <w:t>Issuance of common stock for business acquired</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20,048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9" w:name="page10"/>
    <w:bookmarkEnd w:id="9"/>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Borders>
              <w:bottom w:val="single" w:sz="8" w:color="CCEEFF"/>
            </w:tcBorders>
          </w:tcPr>
          <w:p>
            <w:pPr>
              <w:spacing w:after="0"/>
              <w:rPr>
                <w:sz w:val="17"/>
                <w:szCs w:val="17"/>
                <w:color w:val="auto"/>
              </w:rPr>
            </w:pPr>
          </w:p>
        </w:tc>
        <w:tc>
          <w:tcPr>
            <w:tcW w:w="282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Purchase of property and equipment included in accounts payable and accrued expenses and other current liabilities</w:t>
            </w:r>
          </w:p>
        </w:tc>
        <w:tc>
          <w:tcPr>
            <w:tcW w:w="18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855</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w:t>
            </w:r>
          </w:p>
        </w:tc>
        <w:tc>
          <w:tcPr>
            <w:tcW w:w="0" w:type="dxa"/>
            <w:vAlign w:val="bottom"/>
          </w:tcPr>
          <w:p>
            <w:pPr>
              <w:spacing w:after="0"/>
              <w:rPr>
                <w:sz w:val="1"/>
                <w:szCs w:val="1"/>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Capitalized stock-based compensation</w:t>
            </w:r>
          </w:p>
        </w:tc>
        <w:tc>
          <w:tcPr>
            <w:tcW w:w="1840" w:type="dxa"/>
            <w:vAlign w:val="bottom"/>
          </w:tcPr>
          <w:p>
            <w:pPr>
              <w:jc w:val="right"/>
              <w:ind w:right="468"/>
              <w:spacing w:after="0"/>
              <w:rPr>
                <w:sz w:val="20"/>
                <w:szCs w:val="20"/>
                <w:color w:val="auto"/>
              </w:rPr>
            </w:pPr>
            <w:r>
              <w:rPr>
                <w:rFonts w:ascii="Arial" w:cs="Arial" w:eastAsia="Arial" w:hAnsi="Arial"/>
                <w:sz w:val="14"/>
                <w:szCs w:val="14"/>
                <w:color w:val="auto"/>
              </w:rPr>
              <w:t>1,340</w:t>
            </w:r>
          </w:p>
        </w:tc>
        <w:tc>
          <w:tcPr>
            <w:tcW w:w="980" w:type="dxa"/>
            <w:vAlign w:val="bottom"/>
          </w:tcPr>
          <w:p>
            <w:pPr>
              <w:jc w:val="right"/>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57"/>
        </w:trPr>
        <w:tc>
          <w:tcPr>
            <w:tcW w:w="83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Right-of-use assets obtained in exchange of operating lease liabilities (excluding right-of-use assets acquired as part of business</w:t>
            </w:r>
          </w:p>
        </w:tc>
        <w:tc>
          <w:tcPr>
            <w:tcW w:w="184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3,764</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acquisition)</w:t>
            </w:r>
          </w:p>
        </w:tc>
        <w:tc>
          <w:tcPr>
            <w:tcW w:w="18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Description of the Business</w:t>
      </w:r>
    </w:p>
    <w:p>
      <w:pPr>
        <w:spacing w:after="0" w:line="221" w:lineRule="exact"/>
        <w:rPr>
          <w:sz w:val="20"/>
          <w:szCs w:val="20"/>
          <w:color w:val="auto"/>
        </w:rPr>
      </w:pPr>
    </w:p>
    <w:p>
      <w:pPr>
        <w:ind w:right="100" w:firstLine="405"/>
        <w:spacing w:after="0" w:line="304" w:lineRule="auto"/>
        <w:rPr>
          <w:sz w:val="20"/>
          <w:szCs w:val="20"/>
          <w:color w:val="auto"/>
        </w:rPr>
      </w:pPr>
      <w:r>
        <w:rPr>
          <w:rFonts w:ascii="Arial" w:cs="Arial" w:eastAsia="Arial" w:hAnsi="Arial"/>
          <w:sz w:val="16"/>
          <w:szCs w:val="16"/>
          <w:color w:val="auto"/>
        </w:rPr>
        <w:t>LegalZoom.com, Inc., was initially formed as a California corporation in 1999 and reincorporated as a Delaware corporation in 2007. LegalZoom.com, Inc., and its wholly owned subsidiaries, are referred to herein as the “Company”, “we,” “us,” or “our”.</w:t>
      </w:r>
    </w:p>
    <w:p>
      <w:pPr>
        <w:spacing w:after="0" w:line="33"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LegalZoom is a leading online platform for legal services, transforming how individuals and small businesses navigate the legal system. By combining intuitive technology with access to experienced attorneys—whether through our vast independent attorney network or our owned LegalZoom Legal Services (LZLS) law firm—we offer the tools and guidance people need to confidently manage everything from business formation and compliance to estate planning and ongoing legal support. With over two decades of experience and millions of customers served, LegalZoom helps individuals and small businesses navigate legal needs with confidence.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221" w:lineRule="exact"/>
        <w:rPr>
          <w:sz w:val="20"/>
          <w:szCs w:val="20"/>
          <w:color w:val="auto"/>
        </w:rPr>
      </w:pPr>
    </w:p>
    <w:p>
      <w:pPr>
        <w:ind w:right="600" w:firstLine="405"/>
        <w:spacing w:after="0" w:line="304" w:lineRule="auto"/>
        <w:rPr>
          <w:sz w:val="20"/>
          <w:szCs w:val="20"/>
          <w:color w:val="auto"/>
        </w:rPr>
      </w:pPr>
      <w:r>
        <w:rPr>
          <w:rFonts w:ascii="Arial" w:cs="Arial" w:eastAsia="Arial" w:hAnsi="Arial"/>
          <w:sz w:val="16"/>
          <w:szCs w:val="16"/>
          <w:color w:val="auto"/>
        </w:rPr>
        <w:t>A summary of the significant accounting policies we follow in the preparation of the accompanying unaudited condensed consolidated financial statements is set forth below.</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 and Consolidation</w:t>
      </w:r>
    </w:p>
    <w:p>
      <w:pPr>
        <w:spacing w:after="0" w:line="111"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 xml:space="preserve">The accompanying unaudited condensed consolidated financial statements are presented in accordance with accounting principles generally accepted in the United States of America, or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and the related notes thereto included in the Annual Report on Form 10-K for the year ended December 31, 2024. The December 31, 2024 unaudited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unaudited condensed consolidated financial statements. All intercompany balances and transactions have been eliminated in consolidation. There have been no significant changes in accounting policies during the three months ended March 31, 2025 from those disclosed in the audited consolidated financial statements for the year ended December 31, 2024 and the related notes, except as noted below under </w:t>
      </w:r>
      <w:r>
        <w:rPr>
          <w:rFonts w:ascii="Arial" w:cs="Arial" w:eastAsia="Arial" w:hAnsi="Arial"/>
          <w:sz w:val="16"/>
          <w:szCs w:val="16"/>
          <w:i w:val="1"/>
          <w:iCs w:val="1"/>
          <w:color w:val="auto"/>
        </w:rPr>
        <w:t>Recently Adopted Accounting Pronouncements</w:t>
      </w:r>
      <w:r>
        <w:rPr>
          <w:rFonts w:ascii="Arial" w:cs="Arial" w:eastAsia="Arial" w:hAnsi="Arial"/>
          <w:sz w:val="16"/>
          <w:szCs w:val="16"/>
          <w:color w:val="auto"/>
        </w:rPr>
        <w:t>.</w:t>
      </w:r>
    </w:p>
    <w:p>
      <w:pPr>
        <w:spacing w:after="0" w:line="74" w:lineRule="exact"/>
        <w:rPr>
          <w:sz w:val="20"/>
          <w:szCs w:val="20"/>
          <w:color w:val="auto"/>
        </w:rPr>
      </w:pPr>
    </w:p>
    <w:p>
      <w:pPr>
        <w:ind w:right="660" w:firstLine="405"/>
        <w:spacing w:after="0" w:line="304" w:lineRule="auto"/>
        <w:rPr>
          <w:sz w:val="20"/>
          <w:szCs w:val="20"/>
          <w:color w:val="auto"/>
        </w:rPr>
      </w:pPr>
      <w:r>
        <w:rPr>
          <w:rFonts w:ascii="Arial" w:cs="Arial" w:eastAsia="Arial" w:hAnsi="Arial"/>
          <w:sz w:val="16"/>
          <w:szCs w:val="16"/>
          <w:color w:val="auto"/>
        </w:rPr>
        <w:t>The operating results for the three months ended March 31, 2025 are not necessarily indicative of the results expected for the full year ending December 31, 2025.</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125"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expected credit loss allowances, available-for-sale debt securities, other equity securities, recoverability of long-lived assets and goodwill, income taxes, commitments and contingencies, valuation of assets and liabilities acquired in business combinations, valuation of assets in asset acquisitions, and fair value of stock-based compensation. Actual results could differ materially from those estimates. On an ongoing basis, we evaluate the estimates compared to historical experience and other factors including the current economic and regulatory environment, which form the basis for our judgments about the carrying value of assets and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Significant Accounting Policies</w:t>
      </w:r>
    </w:p>
    <w:p>
      <w:pPr>
        <w:spacing w:after="0" w:line="125" w:lineRule="exact"/>
        <w:rPr>
          <w:sz w:val="20"/>
          <w:szCs w:val="20"/>
          <w:color w:val="auto"/>
        </w:rPr>
      </w:pPr>
    </w:p>
    <w:p>
      <w:pPr>
        <w:ind w:right="400" w:firstLine="405"/>
        <w:spacing w:after="0" w:line="286" w:lineRule="auto"/>
        <w:rPr>
          <w:sz w:val="20"/>
          <w:szCs w:val="20"/>
          <w:color w:val="auto"/>
        </w:rPr>
      </w:pPr>
      <w:r>
        <w:rPr>
          <w:rFonts w:ascii="Arial" w:cs="Arial" w:eastAsia="Arial" w:hAnsi="Arial"/>
          <w:sz w:val="16"/>
          <w:szCs w:val="16"/>
          <w:color w:val="auto"/>
        </w:rPr>
        <w:t>Significant accounting policies are detailed in Note 2. Summary of Significant Accounting Policies of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and Geographic Information</w:t>
      </w:r>
    </w:p>
    <w:p>
      <w:pPr>
        <w:spacing w:after="0" w:line="125" w:lineRule="exact"/>
        <w:rPr>
          <w:sz w:val="20"/>
          <w:szCs w:val="20"/>
          <w:color w:val="auto"/>
        </w:rPr>
      </w:pPr>
    </w:p>
    <w:p>
      <w:pPr>
        <w:ind w:right="860" w:firstLine="405"/>
        <w:spacing w:after="0" w:line="286" w:lineRule="auto"/>
        <w:rPr>
          <w:sz w:val="20"/>
          <w:szCs w:val="20"/>
          <w:color w:val="auto"/>
        </w:rPr>
      </w:pPr>
      <w:r>
        <w:rPr>
          <w:rFonts w:ascii="Arial" w:cs="Arial" w:eastAsia="Arial" w:hAnsi="Arial"/>
          <w:sz w:val="16"/>
          <w:szCs w:val="16"/>
          <w:color w:val="auto"/>
        </w:rPr>
        <w:t>Our Chief Executive Officer, as the Chief Operating Decision Maker, organizes our company, manages resource allocations, and measures performance on the basis of one operating segment. Refer to Note 13 to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11" w:name="page12"/>
    <w:bookmarkEnd w:id="11"/>
    <w:p>
      <w:pPr>
        <w:jc w:val="both"/>
        <w:ind w:right="280" w:firstLine="405"/>
        <w:spacing w:after="0" w:line="275" w:lineRule="auto"/>
        <w:rPr>
          <w:sz w:val="20"/>
          <w:szCs w:val="20"/>
          <w:color w:val="auto"/>
        </w:rPr>
      </w:pPr>
      <w:r>
        <w:rPr>
          <w:rFonts w:ascii="Arial" w:cs="Arial" w:eastAsia="Arial" w:hAnsi="Arial"/>
          <w:sz w:val="16"/>
          <w:szCs w:val="16"/>
          <w:color w:val="auto"/>
        </w:rPr>
        <w:t>Revenue outside of the U.S., based on the location of the customer, represented less than 1% of our unaudited consolidated revenue for the three months ended March 31, 2025 and 2024. Our property and equipment and right-of-use, or ROU, assets located outside of the U.S. were immaterial as of March 31, 2025 and December 31, 2024.</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Concentrations of Credit Risk</w:t>
      </w:r>
    </w:p>
    <w:p>
      <w:pPr>
        <w:spacing w:after="0" w:line="125" w:lineRule="exact"/>
        <w:rPr>
          <w:sz w:val="20"/>
          <w:szCs w:val="20"/>
          <w:color w:val="auto"/>
        </w:rPr>
      </w:pPr>
    </w:p>
    <w:p>
      <w:pPr>
        <w:ind w:right="20" w:firstLine="405"/>
        <w:spacing w:after="0" w:line="266" w:lineRule="auto"/>
        <w:rPr>
          <w:sz w:val="20"/>
          <w:szCs w:val="20"/>
          <w:color w:val="auto"/>
        </w:rPr>
      </w:pPr>
      <w:r>
        <w:rPr>
          <w:rFonts w:ascii="Arial" w:cs="Arial" w:eastAsia="Arial" w:hAnsi="Arial"/>
          <w:sz w:val="16"/>
          <w:szCs w:val="16"/>
          <w:color w:val="auto"/>
        </w:rPr>
        <w:t>We maintain accounts in U.S. banks with funds insured by the Federal Deposit Insurance Corporation, or FDIC. Our bank accounts may, at times, exceed the FDIC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Due to a large and diverse customer base, no individual customer represented more than 10% of our total revenue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2025 and 2024. At March 31, 2025, there were two partners with an outstanding balance of 10% or more of our total accounts receivable balance.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2024, there were no customers with an outstanding balance of 10% or more of our total accounts receivable balance.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 and Allowance for Credit Losses</w:t>
      </w:r>
    </w:p>
    <w:p>
      <w:pPr>
        <w:spacing w:after="0" w:line="111" w:lineRule="exact"/>
        <w:rPr>
          <w:sz w:val="20"/>
          <w:szCs w:val="20"/>
          <w:color w:val="auto"/>
        </w:rPr>
      </w:pPr>
    </w:p>
    <w:p>
      <w:pPr>
        <w:ind w:right="100" w:firstLine="405"/>
        <w:spacing w:after="0" w:line="262" w:lineRule="auto"/>
        <w:rPr>
          <w:sz w:val="20"/>
          <w:szCs w:val="20"/>
          <w:color w:val="auto"/>
        </w:rPr>
      </w:pPr>
      <w:r>
        <w:rPr>
          <w:rFonts w:ascii="Arial" w:cs="Arial" w:eastAsia="Arial" w:hAnsi="Arial"/>
          <w:sz w:val="16"/>
          <w:szCs w:val="16"/>
          <w:color w:val="auto"/>
        </w:rPr>
        <w:t>Our accounts receivable balances, which are not collateralized and do not bear interest, primarily consist of amounts receivable from our credit and debit card merchant processors, customer receivables, and fees due from third parties for services purchased by our customers from such third parties. We reduce our accounts receivable for sales allowances and a reserve for potentially uncollectible receivables. We determine the amount of the allowances based on various factors, including historical collection experience, the age of the accounts receivable balances, credit quality of our customers, current economic conditions, reasonable and supportable forecasts of future economic conditions, and other factors that may affect our ability to collect from customers. Account balances are charged off against the allowance when we determine that it is not probable we will collect the receivable. At March 31, 2025 and December 31, 2024 the allowance for credit losses was not material.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in Other Equity Securities</w:t>
      </w:r>
    </w:p>
    <w:p>
      <w:pPr>
        <w:spacing w:after="0" w:line="111" w:lineRule="exact"/>
        <w:rPr>
          <w:sz w:val="20"/>
          <w:szCs w:val="20"/>
          <w:color w:val="auto"/>
        </w:rPr>
      </w:pPr>
    </w:p>
    <w:p>
      <w:pPr>
        <w:ind w:right="60" w:firstLine="405"/>
        <w:spacing w:after="0" w:line="275" w:lineRule="auto"/>
        <w:rPr>
          <w:sz w:val="20"/>
          <w:szCs w:val="20"/>
          <w:color w:val="auto"/>
        </w:rPr>
      </w:pPr>
      <w:r>
        <w:rPr>
          <w:rFonts w:ascii="Arial" w:cs="Arial" w:eastAsia="Arial" w:hAnsi="Arial"/>
          <w:sz w:val="16"/>
          <w:szCs w:val="16"/>
          <w:color w:val="auto"/>
        </w:rPr>
        <w:t>We hold an equity investment in LawPath, Pty Ltd, or LawPath, an Australian proprietary limited company that provides an online legal platform to individuals and small and medium sized businesses. The carrying amount of our investment in LawPath was $4.7 million and $4.4 million at March 31, 2025 and December 31, 2024, respectively. The change in the carrying amount was due to an observable price change in an orderly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derive our revenue from the following sources:</w:t>
      </w:r>
    </w:p>
    <w:p>
      <w:pPr>
        <w:spacing w:after="0" w:line="113" w:lineRule="exact"/>
        <w:rPr>
          <w:sz w:val="20"/>
          <w:szCs w:val="20"/>
          <w:color w:val="auto"/>
        </w:rPr>
      </w:pPr>
    </w:p>
    <w:p>
      <w:pPr>
        <w:jc w:val="both"/>
        <w:ind w:right="300" w:firstLine="405"/>
        <w:spacing w:after="0" w:line="275"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sales allowances and credit reserves. We also earn fees from third-party providers in connection with lead generation activities, where referred customers purchased services that are transactional in nature.</w:t>
      </w:r>
    </w:p>
    <w:p>
      <w:pPr>
        <w:spacing w:after="0" w:line="70"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—Subscription revenue is generated primarily from subscriptions to our registered agent, compliance packages, attorney advice,</w:t>
      </w:r>
      <w:r>
        <w:rPr>
          <w:rFonts w:ascii="Arial" w:cs="Arial" w:eastAsia="Arial" w:hAnsi="Arial"/>
          <w:sz w:val="16"/>
          <w:szCs w:val="16"/>
          <w:i w:val="1"/>
          <w:iCs w:val="1"/>
          <w:color w:val="auto"/>
        </w:rPr>
        <w:t xml:space="preserve"> </w:t>
      </w:r>
      <w:r>
        <w:rPr>
          <w:rFonts w:ascii="Arial" w:cs="Arial" w:eastAsia="Arial" w:hAnsi="Arial"/>
          <w:sz w:val="16"/>
          <w:szCs w:val="16"/>
          <w:color w:val="auto"/>
        </w:rPr>
        <w:t>legal forms, tax and accounting, virtual mail and e-signature services, and software-as-a-service, or SaaS, subscriptions. We generally recognize revenue from our subscriptions ratably over the subscription term. Subscription terms generally range from thirty days to one year. Subscription revenue also includes amounts earned from third-party providers in connection with lead generation activities, where referred customers purchased services that are subscription in nature. Subscription revenue includes the transaction price allocated to bundled free trials for our subscription services and is net of promotional discounts, cancellations, sales allowances and credit reserves and payments to third party service providers.</w:t>
      </w:r>
    </w:p>
    <w:p>
      <w:pPr>
        <w:spacing w:after="0" w:line="68" w:lineRule="exact"/>
        <w:rPr>
          <w:sz w:val="20"/>
          <w:szCs w:val="20"/>
          <w:color w:val="auto"/>
        </w:rPr>
      </w:pPr>
    </w:p>
    <w:p>
      <w:pPr>
        <w:jc w:val="both"/>
        <w:ind w:right="140" w:firstLine="405"/>
        <w:spacing w:after="0" w:line="265" w:lineRule="auto"/>
        <w:rPr>
          <w:sz w:val="20"/>
          <w:szCs w:val="20"/>
          <w:color w:val="auto"/>
        </w:rPr>
      </w:pPr>
      <w:r>
        <w:rPr>
          <w:rFonts w:ascii="Arial" w:cs="Arial" w:eastAsia="Arial" w:hAnsi="Arial"/>
          <w:sz w:val="16"/>
          <w:szCs w:val="16"/>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8360" w:type="dxa"/>
            <w:vAlign w:val="bottom"/>
          </w:tcPr>
          <w:p>
            <w:pPr>
              <w:ind w:left="420"/>
              <w:spacing w:after="0"/>
              <w:rPr>
                <w:sz w:val="20"/>
                <w:szCs w:val="20"/>
                <w:color w:val="auto"/>
              </w:rPr>
            </w:pPr>
            <w:r>
              <w:rPr>
                <w:rFonts w:ascii="Arial" w:cs="Arial" w:eastAsia="Arial" w:hAnsi="Arial"/>
                <w:sz w:val="16"/>
                <w:szCs w:val="16"/>
                <w:color w:val="auto"/>
              </w:rPr>
              <w:t>Our transaction and subscription revenue is as follows (in thousands):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48"/>
        </w:trPr>
        <w:tc>
          <w:tcPr>
            <w:tcW w:w="8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66,317</w:t>
            </w:r>
          </w:p>
        </w:tc>
      </w:tr>
      <w:tr>
        <w:trPr>
          <w:trHeight w:val="21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Subscription</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107,897</w:t>
            </w:r>
          </w:p>
        </w:tc>
      </w:tr>
      <w:tr>
        <w:trPr>
          <w:trHeight w:val="234"/>
        </w:trPr>
        <w:tc>
          <w:tcPr>
            <w:tcW w:w="8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183,110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174,214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111"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 xml:space="preserve">In November 2023, the Financial Accounting Standards Board, or FASB, issued Accounting Standards Update, or ASU, 2023-07,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(Topic 280): Improvements to Reportable Segment Disclosures</w:t>
      </w:r>
      <w:r>
        <w:rPr>
          <w:rFonts w:ascii="Arial" w:cs="Arial" w:eastAsia="Arial" w:hAnsi="Arial"/>
          <w:sz w:val="16"/>
          <w:szCs w:val="16"/>
          <w:color w:val="auto"/>
        </w:rPr>
        <w:t>, which requires public entities to disclose information about their reportable segments’</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expenses on an interim and annual basis. ASU 2023-07 is effective for fiscal years beginning after December 15, 2023, and interim periods within fiscal years beginning after December 15, 2024. We adopted ASU 2023-07 in 2024. Refer to Note 13 to our unaudited condensed consolidated financial statements.</w:t>
      </w:r>
    </w:p>
    <w:p>
      <w:pPr>
        <w:spacing w:after="0" w:line="64" w:lineRule="exact"/>
        <w:rPr>
          <w:sz w:val="20"/>
          <w:szCs w:val="20"/>
          <w:color w:val="auto"/>
        </w:rPr>
      </w:pPr>
    </w:p>
    <w:p>
      <w:pPr>
        <w:ind w:right="120" w:firstLine="405"/>
        <w:spacing w:after="0" w:line="262" w:lineRule="auto"/>
        <w:rPr>
          <w:sz w:val="20"/>
          <w:szCs w:val="20"/>
          <w:color w:val="auto"/>
        </w:rPr>
      </w:pPr>
      <w:r>
        <w:rPr>
          <w:rFonts w:ascii="Arial" w:cs="Arial" w:eastAsia="Arial" w:hAnsi="Arial"/>
          <w:sz w:val="16"/>
          <w:szCs w:val="16"/>
          <w:color w:val="auto"/>
        </w:rPr>
        <w:t xml:space="preserve">In March 2024, the FASB issued ASU 2024-01, which clarifies how an entity determines whether a profits interest or similar award is a share-based payment arrangement that is within the scope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This accounting standard is effective for fiscal years beginning after December 15, 2024, including interim periods within those years, and early adoption is permitted. ASU 2024-01 can be applied retrospectively to all prior periods presented in the financial statements or prospectively to profits interest and similar awards granted or modified on or after the date at which the entity first applies this accounting standard. We early adopted ASU 2024-01 effective January 1, 2024 and will apply the amendments prospectively to profits interest and similar awards granted or modified on or after January 1, 2024. The adoption of this accounting standard did not have a material impact on our consolidated financial statements.</w:t>
      </w:r>
    </w:p>
    <w:p>
      <w:pPr>
        <w:spacing w:after="0" w:line="66"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 xml:space="preserve">In March 2024, the FASB issued ASU 2024-02,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xml:space="preserve"> to amend a variety of topics in the accounting codification by removing references to various FASB concepts statements. This accounting standard is effective for fiscal years beginning after December 15, 2024, and early adoption is permitted. ASU 2024-02 can be applied retrospectively to the beginning of the earliest comparative period presented in which the amendments were first applied or prospectively to all new transactions recognized on or after the date that the entity first applies the amendments. We early adopted ASU 2024-02 effective January 1, 2024 and will apply the amendments prospectively to all new transactions recognized on or after January 1, 2024. The adoption of this accounting standard did not have a material impact on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125" w:lineRule="exact"/>
        <w:rPr>
          <w:sz w:val="20"/>
          <w:szCs w:val="20"/>
          <w:color w:val="auto"/>
        </w:rPr>
      </w:pPr>
    </w:p>
    <w:p>
      <w:pPr>
        <w:ind w:right="200" w:firstLine="405"/>
        <w:spacing w:after="0" w:line="260"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xml:space="preserve"> which requires entities to disclose more detailed information in the reconciliation of their statutory tax rate to their effective tax rate as well as disclosures of income taxes paid disaggregated by jurisdiction. This accounting standard is effective for the fiscal year ending December 31, 2025, and will be applied prospectively with an option for retroactive application to each period in the financial statements. We are currently evaluating the impact of the adoption on our consolidated financial statements.</w:t>
      </w:r>
    </w:p>
    <w:p>
      <w:pPr>
        <w:spacing w:after="0" w:line="83" w:lineRule="exact"/>
        <w:rPr>
          <w:sz w:val="20"/>
          <w:szCs w:val="20"/>
          <w:color w:val="auto"/>
        </w:rPr>
      </w:pPr>
    </w:p>
    <w:p>
      <w:pPr>
        <w:ind w:right="300" w:firstLine="405"/>
        <w:spacing w:after="0" w:line="263" w:lineRule="auto"/>
        <w:rPr>
          <w:sz w:val="20"/>
          <w:szCs w:val="20"/>
          <w:color w:val="auto"/>
        </w:rPr>
      </w:pPr>
      <w:r>
        <w:rPr>
          <w:rFonts w:ascii="Arial" w:cs="Arial" w:eastAsia="Arial" w:hAnsi="Arial"/>
          <w:sz w:val="16"/>
          <w:szCs w:val="16"/>
          <w:color w:val="auto"/>
        </w:rPr>
        <w:t xml:space="preserve">In November 2024, FASB issued ASU 2024-03, </w:t>
      </w:r>
      <w:r>
        <w:rPr>
          <w:rFonts w:ascii="Arial" w:cs="Arial" w:eastAsia="Arial" w:hAnsi="Arial"/>
          <w:sz w:val="16"/>
          <w:szCs w:val="16"/>
          <w:i w:val="1"/>
          <w:iCs w:val="1"/>
          <w:color w:val="auto"/>
        </w:rPr>
        <w:t>Income Statement—Reporting Comprehensive Income—Expense Disaggregation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220-40): Disaggregation of Income Statement Expenses</w:t>
      </w:r>
      <w:r>
        <w:rPr>
          <w:rFonts w:ascii="Arial" w:cs="Arial" w:eastAsia="Arial" w:hAnsi="Arial"/>
          <w:sz w:val="16"/>
          <w:szCs w:val="16"/>
          <w:color w:val="auto"/>
        </w:rPr>
        <w:t>, which requires public business entities to disaggregate certain expense captions into</w:t>
      </w:r>
    </w:p>
    <w:p>
      <w:pPr>
        <w:ind w:right="40"/>
        <w:spacing w:after="0" w:line="256" w:lineRule="auto"/>
        <w:rPr>
          <w:sz w:val="20"/>
          <w:szCs w:val="20"/>
          <w:color w:val="auto"/>
        </w:rPr>
      </w:pPr>
      <w:r>
        <w:rPr>
          <w:rFonts w:ascii="Arial" w:cs="Arial" w:eastAsia="Arial" w:hAnsi="Arial"/>
          <w:sz w:val="16"/>
          <w:szCs w:val="16"/>
          <w:color w:val="auto"/>
        </w:rPr>
        <w:t xml:space="preserve">specific categories in disclosures within the notes to the financial statements. As further clarified by ASU 2025-01, </w:t>
      </w:r>
      <w:r>
        <w:rPr>
          <w:rFonts w:ascii="Arial" w:cs="Arial" w:eastAsia="Arial" w:hAnsi="Arial"/>
          <w:sz w:val="16"/>
          <w:szCs w:val="16"/>
          <w:i w:val="1"/>
          <w:iCs w:val="1"/>
          <w:color w:val="auto"/>
        </w:rPr>
        <w:t>Income Statement—Reporting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Income—Expense Disaggregation Disclosures (Subtopic 220-40), </w:t>
      </w:r>
      <w:r>
        <w:rPr>
          <w:rFonts w:ascii="Arial" w:cs="Arial" w:eastAsia="Arial" w:hAnsi="Arial"/>
          <w:sz w:val="16"/>
          <w:szCs w:val="16"/>
          <w:color w:val="auto"/>
        </w:rPr>
        <w:t>issued by FASB in January 2025, this accounting standard is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December 15, 2026, and interim periods within fiscal years beginning after December 15, 2027. The amendments in ASU 2024-03 should be applied either prospectively or retrospectively to any or all prior periods presented in the financial statements, and early adoption is permitted. We are currently evaluating the impact of the adoption on our consolidated financial statements.</w:t>
      </w:r>
    </w:p>
    <w:p>
      <w:pPr>
        <w:spacing w:after="0" w:line="87" w:lineRule="exact"/>
        <w:rPr>
          <w:sz w:val="20"/>
          <w:szCs w:val="20"/>
          <w:color w:val="auto"/>
        </w:rPr>
      </w:pPr>
    </w:p>
    <w:p>
      <w:pPr>
        <w:ind w:right="120" w:firstLine="405"/>
        <w:spacing w:after="0" w:line="260" w:lineRule="auto"/>
        <w:rPr>
          <w:sz w:val="20"/>
          <w:szCs w:val="20"/>
          <w:color w:val="auto"/>
        </w:rPr>
      </w:pPr>
      <w:r>
        <w:rPr>
          <w:rFonts w:ascii="Arial" w:cs="Arial" w:eastAsia="Arial" w:hAnsi="Arial"/>
          <w:sz w:val="16"/>
          <w:szCs w:val="16"/>
          <w:color w:val="auto"/>
        </w:rPr>
        <w:t xml:space="preserve">In November 2024, FASB issued ASU 2024-04, </w:t>
      </w:r>
      <w:r>
        <w:rPr>
          <w:rFonts w:ascii="Arial" w:cs="Arial" w:eastAsia="Arial" w:hAnsi="Arial"/>
          <w:sz w:val="16"/>
          <w:szCs w:val="16"/>
          <w:i w:val="1"/>
          <w:iCs w:val="1"/>
          <w:color w:val="auto"/>
        </w:rPr>
        <w:t>Debt—Debt with Conversion and Other Options (Subtopic 470-20): Induced Conversions of</w:t>
      </w:r>
      <w:r>
        <w:rPr>
          <w:rFonts w:ascii="Arial" w:cs="Arial" w:eastAsia="Arial" w:hAnsi="Arial"/>
          <w:sz w:val="16"/>
          <w:szCs w:val="16"/>
          <w:color w:val="auto"/>
        </w:rPr>
        <w:t xml:space="preserve"> </w:t>
      </w:r>
      <w:r>
        <w:rPr>
          <w:rFonts w:ascii="Arial" w:cs="Arial" w:eastAsia="Arial" w:hAnsi="Arial"/>
          <w:sz w:val="16"/>
          <w:szCs w:val="16"/>
          <w:i w:val="1"/>
          <w:iCs w:val="1"/>
          <w:color w:val="auto"/>
        </w:rPr>
        <w:t>Convertible Debt Instruments</w:t>
      </w:r>
      <w:r>
        <w:rPr>
          <w:rFonts w:ascii="Arial" w:cs="Arial" w:eastAsia="Arial" w:hAnsi="Arial"/>
          <w:sz w:val="16"/>
          <w:szCs w:val="16"/>
          <w:color w:val="auto"/>
        </w:rPr>
        <w:t>, which clarifies the requirements for determining whether certain settlements of convertible debt instruments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as an induced conversion. ASU 2024-04 is effective for annual reporting periods beginning after December 15, 2025, and interim reporting periods within those annual reporting periods. Early adoption is permitted as of the beginning of a reporting period if the entity has also adopted ASU 2020-06 for that period. Entities may apply the new guidance prospectively to settlements of convertible debt instruments that take place during annual reporting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3" w:name="page14"/>
    <w:bookmarkEnd w:id="13"/>
    <w:p>
      <w:pPr>
        <w:jc w:val="both"/>
        <w:ind w:right="240"/>
        <w:spacing w:after="0" w:line="275" w:lineRule="auto"/>
        <w:rPr>
          <w:sz w:val="20"/>
          <w:szCs w:val="20"/>
          <w:color w:val="auto"/>
        </w:rPr>
      </w:pPr>
      <w:r>
        <w:rPr>
          <w:rFonts w:ascii="Arial" w:cs="Arial" w:eastAsia="Arial" w:hAnsi="Arial"/>
          <w:sz w:val="16"/>
          <w:szCs w:val="16"/>
          <w:color w:val="auto"/>
        </w:rPr>
        <w:t>periods (and interim reporting periods within those annual reporting periods) beginning after the effective date of ASU 2024-04. Retrospective application may be elected as of the beginning of the first comparative reporting period in which the entity has also applied ASU 2020-06. We are currently evaluating the impact of the adoption on our consolidated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60" w:type="dxa"/>
            <w:vAlign w:val="bottom"/>
          </w:tcPr>
          <w:p>
            <w:pPr>
              <w:spacing w:after="0"/>
              <w:rPr>
                <w:sz w:val="20"/>
                <w:szCs w:val="20"/>
                <w:color w:val="auto"/>
              </w:rPr>
            </w:pPr>
            <w:r>
              <w:rPr>
                <w:rFonts w:ascii="Arial" w:cs="Arial" w:eastAsia="Arial" w:hAnsi="Arial"/>
                <w:sz w:val="16"/>
                <w:szCs w:val="16"/>
                <w:b w:val="1"/>
                <w:bCs w:val="1"/>
                <w:color w:val="auto"/>
              </w:rPr>
              <w:t>Note 3. Other Financial Statement Information</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10"/>
        </w:trPr>
        <w:tc>
          <w:tcPr>
            <w:tcW w:w="8360" w:type="dxa"/>
            <w:vAlign w:val="bottom"/>
          </w:tcPr>
          <w:p>
            <w:pPr>
              <w:spacing w:after="0"/>
              <w:rPr>
                <w:sz w:val="20"/>
                <w:szCs w:val="20"/>
                <w:color w:val="auto"/>
              </w:rPr>
            </w:pPr>
            <w:r>
              <w:rPr>
                <w:rFonts w:ascii="Arial" w:cs="Arial" w:eastAsia="Arial" w:hAnsi="Arial"/>
                <w:sz w:val="16"/>
                <w:szCs w:val="16"/>
                <w:i w:val="1"/>
                <w:iCs w:val="1"/>
                <w:color w:val="auto"/>
              </w:rPr>
              <w:t>Accounts Receivable</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8360" w:type="dxa"/>
            <w:vAlign w:val="bottom"/>
          </w:tcPr>
          <w:p>
            <w:pPr>
              <w:ind w:left="420"/>
              <w:spacing w:after="0"/>
              <w:rPr>
                <w:sz w:val="20"/>
                <w:szCs w:val="20"/>
                <w:color w:val="auto"/>
              </w:rPr>
            </w:pPr>
            <w:r>
              <w:rPr>
                <w:rFonts w:ascii="Arial" w:cs="Arial" w:eastAsia="Arial" w:hAnsi="Arial"/>
                <w:sz w:val="16"/>
                <w:szCs w:val="16"/>
                <w:color w:val="auto"/>
              </w:rPr>
              <w:t>Changes in the allowances consisted of the following (in thousands):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8"/>
        </w:trPr>
        <w:tc>
          <w:tcPr>
            <w:tcW w:w="8360" w:type="dxa"/>
            <w:vAlign w:val="bottom"/>
          </w:tcPr>
          <w:p>
            <w:pPr>
              <w:spacing w:after="0"/>
              <w:rPr>
                <w:sz w:val="24"/>
                <w:szCs w:val="24"/>
                <w:color w:val="auto"/>
              </w:rPr>
            </w:pPr>
          </w:p>
        </w:tc>
        <w:tc>
          <w:tcPr>
            <w:tcW w:w="2860" w:type="dxa"/>
            <w:vAlign w:val="bottom"/>
            <w:tcBorders>
              <w:bottom w:val="single" w:sz="8" w:color="auto"/>
            </w:tcBorders>
            <w:gridSpan w:val="5"/>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3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4,906</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Add: amounts recognized as a reduction of revenue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1,236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1,545</w:t>
            </w: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(less): allowance for credit losses recognized in general and administrative expense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write-offs, net of recoveries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w:t>
            </w:r>
          </w:p>
        </w:tc>
      </w:tr>
      <w:tr>
        <w:trPr>
          <w:trHeight w:val="23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2,624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Prepaid Expenses and Other Current Assets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ind w:left="420"/>
              <w:spacing w:after="0"/>
              <w:rPr>
                <w:sz w:val="20"/>
                <w:szCs w:val="20"/>
                <w:color w:val="auto"/>
              </w:rPr>
            </w:pPr>
            <w:r>
              <w:rPr>
                <w:rFonts w:ascii="Arial" w:cs="Arial" w:eastAsia="Arial" w:hAnsi="Arial"/>
                <w:sz w:val="16"/>
                <w:szCs w:val="16"/>
                <w:color w:val="auto"/>
              </w:rPr>
              <w:t>Prepaid expenses and other current assets consisted of the following (in thousands):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March 31, 2025</w:t>
            </w: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11,135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9,129</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Deferred cost of revenue</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3,789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1,670</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cloud computing development costs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Income tax receivable</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3,701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2,414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210"/>
        </w:trPr>
        <w:tc>
          <w:tcPr>
            <w:tcW w:w="8400" w:type="dxa"/>
            <w:vAlign w:val="bottom"/>
          </w:tcPr>
          <w:p>
            <w:pPr>
              <w:ind w:left="360"/>
              <w:spacing w:after="0"/>
              <w:rPr>
                <w:sz w:val="20"/>
                <w:szCs w:val="20"/>
                <w:color w:val="auto"/>
              </w:rPr>
            </w:pPr>
            <w:r>
              <w:rPr>
                <w:rFonts w:ascii="Arial" w:cs="Arial" w:eastAsia="Arial" w:hAnsi="Arial"/>
                <w:sz w:val="16"/>
                <w:szCs w:val="16"/>
                <w:color w:val="auto"/>
              </w:rPr>
              <w:t>Total prepaid expenses and other current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20,437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17,926</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6"/>
                <w:szCs w:val="16"/>
                <w:i w:val="1"/>
                <w:iCs w:val="1"/>
                <w:color w:val="auto"/>
              </w:rPr>
              <w:t>Goodwill</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5"/>
        </w:trPr>
        <w:tc>
          <w:tcPr>
            <w:tcW w:w="8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0" w:type="dxa"/>
            <w:vAlign w:val="bottom"/>
          </w:tcPr>
          <w:p>
            <w:pPr>
              <w:ind w:left="420"/>
              <w:spacing w:after="0"/>
              <w:rPr>
                <w:sz w:val="20"/>
                <w:szCs w:val="20"/>
                <w:color w:val="auto"/>
              </w:rPr>
            </w:pPr>
            <w:r>
              <w:rPr>
                <w:rFonts w:ascii="Arial" w:cs="Arial" w:eastAsia="Arial" w:hAnsi="Arial"/>
                <w:sz w:val="16"/>
                <w:szCs w:val="16"/>
                <w:color w:val="auto"/>
              </w:rPr>
              <w:t>The following table presents the changes in the carrying amount of goodwill (in thousands):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8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9"/>
              </w:rPr>
              <w:t>Amount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2024</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Acquisition</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141,131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40" w:firstLine="8"/>
        <w:spacing w:after="0" w:line="286"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relate to the acquisition of Formation Nation, Inc., or Formation Nation. Refer to Note 5. Acquisition to our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Accrued Expenses and Other Current Liabilities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2025</w:t>
            </w:r>
          </w:p>
        </w:tc>
        <w:tc>
          <w:tcPr>
            <w:tcW w:w="14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27,518</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Accrued vendor payables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15,895</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advertising</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Sales allowances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3,086</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sales, use and business taxes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6,984</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Deferred consideration relating to business acquired</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2,809</w:t>
            </w:r>
          </w:p>
        </w:tc>
        <w:tc>
          <w:tcPr>
            <w:tcW w:w="0" w:type="dxa"/>
            <w:vAlign w:val="bottom"/>
          </w:tcPr>
          <w:p>
            <w:pPr>
              <w:spacing w:after="0"/>
              <w:rPr>
                <w:sz w:val="1"/>
                <w:szCs w:val="1"/>
                <w:color w:val="auto"/>
              </w:rPr>
            </w:pPr>
          </w:p>
        </w:tc>
      </w:tr>
      <w:tr>
        <w:trPr>
          <w:trHeight w:val="210"/>
        </w:trPr>
        <w:tc>
          <w:tcPr>
            <w:tcW w:w="8400" w:type="dxa"/>
            <w:vAlign w:val="bottom"/>
          </w:tcPr>
          <w:p>
            <w:pPr>
              <w:ind w:left="360"/>
              <w:spacing w:after="0"/>
              <w:rPr>
                <w:sz w:val="20"/>
                <w:szCs w:val="20"/>
                <w:color w:val="auto"/>
              </w:rPr>
            </w:pPr>
            <w:r>
              <w:rPr>
                <w:rFonts w:ascii="Arial" w:cs="Arial" w:eastAsia="Arial" w:hAnsi="Arial"/>
                <w:sz w:val="16"/>
                <w:szCs w:val="16"/>
                <w:color w:val="auto"/>
              </w:rPr>
              <w:t>Total accrued expenses and other current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72,447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57,928</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revenue</w:t>
      </w:r>
    </w:p>
    <w:p>
      <w:pPr>
        <w:spacing w:after="0" w:line="111" w:lineRule="exact"/>
        <w:rPr>
          <w:sz w:val="20"/>
          <w:szCs w:val="20"/>
          <w:color w:val="auto"/>
        </w:rPr>
      </w:pPr>
    </w:p>
    <w:p>
      <w:pPr>
        <w:ind w:right="120" w:firstLine="405"/>
        <w:spacing w:after="0" w:line="275" w:lineRule="auto"/>
        <w:rPr>
          <w:sz w:val="20"/>
          <w:szCs w:val="20"/>
          <w:color w:val="auto"/>
        </w:rPr>
      </w:pPr>
      <w:r>
        <w:rPr>
          <w:rFonts w:ascii="Arial" w:cs="Arial" w:eastAsia="Arial" w:hAnsi="Arial"/>
          <w:sz w:val="16"/>
          <w:szCs w:val="16"/>
          <w:color w:val="auto"/>
        </w:rPr>
        <w:t>Deferred revenue as of March 31, 2025 and December 31, 2024 was $211.4 million and $175.0 million, respectively. Revenue recognized in the three months ended March 31, 2025 and 2024 that was included in deferred revenue as of December 31, 2024 and 2023 was $85.4 million and $84.1 million, respectively.</w:t>
      </w:r>
    </w:p>
    <w:p>
      <w:pPr>
        <w:spacing w:after="0" w:line="56" w:lineRule="exact"/>
        <w:rPr>
          <w:sz w:val="20"/>
          <w:szCs w:val="20"/>
          <w:color w:val="auto"/>
        </w:rPr>
      </w:pPr>
    </w:p>
    <w:p>
      <w:pPr>
        <w:ind w:right="200" w:firstLine="405"/>
        <w:spacing w:after="0" w:line="304" w:lineRule="auto"/>
        <w:rPr>
          <w:sz w:val="20"/>
          <w:szCs w:val="20"/>
          <w:color w:val="auto"/>
        </w:rPr>
      </w:pPr>
      <w:r>
        <w:rPr>
          <w:rFonts w:ascii="Arial" w:cs="Arial" w:eastAsia="Arial" w:hAnsi="Arial"/>
          <w:sz w:val="16"/>
          <w:szCs w:val="16"/>
          <w:color w:val="auto"/>
        </w:rPr>
        <w:t>We have omitted disclosure on the transaction price allocated to remaining performance obligations and the estimated timing of revenue recognition, as our contracts with customers that have a duration of more than one year are immaterial.</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11" w:lineRule="exact"/>
        <w:rPr>
          <w:sz w:val="20"/>
          <w:szCs w:val="20"/>
          <w:color w:val="auto"/>
        </w:rPr>
      </w:pPr>
    </w:p>
    <w:p>
      <w:pPr>
        <w:ind w:right="200" w:firstLine="405"/>
        <w:spacing w:after="0" w:line="304" w:lineRule="auto"/>
        <w:rPr>
          <w:sz w:val="20"/>
          <w:szCs w:val="20"/>
          <w:color w:val="auto"/>
        </w:rPr>
      </w:pPr>
      <w:r>
        <w:rPr>
          <w:rFonts w:ascii="Arial" w:cs="Arial" w:eastAsia="Arial" w:hAnsi="Arial"/>
          <w:sz w:val="16"/>
          <w:szCs w:val="16"/>
          <w:color w:val="auto"/>
        </w:rPr>
        <w:t>Depreciation and amortization expense of our property and equipment, including capitalized internal-use software, and intangible assets consisted of the following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4,467</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w:t>
            </w:r>
          </w:p>
        </w:tc>
      </w:tr>
      <w:tr>
        <w:trPr>
          <w:trHeight w:val="21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r>
      <w:tr>
        <w:trPr>
          <w:trHeight w:val="235"/>
        </w:trPr>
        <w:tc>
          <w:tcPr>
            <w:tcW w:w="8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depreciation and amortization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Sale of Assets Held for Sale</w:t>
      </w:r>
    </w:p>
    <w:p>
      <w:pPr>
        <w:spacing w:after="0" w:line="113" w:lineRule="exact"/>
        <w:rPr>
          <w:sz w:val="20"/>
          <w:szCs w:val="20"/>
          <w:color w:val="auto"/>
        </w:rPr>
      </w:pPr>
    </w:p>
    <w:p>
      <w:pPr>
        <w:ind w:right="140" w:firstLine="405"/>
        <w:spacing w:after="0" w:line="275" w:lineRule="auto"/>
        <w:rPr>
          <w:sz w:val="20"/>
          <w:szCs w:val="20"/>
          <w:color w:val="auto"/>
        </w:rPr>
      </w:pPr>
      <w:r>
        <w:rPr>
          <w:rFonts w:ascii="Arial" w:cs="Arial" w:eastAsia="Arial" w:hAnsi="Arial"/>
          <w:sz w:val="16"/>
          <w:szCs w:val="16"/>
          <w:color w:val="auto"/>
        </w:rPr>
        <w:t>In September 2022, following an evaluation of our office space and business requirements, we determined that our operational headquarters property at 9900 Spectrum Drive in Austin, Texas was no longer aligned with operational needs due to an increased shift to remote work. As a result, we initiated plans to sell the property consisting of land, a building and building improvements, and classified these assets as held for sale.</w:t>
      </w:r>
    </w:p>
    <w:p>
      <w:pPr>
        <w:spacing w:after="0" w:line="56" w:lineRule="exact"/>
        <w:rPr>
          <w:sz w:val="20"/>
          <w:szCs w:val="20"/>
          <w:color w:val="auto"/>
        </w:rPr>
      </w:pPr>
    </w:p>
    <w:p>
      <w:pPr>
        <w:jc w:val="both"/>
        <w:ind w:right="160" w:firstLine="405"/>
        <w:spacing w:after="0" w:line="275" w:lineRule="auto"/>
        <w:rPr>
          <w:sz w:val="20"/>
          <w:szCs w:val="20"/>
          <w:color w:val="auto"/>
        </w:rPr>
      </w:pPr>
      <w:r>
        <w:rPr>
          <w:rFonts w:ascii="Arial" w:cs="Arial" w:eastAsia="Arial" w:hAnsi="Arial"/>
          <w:sz w:val="16"/>
          <w:szCs w:val="16"/>
          <w:color w:val="auto"/>
        </w:rPr>
        <w:t>On September 24, 2024, we entered into a binding purchase and sale agreement for this property with Round Rock Independent School District. The sale was completed on March 31, 2025, and we received net cash proceeds of approximately $37.1 million after deducting selling costs such as brokerage commissions, title fees, and asset disposal costs.</w:t>
      </w:r>
    </w:p>
    <w:p>
      <w:pPr>
        <w:spacing w:after="0" w:line="70" w:lineRule="exact"/>
        <w:rPr>
          <w:sz w:val="20"/>
          <w:szCs w:val="20"/>
          <w:color w:val="auto"/>
        </w:rPr>
      </w:pPr>
    </w:p>
    <w:p>
      <w:pPr>
        <w:ind w:right="300" w:firstLine="405"/>
        <w:spacing w:after="0" w:line="286" w:lineRule="auto"/>
        <w:rPr>
          <w:sz w:val="20"/>
          <w:szCs w:val="20"/>
          <w:color w:val="auto"/>
        </w:rPr>
      </w:pPr>
      <w:r>
        <w:rPr>
          <w:rFonts w:ascii="Arial" w:cs="Arial" w:eastAsia="Arial" w:hAnsi="Arial"/>
          <w:sz w:val="16"/>
          <w:szCs w:val="16"/>
          <w:color w:val="auto"/>
        </w:rPr>
        <w:t>Prior to completion of the sale, the property had a carrying value of $22.7 million. As a result of the sale, we recognized a gain of $14.3 million. This gain is recorded in income from operations on the condensed consolidated statement of operations.</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2025, the property is fully derecognized from the balance sheet, and no amounts remain to be classified as held for sale.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Acquisition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Formation Nation, Inc.</w:t>
      </w:r>
    </w:p>
    <w:p>
      <w:pPr>
        <w:spacing w:after="0" w:line="125"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February 10, 2025, we acquired all of the outstanding equity interests of Formation Nation, Inc. in exchange for a total consideration of $83.2 million consisting of cash and equity consideration comprising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5" w:name="page16"/>
    <w:bookmarkEnd w:id="15"/>
    <w:p>
      <w:pPr>
        <w:ind w:right="140"/>
        <w:spacing w:after="0" w:line="275" w:lineRule="auto"/>
        <w:rPr>
          <w:sz w:val="20"/>
          <w:szCs w:val="20"/>
          <w:color w:val="auto"/>
        </w:rPr>
      </w:pPr>
      <w:r>
        <w:rPr>
          <w:rFonts w:ascii="Arial" w:cs="Arial" w:eastAsia="Arial" w:hAnsi="Arial"/>
          <w:sz w:val="16"/>
          <w:szCs w:val="16"/>
          <w:color w:val="auto"/>
        </w:rPr>
        <w:t>2,205,445 restricted shares of our common stock. The shares are subject to a lock-up and voting agreement, and a portion of the cash consideration is subject to a one-year holdback and customary adjustments. Upon closing of the transaction, Formation Nation and its subsidiaries – including Inc Authority, LLC and Nevada Corporate Headquarters, Inc. – became wholly owned subsidiaries of LegalZoom.</w:t>
      </w:r>
    </w:p>
    <w:p>
      <w:pPr>
        <w:spacing w:after="0" w:line="56"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Formation Nation is a Nevada-based small business services company with a range of legal and business solutions, from highly personalized offerings, to lower-cost value options. The acquisition of Formation Nation, along with its subsidiaries, was completed in order to accelerate our strategy of attracting higher value customers by leveraging Formation Nation’s best-in-class customer service teams, expand our portfolio of offerings, and enable us to reach a broader customer base.</w:t>
      </w:r>
    </w:p>
    <w:p>
      <w:pPr>
        <w:spacing w:after="0" w:line="78" w:lineRule="exact"/>
        <w:rPr>
          <w:sz w:val="20"/>
          <w:szCs w:val="20"/>
          <w:color w:val="auto"/>
        </w:rPr>
      </w:pPr>
    </w:p>
    <w:p>
      <w:pPr>
        <w:ind w:right="100" w:firstLine="405"/>
        <w:spacing w:after="0" w:line="275" w:lineRule="auto"/>
        <w:rPr>
          <w:sz w:val="20"/>
          <w:szCs w:val="20"/>
          <w:color w:val="auto"/>
        </w:rPr>
      </w:pPr>
      <w:r>
        <w:rPr>
          <w:rFonts w:ascii="Arial" w:cs="Arial" w:eastAsia="Arial" w:hAnsi="Arial"/>
          <w:sz w:val="16"/>
          <w:szCs w:val="16"/>
          <w:color w:val="auto"/>
        </w:rPr>
        <w:t>The acquisition meets the criteria to be accounted for as a business combination which requires, among other things, that assets acquired and liabilities assumed be recognized at their fair values as of the acquisition date and that the difference between the fair value of the consideration paid for the acquired entity and the fair value of net assets acquired be recorded as goodwill, which is not amortized but is tested at least annually for impairment.</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acquisition-date preliminary fair value of consideration transferred is as follows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at close</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50,076</w:t>
            </w:r>
          </w:p>
        </w:tc>
      </w:tr>
      <w:tr>
        <w:trPr>
          <w:trHeight w:val="215"/>
        </w:trPr>
        <w:tc>
          <w:tcPr>
            <w:tcW w:w="9860" w:type="dxa"/>
            <w:vAlign w:val="bottom"/>
          </w:tcPr>
          <w:p>
            <w:pPr>
              <w:ind w:left="20"/>
              <w:spacing w:after="0"/>
              <w:rPr>
                <w:sz w:val="20"/>
                <w:szCs w:val="20"/>
                <w:color w:val="auto"/>
              </w:rPr>
            </w:pPr>
            <w:r>
              <w:rPr>
                <w:rFonts w:ascii="Arial" w:cs="Arial" w:eastAsia="Arial" w:hAnsi="Arial"/>
                <w:sz w:val="16"/>
                <w:szCs w:val="16"/>
                <w:color w:val="auto"/>
              </w:rPr>
              <w:t>Equity consideration</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20,048</w:t>
            </w: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cash consideration</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13,058</w:t>
            </w:r>
          </w:p>
        </w:tc>
      </w:tr>
      <w:tr>
        <w:trPr>
          <w:trHeight w:val="210"/>
        </w:trPr>
        <w:tc>
          <w:tcPr>
            <w:tcW w:w="9860" w:type="dxa"/>
            <w:vAlign w:val="bottom"/>
          </w:tcPr>
          <w:p>
            <w:pPr>
              <w:ind w:left="20"/>
              <w:spacing w:after="0"/>
              <w:rPr>
                <w:sz w:val="20"/>
                <w:szCs w:val="20"/>
                <w:color w:val="auto"/>
              </w:rPr>
            </w:pPr>
            <w:r>
              <w:rPr>
                <w:rFonts w:ascii="Arial" w:cs="Arial" w:eastAsia="Arial" w:hAnsi="Arial"/>
                <w:sz w:val="16"/>
                <w:szCs w:val="16"/>
                <w:color w:val="auto"/>
              </w:rPr>
              <w:t>Total consideration transferred</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83,182</w:t>
            </w:r>
          </w:p>
        </w:tc>
      </w:tr>
      <w:tr>
        <w:trPr>
          <w:trHeight w:val="20"/>
        </w:trPr>
        <w:tc>
          <w:tcPr>
            <w:tcW w:w="9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The fair value of equity issued to the selling shareholder was determined based on the closing price of the Company’s common stock immediately prior to acquisition.</w:t>
      </w:r>
    </w:p>
    <w:p>
      <w:pPr>
        <w:spacing w:after="0" w:line="61" w:lineRule="exact"/>
        <w:rPr>
          <w:sz w:val="20"/>
          <w:szCs w:val="20"/>
          <w:color w:val="auto"/>
        </w:rPr>
      </w:pPr>
    </w:p>
    <w:p>
      <w:pPr>
        <w:ind w:right="60" w:firstLine="405"/>
        <w:spacing w:after="0" w:line="261" w:lineRule="auto"/>
        <w:rPr>
          <w:sz w:val="20"/>
          <w:szCs w:val="20"/>
          <w:color w:val="auto"/>
        </w:rPr>
      </w:pPr>
      <w:r>
        <w:rPr>
          <w:rFonts w:ascii="Arial" w:cs="Arial" w:eastAsia="Arial" w:hAnsi="Arial"/>
          <w:sz w:val="16"/>
          <w:szCs w:val="16"/>
          <w:color w:val="auto"/>
        </w:rPr>
        <w:t>Approximately $12.9 million of the consideration was deferred to satisfy any necessary adjustments, including without limitation, indemnification claims related to general representations and warranties, any net working capital adjustments and deferred change in control bonuses. This deferred consideration is expected to be settled in cash after a 12-month holdback period, net of any amounts necessary to satisfy all unsatisfied or disputed claims for indemnification and net working capital adjustments. An additional $0.2 million in consideration is payable in two installments on the one- and two-year anniversary of the acquisition date. The current portion of deferred consideration was recognized within accrued expenses and other current liabilities and the non-current portion was recognized within other liabilities on our condensed consolidated balance sheet based on their respective due dates.</w:t>
      </w:r>
    </w:p>
    <w:p>
      <w:pPr>
        <w:spacing w:after="0" w:line="68" w:lineRule="exact"/>
        <w:rPr>
          <w:sz w:val="20"/>
          <w:szCs w:val="20"/>
          <w:color w:val="auto"/>
        </w:rPr>
      </w:pPr>
    </w:p>
    <w:p>
      <w:pPr>
        <w:ind w:right="80" w:firstLine="405"/>
        <w:spacing w:after="0" w:line="261" w:lineRule="auto"/>
        <w:rPr>
          <w:sz w:val="20"/>
          <w:szCs w:val="20"/>
          <w:color w:val="auto"/>
        </w:rPr>
      </w:pPr>
      <w:r>
        <w:rPr>
          <w:rFonts w:ascii="Arial" w:cs="Arial" w:eastAsia="Arial" w:hAnsi="Arial"/>
          <w:sz w:val="16"/>
          <w:szCs w:val="16"/>
          <w:color w:val="auto"/>
        </w:rPr>
        <w:t>The identifiable assets acquired and liabilities assumed were recorded at their preliminary fair values as of the acquisition date and consolidated with those of the Company based on management's estimates and assumptions. Assigning fair market values to the assets acquired and liabilities assumed at the date of an acquisition requires the use of significant judgments regarding estimates and assumptions that may change during the measurement period, which will not exceed one year from the acquisition date. The estimated fair values of the customer relationships were calculated using income and cost approaches, including the multi-period excess earnings method. The estimated fair values of developed technology and in-process research &amp; development were calculated using cost approaches, and the estimated fair value of trade names was calculated using the relief from royalty method.</w:t>
      </w:r>
    </w:p>
    <w:p>
      <w:pPr>
        <w:spacing w:after="0" w:line="68" w:lineRule="exact"/>
        <w:rPr>
          <w:sz w:val="20"/>
          <w:szCs w:val="20"/>
          <w:color w:val="auto"/>
        </w:rPr>
      </w:pPr>
    </w:p>
    <w:p>
      <w:pPr>
        <w:ind w:right="180" w:firstLine="405"/>
        <w:spacing w:after="0" w:line="275" w:lineRule="auto"/>
        <w:rPr>
          <w:sz w:val="20"/>
          <w:szCs w:val="20"/>
          <w:color w:val="auto"/>
        </w:rPr>
      </w:pPr>
      <w:r>
        <w:rPr>
          <w:rFonts w:ascii="Arial" w:cs="Arial" w:eastAsia="Arial" w:hAnsi="Arial"/>
          <w:sz w:val="16"/>
          <w:szCs w:val="16"/>
          <w:color w:val="auto"/>
        </w:rPr>
        <w:t>Goodwill represents the excess of the purchase price over the identifiable net assets acquired arising from the business combination. The goodwill related to the acquisition was attributable largely to the assembled workforce and synergies expected from combining our operations, and is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ind w:left="420"/>
        <w:spacing w:after="0"/>
        <w:rPr>
          <w:sz w:val="20"/>
          <w:szCs w:val="20"/>
          <w:color w:val="auto"/>
        </w:rPr>
      </w:pPr>
      <w:r>
        <w:rPr>
          <w:rFonts w:ascii="Arial" w:cs="Arial" w:eastAsia="Arial" w:hAnsi="Arial"/>
          <w:sz w:val="16"/>
          <w:szCs w:val="16"/>
          <w:color w:val="auto"/>
        </w:rPr>
        <w:t>The following table summarizes the preliminary allocation of the purchase consideration to the assets acquired and liabilities assumed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r>
      <w:tr>
        <w:trPr>
          <w:trHeight w:val="215"/>
        </w:trPr>
        <w:tc>
          <w:tcPr>
            <w:tcW w:w="986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7"/>
        </w:trPr>
        <w:tc>
          <w:tcPr>
            <w:tcW w:w="9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15"/>
        </w:trPr>
        <w:tc>
          <w:tcPr>
            <w:tcW w:w="9860" w:type="dxa"/>
            <w:vAlign w:val="bottom"/>
          </w:tcPr>
          <w:p>
            <w:pPr>
              <w:ind w:left="160"/>
              <w:spacing w:after="0"/>
              <w:rPr>
                <w:sz w:val="20"/>
                <w:szCs w:val="20"/>
                <w:color w:val="auto"/>
              </w:rPr>
            </w:pPr>
            <w:r>
              <w:rPr>
                <w:rFonts w:ascii="Arial" w:cs="Arial" w:eastAsia="Arial" w:hAnsi="Arial"/>
                <w:sz w:val="16"/>
                <w:szCs w:val="16"/>
                <w:color w:val="auto"/>
              </w:rPr>
              <w:t>Operating lease right-of-use assets</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3,884</w:t>
            </w:r>
          </w:p>
        </w:tc>
      </w:tr>
      <w:tr>
        <w:trPr>
          <w:trHeight w:val="217"/>
        </w:trPr>
        <w:tc>
          <w:tcPr>
            <w:tcW w:w="9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assets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5"/>
        </w:trPr>
        <w:tc>
          <w:tcPr>
            <w:tcW w:w="986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17,300</w:t>
            </w:r>
          </w:p>
        </w:tc>
      </w:tr>
      <w:tr>
        <w:trPr>
          <w:trHeight w:val="217"/>
        </w:trPr>
        <w:tc>
          <w:tcPr>
            <w:tcW w:w="9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77,813</w:t>
            </w:r>
          </w:p>
        </w:tc>
      </w:tr>
      <w:tr>
        <w:trPr>
          <w:trHeight w:val="209"/>
        </w:trPr>
        <w:tc>
          <w:tcPr>
            <w:tcW w:w="9860" w:type="dxa"/>
            <w:vAlign w:val="bottom"/>
          </w:tcPr>
          <w:p>
            <w:pPr>
              <w:ind w:left="340"/>
              <w:spacing w:after="0"/>
              <w:rPr>
                <w:sz w:val="20"/>
                <w:szCs w:val="20"/>
                <w:color w:val="auto"/>
              </w:rPr>
            </w:pPr>
            <w:r>
              <w:rPr>
                <w:rFonts w:ascii="Arial" w:cs="Arial" w:eastAsia="Arial" w:hAnsi="Arial"/>
                <w:sz w:val="16"/>
                <w:szCs w:val="16"/>
                <w:color w:val="auto"/>
              </w:rPr>
              <w:t>Total assets acquired</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101,563</w:t>
            </w:r>
          </w:p>
        </w:tc>
      </w:tr>
      <w:tr>
        <w:trPr>
          <w:trHeight w:val="271"/>
        </w:trPr>
        <w:tc>
          <w:tcPr>
            <w:tcW w:w="9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15"/>
        </w:trPr>
        <w:tc>
          <w:tcPr>
            <w:tcW w:w="986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535</w:t>
            </w:r>
          </w:p>
        </w:tc>
      </w:tr>
      <w:tr>
        <w:trPr>
          <w:trHeight w:val="217"/>
        </w:trPr>
        <w:tc>
          <w:tcPr>
            <w:tcW w:w="9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4,744</w:t>
            </w:r>
          </w:p>
        </w:tc>
      </w:tr>
      <w:tr>
        <w:trPr>
          <w:trHeight w:val="215"/>
        </w:trPr>
        <w:tc>
          <w:tcPr>
            <w:tcW w:w="9860" w:type="dxa"/>
            <w:vAlign w:val="bottom"/>
          </w:tcPr>
          <w:p>
            <w:pPr>
              <w:ind w:left="160"/>
              <w:spacing w:after="0"/>
              <w:rPr>
                <w:sz w:val="20"/>
                <w:szCs w:val="20"/>
                <w:color w:val="auto"/>
              </w:rPr>
            </w:pPr>
            <w:r>
              <w:rPr>
                <w:rFonts w:ascii="Arial" w:cs="Arial" w:eastAsia="Arial" w:hAnsi="Arial"/>
                <w:sz w:val="16"/>
                <w:szCs w:val="16"/>
                <w:color w:val="auto"/>
              </w:rPr>
              <w:t>Operating lease liabilities, current and non-current</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3,504</w:t>
            </w:r>
          </w:p>
        </w:tc>
      </w:tr>
      <w:tr>
        <w:trPr>
          <w:trHeight w:val="217"/>
        </w:trPr>
        <w:tc>
          <w:tcPr>
            <w:tcW w:w="9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revenue</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9,582</w:t>
            </w:r>
          </w:p>
        </w:tc>
      </w:tr>
      <w:tr>
        <w:trPr>
          <w:trHeight w:val="215"/>
        </w:trPr>
        <w:tc>
          <w:tcPr>
            <w:tcW w:w="98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 liabilities</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5"/>
        </w:trPr>
        <w:tc>
          <w:tcPr>
            <w:tcW w:w="9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assets acquired</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83,182</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80" w:firstLine="405"/>
        <w:spacing w:after="0" w:line="286" w:lineRule="auto"/>
        <w:rPr>
          <w:sz w:val="20"/>
          <w:szCs w:val="20"/>
          <w:color w:val="auto"/>
        </w:rPr>
      </w:pPr>
      <w:r>
        <w:rPr>
          <w:rFonts w:ascii="Arial" w:cs="Arial" w:eastAsia="Arial" w:hAnsi="Arial"/>
          <w:sz w:val="16"/>
          <w:szCs w:val="16"/>
          <w:color w:val="auto"/>
        </w:rPr>
        <w:t>The following table summarizes the preliminary valuation of acquired intangible assets and estimated useful lives as of the acquisition date (in thousands, except years):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Fair Value</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Estimated remaining</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useful life</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11,200</w:t>
            </w:r>
          </w:p>
        </w:tc>
        <w:tc>
          <w:tcPr>
            <w:tcW w:w="2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3,400</w:t>
            </w:r>
          </w:p>
        </w:tc>
        <w:tc>
          <w:tcPr>
            <w:tcW w:w="206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2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In-process research &amp; development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2060" w:type="dxa"/>
            <w:vAlign w:val="bottom"/>
            <w:tcBorders>
              <w:bottom w:val="single" w:sz="8" w:color="CCEEFF"/>
            </w:tcBorders>
          </w:tcPr>
          <w:p>
            <w:pPr>
              <w:ind w:left="9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identifiable intangible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17,300</w:t>
            </w:r>
          </w:p>
        </w:tc>
        <w:tc>
          <w:tcPr>
            <w:tcW w:w="2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firstLine="405"/>
        <w:spacing w:after="0" w:line="304" w:lineRule="auto"/>
        <w:rPr>
          <w:sz w:val="20"/>
          <w:szCs w:val="20"/>
          <w:color w:val="auto"/>
        </w:rPr>
      </w:pPr>
      <w:r>
        <w:rPr>
          <w:rFonts w:ascii="Arial" w:cs="Arial" w:eastAsia="Arial" w:hAnsi="Arial"/>
          <w:sz w:val="16"/>
          <w:szCs w:val="16"/>
          <w:color w:val="auto"/>
        </w:rPr>
        <w:t>Acquisition costs related to this transaction of approximately $1.5 million were expensed as incurred and are included in general and administrative expenses on the unaudited condensed consolidated statements of operations.</w:t>
      </w:r>
    </w:p>
    <w:p>
      <w:pPr>
        <w:spacing w:after="0" w:line="33"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Results of Formation Nation, inclusive of any synergy effects, cross-selling, or cross-marketing benefits, have been included within the unaudited condensed consolidated financial statements since February 10, 2025, the date of the acquisition. Revenue and net loss attributable to Formation Nation included within the unaudited condensed consolidated statements of operations since the acquisition date were approximately $8.6 million and $0.8 million, respectively, for the three months ended March 31, 2025.</w:t>
      </w:r>
    </w:p>
    <w:p>
      <w:pPr>
        <w:spacing w:after="0" w:line="78" w:lineRule="exact"/>
        <w:rPr>
          <w:sz w:val="20"/>
          <w:szCs w:val="20"/>
          <w:color w:val="auto"/>
        </w:rPr>
      </w:pPr>
    </w:p>
    <w:p>
      <w:pPr>
        <w:ind w:right="460" w:firstLine="405"/>
        <w:spacing w:after="0" w:line="286" w:lineRule="auto"/>
        <w:rPr>
          <w:sz w:val="20"/>
          <w:szCs w:val="20"/>
          <w:color w:val="auto"/>
        </w:rPr>
      </w:pPr>
      <w:r>
        <w:rPr>
          <w:rFonts w:ascii="Arial" w:cs="Arial" w:eastAsia="Arial" w:hAnsi="Arial"/>
          <w:sz w:val="16"/>
          <w:szCs w:val="16"/>
          <w:color w:val="auto"/>
        </w:rPr>
        <w:t>Pro forma revenues and results of operations for this acquisition have not been presented as the impact on our consolidated financial statements would be immaterial.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Long-term Debt</w:t>
      </w:r>
    </w:p>
    <w:p>
      <w:pPr>
        <w:spacing w:after="0" w:line="221" w:lineRule="exact"/>
        <w:rPr>
          <w:sz w:val="20"/>
          <w:szCs w:val="20"/>
          <w:color w:val="auto"/>
        </w:rPr>
      </w:pPr>
    </w:p>
    <w:p>
      <w:pPr>
        <w:ind w:right="440" w:firstLine="405"/>
        <w:spacing w:after="0" w:line="275" w:lineRule="auto"/>
        <w:rPr>
          <w:sz w:val="20"/>
          <w:szCs w:val="20"/>
          <w:color w:val="auto"/>
        </w:rPr>
      </w:pPr>
      <w:r>
        <w:rPr>
          <w:rFonts w:ascii="Arial" w:cs="Arial" w:eastAsia="Arial" w:hAnsi="Arial"/>
          <w:sz w:val="16"/>
          <w:szCs w:val="16"/>
          <w:color w:val="auto"/>
        </w:rPr>
        <w:t>On July 2,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and up to</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17" w:name="page18"/>
    <w:bookmarkEnd w:id="17"/>
    <w:p>
      <w:pPr>
        <w:ind w:right="360"/>
        <w:spacing w:after="0" w:line="286" w:lineRule="auto"/>
        <w:rPr>
          <w:sz w:val="20"/>
          <w:szCs w:val="20"/>
          <w:color w:val="auto"/>
        </w:rPr>
      </w:pPr>
      <w:r>
        <w:rPr>
          <w:rFonts w:ascii="Arial" w:cs="Arial" w:eastAsia="Arial" w:hAnsi="Arial"/>
          <w:sz w:val="16"/>
          <w:szCs w:val="16"/>
          <w:color w:val="auto"/>
        </w:rPr>
        <w:t>$10.0 million in borrowings on same-day notice, referred to as swingline loans. Additional debt issuance costs of $0.8 million were allocated to the 2021 Revolving Facility.</w:t>
      </w:r>
    </w:p>
    <w:p>
      <w:pPr>
        <w:spacing w:after="0" w:line="61" w:lineRule="exact"/>
        <w:rPr>
          <w:sz w:val="20"/>
          <w:szCs w:val="20"/>
          <w:color w:val="auto"/>
        </w:rPr>
      </w:pPr>
    </w:p>
    <w:p>
      <w:pPr>
        <w:ind w:right="20" w:firstLine="405"/>
        <w:spacing w:after="0" w:line="261" w:lineRule="auto"/>
        <w:rPr>
          <w:sz w:val="20"/>
          <w:szCs w:val="20"/>
          <w:color w:val="auto"/>
        </w:rPr>
      </w:pPr>
      <w:r>
        <w:rPr>
          <w:rFonts w:ascii="Arial" w:cs="Arial" w:eastAsia="Arial" w:hAnsi="Arial"/>
          <w:sz w:val="16"/>
          <w:szCs w:val="16"/>
          <w:color w:val="auto"/>
        </w:rPr>
        <w:t>On May 5, 2023, we entered into an amendment to the 2021 Revolving Facility to replace the LIBOR interest rate benchmark with the Secured Overnight Financing Rate, or SOFR, benchmark, with a 0.10% credit spread adjustment to the SOFR benchmark, or Adjusted Term SOFR, for all available interest periods, provided that if the Adjusted Term SOFR is less than zero, the Adjusted Term SOFR shall be deemed to be zero. Other than the foregoing, the remaining terms of the 2021 Revolving Facility remained unchanged. The interest rate applicable to the 2021 Revolving Facility is subject to a 1.0% floor and is a rate equal to the greatest of (i) the administrative agent’s prime rate (ii) the federal funds effective rate plus 1/2 of 1.0% or (iii) Adjusted Term SOFR plus 1.0%.</w:t>
      </w:r>
    </w:p>
    <w:p>
      <w:pPr>
        <w:spacing w:after="0" w:line="68"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The interest rate margins under the 2021 Revolving Facility are subject to a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We have the option to voluntarily repay outstanding loans under the 2021 Revolving Facility at any time without premium or penalty, other than customary “breakage” costs with respect to SOFR loans. There is no scheduled amortization under the 2021 Revolving Facility. Any principal amount outstanding is due and payable in full at maturity, five years from the closing date of the 2021 Revolving Facility. 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our assets, subject to certain exceptions.</w:t>
      </w:r>
    </w:p>
    <w:p>
      <w:pPr>
        <w:spacing w:after="0" w:line="83" w:lineRule="exact"/>
        <w:rPr>
          <w:sz w:val="20"/>
          <w:szCs w:val="20"/>
          <w:color w:val="auto"/>
        </w:rPr>
      </w:pPr>
    </w:p>
    <w:p>
      <w:pPr>
        <w:ind w:firstLine="405"/>
        <w:spacing w:after="0" w:line="262" w:lineRule="auto"/>
        <w:rPr>
          <w:sz w:val="20"/>
          <w:szCs w:val="20"/>
          <w:color w:val="auto"/>
        </w:rPr>
      </w:pPr>
      <w:r>
        <w:rPr>
          <w:rFonts w:ascii="Arial" w:cs="Arial" w:eastAsia="Arial" w:hAnsi="Arial"/>
          <w:sz w:val="16"/>
          <w:szCs w:val="16"/>
          <w:color w:val="auto"/>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277" w:lineRule="exact"/>
        <w:rPr>
          <w:sz w:val="20"/>
          <w:szCs w:val="20"/>
          <w:color w:val="auto"/>
        </w:rPr>
      </w:pPr>
    </w:p>
    <w:p>
      <w:pPr>
        <w:ind w:right="120" w:firstLine="405"/>
        <w:spacing w:after="0" w:line="266" w:lineRule="auto"/>
        <w:rPr>
          <w:sz w:val="20"/>
          <w:szCs w:val="20"/>
          <w:color w:val="auto"/>
        </w:rPr>
      </w:pPr>
      <w:r>
        <w:rPr>
          <w:rFonts w:ascii="Arial" w:cs="Arial" w:eastAsia="Arial" w:hAnsi="Arial"/>
          <w:sz w:val="16"/>
          <w:szCs w:val="16"/>
          <w:color w:val="auto"/>
        </w:rPr>
        <w:t>The 2021 Revolving Facility requires compliance with a total net first lien leverage ratio not to exceed 4.50 to 1.00, or the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77"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At March 31, 2025 and December 31, 2024, we had no amounts outstanding under our 2021 Revolving Facility or any outstanding letters of credit and we were in compliance with all financial covenants.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11"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11"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Indemnification provisions in our third party service provider agreements provide that we will indemnify, hold harmless, and reimburse the indemnified parties on a case-by-case basis for losses suffered or incurred by the indemnified parties in connection with any claim by any third party as a result of our website, advertising, marketing, payment processing, collection or customer service activities. The maximum potential amount of future payments we could be required to make under these indemnification provisions is indeterminable.</w:t>
      </w:r>
    </w:p>
    <w:p>
      <w:pPr>
        <w:spacing w:after="0" w:line="65" w:lineRule="exact"/>
        <w:rPr>
          <w:sz w:val="20"/>
          <w:szCs w:val="20"/>
          <w:color w:val="auto"/>
        </w:rPr>
      </w:pPr>
    </w:p>
    <w:p>
      <w:pPr>
        <w:ind w:right="360" w:firstLine="405"/>
        <w:spacing w:after="0" w:line="304" w:lineRule="auto"/>
        <w:rPr>
          <w:sz w:val="20"/>
          <w:szCs w:val="20"/>
          <w:color w:val="auto"/>
        </w:rPr>
      </w:pPr>
      <w:r>
        <w:rPr>
          <w:rFonts w:ascii="Arial" w:cs="Arial" w:eastAsia="Arial" w:hAnsi="Arial"/>
          <w:sz w:val="16"/>
          <w:szCs w:val="16"/>
          <w:color w:val="auto"/>
        </w:rPr>
        <w:t>No amounts have been accrued or have been paid during any period presented as we believe the fair value of these indemnification obligations is immaterial.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Note 8. Stockholders’ Equity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Repurchase Program</w:t>
      </w:r>
    </w:p>
    <w:p>
      <w:pPr>
        <w:spacing w:after="0" w:line="125" w:lineRule="exact"/>
        <w:rPr>
          <w:sz w:val="20"/>
          <w:szCs w:val="20"/>
          <w:color w:val="auto"/>
        </w:rPr>
      </w:pPr>
    </w:p>
    <w:p>
      <w:pPr>
        <w:ind w:right="120" w:firstLine="405"/>
        <w:spacing w:after="0" w:line="256" w:lineRule="auto"/>
        <w:rPr>
          <w:sz w:val="20"/>
          <w:szCs w:val="20"/>
          <w:color w:val="auto"/>
        </w:rPr>
      </w:pPr>
      <w:r>
        <w:rPr>
          <w:rFonts w:ascii="Arial" w:cs="Arial" w:eastAsia="Arial" w:hAnsi="Arial"/>
          <w:sz w:val="16"/>
          <w:szCs w:val="16"/>
          <w:color w:val="auto"/>
        </w:rPr>
        <w:t>In October 2023, our board of directors approved a stock repurchase program authorizing repurchases of up to $100.0 million of our common stock, with no fixed expiration. In May 2024, our board of directors approved a $75.0 million increase in the stock repurchase program, bringing the aggregate amount authorized to $175.0 million. In November 2024, our board of directors approved an additional $40.0 million increase in the stock repurchase program, bringing the aggregate amount authorized to $215.0 million. Under this program, we are authorized to repurchase our common stock through any manner, including open market transactions, accelerated stock repurchase agreements, or privately negotiated transactions with third parties, and in such amounts as management deems appropriate. Open market repurchases may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repurchase any particular amount of common stock and may be modified, suspended or terminated at any time at the discretion of our board of directors. Shares repurchased under our stock repurchase program are purchased for immediate retirement.</w:t>
      </w:r>
    </w:p>
    <w:p>
      <w:pPr>
        <w:spacing w:after="0" w:line="89" w:lineRule="exact"/>
        <w:rPr>
          <w:sz w:val="20"/>
          <w:szCs w:val="20"/>
          <w:color w:val="auto"/>
        </w:rPr>
      </w:pPr>
    </w:p>
    <w:p>
      <w:pPr>
        <w:ind w:right="100" w:firstLine="405"/>
        <w:spacing w:after="0" w:line="266" w:lineRule="auto"/>
        <w:rPr>
          <w:sz w:val="20"/>
          <w:szCs w:val="20"/>
          <w:color w:val="auto"/>
        </w:rPr>
      </w:pPr>
      <w:r>
        <w:rPr>
          <w:rFonts w:ascii="Arial" w:cs="Arial" w:eastAsia="Arial" w:hAnsi="Arial"/>
          <w:sz w:val="16"/>
          <w:szCs w:val="16"/>
          <w:color w:val="auto"/>
        </w:rPr>
        <w:t>There were no repurchases of the Company’s common stock during the three months ended March 31, 2025. Approximately $50.0 million remained available for future repurchases of the Company’s common stock under the stock repurchase program as of March 31, 2025. Refer to Note 14. Subsequent Events to our condensed consolidated financial statements for additional information.</w:t>
      </w:r>
    </w:p>
    <w:p>
      <w:pPr>
        <w:spacing w:after="0" w:line="77" w:lineRule="exact"/>
        <w:rPr>
          <w:sz w:val="20"/>
          <w:szCs w:val="20"/>
          <w:color w:val="auto"/>
        </w:rPr>
      </w:pPr>
    </w:p>
    <w:p>
      <w:pPr>
        <w:ind w:right="80" w:firstLine="405"/>
        <w:spacing w:after="0" w:line="265" w:lineRule="auto"/>
        <w:rPr>
          <w:sz w:val="20"/>
          <w:szCs w:val="20"/>
          <w:color w:val="auto"/>
        </w:rPr>
      </w:pPr>
      <w:r>
        <w:rPr>
          <w:rFonts w:ascii="Arial" w:cs="Arial" w:eastAsia="Arial" w:hAnsi="Arial"/>
          <w:sz w:val="16"/>
          <w:szCs w:val="16"/>
          <w:color w:val="auto"/>
        </w:rPr>
        <w:t>The Inflation Reduction Act of 2022, enacted in August 2022, imposed a 1% non-deductible excise tax on net repurchases of shares by domestic corporations whose stock is traded on an established securities market. Consequently, this excise tax is applicable to shares of stock repurchased pursuant to our stock repurchase program beginning in 2023 and represents a cost of the repurchases of our common stock. We have not recognized an excise tax liability as of March 31, 2025, as there were no stock repurchases for the three months ended March 31, 2025.</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Stock-based Compensation</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11" w:lineRule="exact"/>
        <w:rPr>
          <w:sz w:val="20"/>
          <w:szCs w:val="20"/>
          <w:color w:val="auto"/>
        </w:rPr>
      </w:pPr>
    </w:p>
    <w:p>
      <w:pPr>
        <w:ind w:right="240" w:firstLine="405"/>
        <w:spacing w:after="0" w:line="304" w:lineRule="auto"/>
        <w:rPr>
          <w:sz w:val="20"/>
          <w:szCs w:val="20"/>
          <w:color w:val="auto"/>
        </w:rPr>
      </w:pPr>
      <w:r>
        <w:rPr>
          <w:rFonts w:ascii="Arial" w:cs="Arial" w:eastAsia="Arial" w:hAnsi="Arial"/>
          <w:sz w:val="16"/>
          <w:szCs w:val="16"/>
          <w:color w:val="auto"/>
        </w:rPr>
        <w:t>We recorded stock-based compensation expense in the following categories in the accompanying unaudited condensed consolidated statements of operations and balance sheets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1,579</w:t>
            </w: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5,703</w:t>
            </w:r>
          </w:p>
        </w:tc>
      </w:tr>
      <w:tr>
        <w:trPr>
          <w:trHeight w:val="24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5,981</w:t>
            </w:r>
          </w:p>
        </w:tc>
      </w:tr>
      <w:tr>
        <w:trPr>
          <w:trHeight w:val="210"/>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stock-based compensation expense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14,856</w:t>
            </w:r>
          </w:p>
        </w:tc>
      </w:tr>
      <w:tr>
        <w:trPr>
          <w:trHeight w:val="21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 capitalized to internal-use software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w:t>
            </w:r>
          </w:p>
        </w:tc>
      </w:tr>
      <w:tr>
        <w:trPr>
          <w:trHeight w:val="235"/>
        </w:trPr>
        <w:tc>
          <w:tcPr>
            <w:tcW w:w="8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stock-based compensation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w:t>
      </w:r>
    </w:p>
    <w:p>
      <w:pPr>
        <w:spacing w:after="0" w:line="111"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During the three months ended March 31, 2025, we granted 5.3 million restricted stock units, or RSUs, with a total grant date fair value of $52.3 million to various employees. RSUs are measured based on the fair market value of the underlying stock on the date of grant and recognized as expense over the requisite service period.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Income Taxes</w:t>
      </w:r>
    </w:p>
    <w:p>
      <w:pPr>
        <w:spacing w:after="0" w:line="235" w:lineRule="exact"/>
        <w:rPr>
          <w:sz w:val="20"/>
          <w:szCs w:val="20"/>
          <w:color w:val="auto"/>
        </w:rPr>
      </w:pPr>
    </w:p>
    <w:p>
      <w:pPr>
        <w:ind w:right="420" w:firstLine="405"/>
        <w:spacing w:after="0" w:line="286" w:lineRule="auto"/>
        <w:rPr>
          <w:sz w:val="20"/>
          <w:szCs w:val="20"/>
          <w:color w:val="auto"/>
        </w:rPr>
      </w:pPr>
      <w:r>
        <w:rPr>
          <w:rFonts w:ascii="Arial" w:cs="Arial" w:eastAsia="Arial" w:hAnsi="Arial"/>
          <w:sz w:val="16"/>
          <w:szCs w:val="16"/>
          <w:color w:val="auto"/>
        </w:rPr>
        <w:t>We recorded a provision for income taxes of $5.5 million and $3.2 million for the three months ended March 31, 2025 and 2024, respectively. The effective tax rate for the three months ended March 31, 2025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19" w:name="page20"/>
    <w:bookmarkEnd w:id="19"/>
    <w:p>
      <w:pPr>
        <w:ind w:right="240"/>
        <w:spacing w:after="0" w:line="286" w:lineRule="auto"/>
        <w:rPr>
          <w:sz w:val="20"/>
          <w:szCs w:val="20"/>
          <w:color w:val="auto"/>
        </w:rPr>
      </w:pPr>
      <w:r>
        <w:rPr>
          <w:rFonts w:ascii="Arial" w:cs="Arial" w:eastAsia="Arial" w:hAnsi="Arial"/>
          <w:sz w:val="16"/>
          <w:szCs w:val="16"/>
          <w:color w:val="auto"/>
        </w:rPr>
        <w:t>2024 was 52% and 41%, respectively. The difference from the federal statutory rate of 21% is primarily due to the recognition of significant non-deductible stock-based compensation and other discrete adjustments.</w:t>
      </w:r>
    </w:p>
    <w:p>
      <w:pPr>
        <w:spacing w:after="0" w:line="61" w:lineRule="exact"/>
        <w:rPr>
          <w:sz w:val="20"/>
          <w:szCs w:val="20"/>
          <w:color w:val="auto"/>
        </w:rPr>
      </w:pPr>
    </w:p>
    <w:p>
      <w:pPr>
        <w:ind w:right="60" w:firstLine="405"/>
        <w:spacing w:after="0" w:line="260" w:lineRule="auto"/>
        <w:rPr>
          <w:sz w:val="20"/>
          <w:szCs w:val="20"/>
          <w:color w:val="auto"/>
        </w:rPr>
      </w:pPr>
      <w:r>
        <w:rPr>
          <w:rFonts w:ascii="Arial" w:cs="Arial" w:eastAsia="Arial" w:hAnsi="Arial"/>
          <w:sz w:val="16"/>
          <w:szCs w:val="16"/>
          <w:color w:val="auto"/>
        </w:rPr>
        <w:t>Gross unrecognized tax benefits were $14.8 million and $13.4 million as of March 31, 2025 and December 31, 2024, respectively. The gross unrecognized tax benefits, if recognized by us, will result in a reduction of approximately $14.1 million, excluding interest and penalties, to the provision for income taxes, thereby favorably impacting our effective tax rate. Our policy is to recognize interest and penalties related to income tax matters in income tax expense. For the periods presented, interest and penalties related to income tax positions were not material to our unaudited condensed consolidated financial statements.</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subject to taxation and file income tax returns in the U.S. federal, state, and foreign jurisdictions. The federal income tax returns for the years</w:t>
      </w:r>
    </w:p>
    <w:p>
      <w:pPr>
        <w:spacing w:after="0" w:line="21"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color w:val="auto"/>
        </w:rPr>
        <w:t>2021 and forward and state income tax returns for the tax years 2008 and forward remain open to examination. We are under examination in two states which are not expected to have an impact on our results of operations, cash flows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Net Income Per Share</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computation of basic and diluted net income per share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19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210"/>
        </w:trPr>
        <w:tc>
          <w:tcPr>
            <w:tcW w:w="8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4,744</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5"/>
        </w:trPr>
        <w:tc>
          <w:tcPr>
            <w:tcW w:w="8360" w:type="dxa"/>
            <w:vAlign w:val="bottom"/>
          </w:tcPr>
          <w:p>
            <w:pPr>
              <w:ind w:left="140"/>
              <w:spacing w:after="0"/>
              <w:rPr>
                <w:sz w:val="20"/>
                <w:szCs w:val="20"/>
                <w:color w:val="auto"/>
              </w:rPr>
            </w:pPr>
            <w:r>
              <w:rPr>
                <w:rFonts w:ascii="Arial" w:cs="Arial" w:eastAsia="Arial" w:hAnsi="Arial"/>
                <w:sz w:val="16"/>
                <w:szCs w:val="16"/>
                <w:color w:val="auto"/>
              </w:rPr>
              <w:t>Weighted-average common stock used in computing net income per share — basic</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176,829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188,618</w:t>
            </w:r>
          </w:p>
        </w:tc>
      </w:tr>
      <w:tr>
        <w:trPr>
          <w:trHeight w:val="217"/>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potentially dilutive securities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60" w:type="dxa"/>
            <w:vAlign w:val="bottom"/>
          </w:tcPr>
          <w:p>
            <w:pPr>
              <w:ind w:left="520"/>
              <w:spacing w:after="0"/>
              <w:rPr>
                <w:sz w:val="20"/>
                <w:szCs w:val="20"/>
                <w:color w:val="auto"/>
              </w:rPr>
            </w:pPr>
            <w:r>
              <w:rPr>
                <w:rFonts w:ascii="Arial" w:cs="Arial" w:eastAsia="Arial" w:hAnsi="Arial"/>
                <w:sz w:val="16"/>
                <w:szCs w:val="16"/>
                <w:color w:val="auto"/>
              </w:rPr>
              <w:t>Options to purchase common stock</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2,055</w:t>
            </w:r>
          </w:p>
        </w:tc>
      </w:tr>
      <w:tr>
        <w:trPr>
          <w:trHeight w:val="217"/>
        </w:trPr>
        <w:tc>
          <w:tcPr>
            <w:tcW w:w="83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RSUs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r>
      <w:tr>
        <w:trPr>
          <w:trHeight w:val="215"/>
        </w:trPr>
        <w:tc>
          <w:tcPr>
            <w:tcW w:w="83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Employee stock purchase plan</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common stock used in computing net income per share — diluted</w:t>
            </w: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193,397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36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number of stock options, RSUs, and PSUs excluded from the calculation of diluted net income per share because they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are anti-dilutive (in thousands):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8400" w:type="dxa"/>
            <w:vAlign w:val="bottom"/>
          </w:tcPr>
          <w:p>
            <w:pPr>
              <w:spacing w:after="0"/>
              <w:rPr>
                <w:sz w:val="19"/>
                <w:szCs w:val="19"/>
                <w:color w:val="auto"/>
              </w:rPr>
            </w:pPr>
          </w:p>
        </w:tc>
        <w:tc>
          <w:tcPr>
            <w:tcW w:w="28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4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to purchase common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10,298</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6,910</w:t>
            </w:r>
          </w:p>
        </w:tc>
      </w:tr>
      <w:tr>
        <w:trPr>
          <w:trHeight w:val="216"/>
        </w:trPr>
        <w:tc>
          <w:tcPr>
            <w:tcW w:w="8400" w:type="dxa"/>
            <w:vAlign w:val="bottom"/>
          </w:tcPr>
          <w:p>
            <w:pPr>
              <w:ind w:left="20"/>
              <w:spacing w:after="0" w:line="216" w:lineRule="exact"/>
              <w:rPr>
                <w:sz w:val="20"/>
                <w:szCs w:val="20"/>
                <w:color w:val="auto"/>
              </w:rPr>
            </w:pPr>
            <w:r>
              <w:rPr>
                <w:rFonts w:ascii="Arial" w:cs="Arial" w:eastAsia="Arial" w:hAnsi="Arial"/>
                <w:sz w:val="16"/>
                <w:szCs w:val="16"/>
                <w:color w:val="auto"/>
              </w:rPr>
              <w:t>RSUs</w:t>
            </w:r>
            <w:r>
              <w:rPr>
                <w:rFonts w:ascii="Arial" w:cs="Arial" w:eastAsia="Arial" w:hAnsi="Arial"/>
                <w:sz w:val="21"/>
                <w:szCs w:val="21"/>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22,495</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5,223</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0"/>
        </w:trPr>
        <w:tc>
          <w:tcPr>
            <w:tcW w:w="8400" w:type="dxa"/>
            <w:vAlign w:val="bottom"/>
          </w:tcPr>
          <w:p>
            <w:pPr>
              <w:ind w:left="44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32,805</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12,163</w:t>
            </w:r>
          </w:p>
        </w:tc>
      </w:tr>
      <w:tr>
        <w:trPr>
          <w:trHeight w:val="20"/>
        </w:trPr>
        <w:tc>
          <w:tcPr>
            <w:tcW w:w="8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firstLine="8"/>
        <w:spacing w:after="0" w:line="286"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three months ended March 31, 2025, anti-dilutive RSUs include RSU awards with a market vesting condition granted in July 2024 and reflected at 200% of target, and RSU awards with market vesting condition granted in November 2024 and reflected at 325% of target.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Fair Value Measurements</w:t>
      </w:r>
    </w:p>
    <w:p>
      <w:pPr>
        <w:spacing w:after="0" w:line="221"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upon the lowest level of input that is significant to the fair value measurement. The fair value hierarchy is as follows: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1 — Quoted prices in active markets for identical assets and liabilities.</w:t>
      </w:r>
    </w:p>
    <w:p>
      <w:pPr>
        <w:spacing w:after="0" w:line="127" w:lineRule="exact"/>
        <w:rPr>
          <w:sz w:val="20"/>
          <w:szCs w:val="20"/>
          <w:color w:val="auto"/>
        </w:rPr>
      </w:pPr>
    </w:p>
    <w:p>
      <w:pPr>
        <w:ind w:left="1140" w:hanging="728"/>
        <w:spacing w:after="0" w:line="286" w:lineRule="auto"/>
        <w:rPr>
          <w:sz w:val="20"/>
          <w:szCs w:val="20"/>
          <w:color w:val="auto"/>
        </w:rPr>
      </w:pPr>
      <w:r>
        <w:rPr>
          <w:rFonts w:ascii="Arial" w:cs="Arial" w:eastAsia="Arial" w:hAnsi="Arial"/>
          <w:sz w:val="16"/>
          <w:szCs w:val="16"/>
          <w:color w:val="auto"/>
        </w:rPr>
        <w:t>Level 2 — Quoted prices for identical assets and liabilities in markets that are not active, quoted prices for similar assets and liabilities in active markets or financial instruments for which significant inputs are observable, either directly or indirectly.</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13"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At March 31, 2025 and December 31, 2024, our financial assets recorded at fair value on a recurring basis consist of cash equivalents and available-for-sale debt security. The cash equivalents consist of money market funds valued using quoted prices in active markets, which represents Level 1 inputs in the fair value hierarchy. As of March 31, 2025, the fair value of our available-for-sale debt security was valued based on the expected proceeds from a pending sale transaction scheduled to close during the second quarter 2025. Given the observable nature of the transaction terms, the investment is classified as a Level 2 input in the fair value hierarchy.</w:t>
      </w:r>
    </w:p>
    <w:p>
      <w:pPr>
        <w:spacing w:after="0" w:line="64"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The carrying amounts of accounts receivable, accounts payable and accrued expenses and other current liabilities approximate fair values because of the short-term nature of these items.</w:t>
      </w:r>
    </w:p>
    <w:p>
      <w:pPr>
        <w:spacing w:after="0" w:line="61" w:lineRule="exact"/>
        <w:rPr>
          <w:sz w:val="20"/>
          <w:szCs w:val="20"/>
          <w:color w:val="auto"/>
        </w:rPr>
      </w:pPr>
    </w:p>
    <w:p>
      <w:pPr>
        <w:ind w:right="40" w:firstLine="405"/>
        <w:spacing w:after="0" w:line="272" w:lineRule="auto"/>
        <w:rPr>
          <w:sz w:val="20"/>
          <w:szCs w:val="20"/>
          <w:color w:val="auto"/>
        </w:rPr>
      </w:pPr>
      <w:r>
        <w:rPr>
          <w:rFonts w:ascii="Arial" w:cs="Arial" w:eastAsia="Arial" w:hAnsi="Arial"/>
          <w:sz w:val="16"/>
          <w:szCs w:val="16"/>
          <w:color w:val="auto"/>
        </w:rPr>
        <w:t>The following tables summarize our assets and liabilities that are measured at fair value on a recurring basis, by level, within the fair value hierarchy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As of March 31, 2025</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6"/>
        </w:trPr>
        <w:tc>
          <w:tcPr>
            <w:tcW w:w="6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9"/>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15"/>
        </w:trPr>
        <w:tc>
          <w:tcPr>
            <w:tcW w:w="692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148,916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r>
      <w:tr>
        <w:trPr>
          <w:trHeight w:val="235"/>
        </w:trPr>
        <w:tc>
          <w:tcPr>
            <w:tcW w:w="6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148,916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As of December 31, 2024</w:t>
            </w:r>
          </w:p>
        </w:tc>
        <w:tc>
          <w:tcPr>
            <w:tcW w:w="1080" w:type="dxa"/>
            <w:vAlign w:val="bottom"/>
            <w:tcBorders>
              <w:bottom w:val="single" w:sz="8" w:color="auto"/>
            </w:tcBorders>
          </w:tcPr>
          <w:p>
            <w:pPr>
              <w:spacing w:after="0"/>
              <w:rPr>
                <w:sz w:val="19"/>
                <w:szCs w:val="19"/>
                <w:color w:val="auto"/>
              </w:rPr>
            </w:pPr>
          </w:p>
        </w:tc>
      </w:tr>
      <w:tr>
        <w:trPr>
          <w:trHeight w:val="220"/>
        </w:trPr>
        <w:tc>
          <w:tcPr>
            <w:tcW w:w="6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9"/>
                <w:szCs w:val="19"/>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3</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r>
      <w:tr>
        <w:trPr>
          <w:trHeight w:val="23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Money market funds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114,690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Segment Information</w:t>
      </w:r>
    </w:p>
    <w:p>
      <w:pPr>
        <w:spacing w:after="0" w:line="113" w:lineRule="exact"/>
        <w:rPr>
          <w:sz w:val="20"/>
          <w:szCs w:val="20"/>
          <w:color w:val="auto"/>
        </w:rPr>
      </w:pPr>
    </w:p>
    <w:p>
      <w:pPr>
        <w:ind w:right="80" w:firstLine="405"/>
        <w:spacing w:after="0" w:line="265" w:lineRule="auto"/>
        <w:rPr>
          <w:sz w:val="20"/>
          <w:szCs w:val="20"/>
          <w:color w:val="auto"/>
        </w:rPr>
      </w:pPr>
      <w:r>
        <w:rPr>
          <w:rFonts w:ascii="Arial" w:cs="Arial" w:eastAsia="Arial" w:hAnsi="Arial"/>
          <w:sz w:val="16"/>
          <w:szCs w:val="16"/>
          <w:color w:val="auto"/>
        </w:rPr>
        <w:t xml:space="preserve">Our Chief Executive Officer, as the Chief Operating Decision Maker, or CODM, organizes our company, manages resource allocations, and measures performance on the basis of one operating segment on a consolidated basis. The accounting policies of our operating segment are the same as those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CODM assesses performance for the segment and decides how to allocate resources based on net income (loss) that also is reported on the accompanying condensed consolidated statements of operations as consolidated net income (loss). The measure of segment assets is reported on the accompanying condensed consolidated balance sheets as total assets.</w:t>
      </w:r>
    </w:p>
    <w:p>
      <w:pPr>
        <w:spacing w:after="0" w:line="64" w:lineRule="exact"/>
        <w:rPr>
          <w:sz w:val="20"/>
          <w:szCs w:val="20"/>
          <w:color w:val="auto"/>
        </w:rPr>
      </w:pPr>
    </w:p>
    <w:p>
      <w:pPr>
        <w:ind w:right="480" w:firstLine="405"/>
        <w:spacing w:after="0" w:line="304" w:lineRule="auto"/>
        <w:rPr>
          <w:sz w:val="20"/>
          <w:szCs w:val="20"/>
          <w:color w:val="auto"/>
        </w:rPr>
      </w:pPr>
      <w:r>
        <w:rPr>
          <w:rFonts w:ascii="Arial" w:cs="Arial" w:eastAsia="Arial" w:hAnsi="Arial"/>
          <w:sz w:val="16"/>
          <w:szCs w:val="16"/>
          <w:color w:val="auto"/>
        </w:rPr>
        <w:t>The CODM uses net income (loss) to evaluate income generated from segment assets in making key operating and segment resource allocation decisions, such as investments in new product development. Net income (loss) is also used to monitor budget versus actual results.</w:t>
      </w:r>
    </w:p>
    <w:p>
      <w:pPr>
        <w:spacing w:after="0" w:line="33" w:lineRule="exact"/>
        <w:rPr>
          <w:sz w:val="20"/>
          <w:szCs w:val="20"/>
          <w:color w:val="auto"/>
        </w:rPr>
      </w:pPr>
    </w:p>
    <w:p>
      <w:pPr>
        <w:ind w:right="60" w:firstLine="405"/>
        <w:spacing w:after="0" w:line="262" w:lineRule="auto"/>
        <w:rPr>
          <w:sz w:val="20"/>
          <w:szCs w:val="20"/>
          <w:color w:val="auto"/>
        </w:rPr>
      </w:pPr>
      <w:r>
        <w:rPr>
          <w:rFonts w:ascii="Arial" w:cs="Arial" w:eastAsia="Arial" w:hAnsi="Arial"/>
          <w:sz w:val="16"/>
          <w:szCs w:val="16"/>
          <w:color w:val="auto"/>
        </w:rPr>
        <w:t xml:space="preserve">The Company has one reportable segment which provides an online platform for business formation in the United States, or U.S., and, as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generates revenue from customized legal document services and subscriptions offered to our customers. Revenue outside of the U.S., based on the location of the customer, represented less than 1% of our unaudited consolidated revenue for the three months ended March 31, 2025 and 2024. Our property and equipment and ROU assets located outside of the U.S. were immaterial as of March 31, 2025 and 2024.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financial information by reportable segment regularly provided to the CODM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7"/>
        </w:trPr>
        <w:tc>
          <w:tcPr>
            <w:tcW w:w="8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66,317</w:t>
            </w:r>
          </w:p>
        </w:tc>
        <w:tc>
          <w:tcPr>
            <w:tcW w:w="0" w:type="dxa"/>
            <w:vAlign w:val="bottom"/>
          </w:tcPr>
          <w:p>
            <w:pPr>
              <w:spacing w:after="0"/>
              <w:rPr>
                <w:sz w:val="1"/>
                <w:szCs w:val="1"/>
                <w:color w:val="auto"/>
              </w:rPr>
            </w:pPr>
          </w:p>
        </w:tc>
      </w:tr>
      <w:tr>
        <w:trPr>
          <w:trHeight w:val="215"/>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Subscription revenue</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116,257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107,897</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174,214</w:t>
            </w:r>
          </w:p>
        </w:tc>
        <w:tc>
          <w:tcPr>
            <w:tcW w:w="0" w:type="dxa"/>
            <w:vAlign w:val="bottom"/>
          </w:tcPr>
          <w:p>
            <w:pPr>
              <w:spacing w:after="0"/>
              <w:rPr>
                <w:sz w:val="1"/>
                <w:szCs w:val="1"/>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Less: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Filings fees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24,813</w:t>
            </w:r>
          </w:p>
        </w:tc>
        <w:tc>
          <w:tcPr>
            <w:tcW w:w="0" w:type="dxa"/>
            <w:vAlign w:val="bottom"/>
          </w:tcPr>
          <w:p>
            <w:pPr>
              <w:spacing w:after="0"/>
              <w:rPr>
                <w:sz w:val="1"/>
                <w:szCs w:val="1"/>
                <w:color w:val="auto"/>
              </w:rPr>
            </w:pPr>
          </w:p>
        </w:tc>
      </w:tr>
      <w:tr>
        <w:trPr>
          <w:trHeight w:val="215"/>
        </w:trPr>
        <w:tc>
          <w:tcPr>
            <w:tcW w:w="8300" w:type="dxa"/>
            <w:vAlign w:val="bottom"/>
          </w:tcPr>
          <w:p>
            <w:pPr>
              <w:ind w:left="360"/>
              <w:spacing w:after="0"/>
              <w:rPr>
                <w:sz w:val="20"/>
                <w:szCs w:val="20"/>
                <w:color w:val="auto"/>
              </w:rPr>
            </w:pPr>
            <w:r>
              <w:rPr>
                <w:rFonts w:ascii="Arial" w:cs="Arial" w:eastAsia="Arial" w:hAnsi="Arial"/>
                <w:sz w:val="16"/>
                <w:szCs w:val="16"/>
                <w:color w:val="auto"/>
              </w:rPr>
              <w:t>Other cost of revenue, excluding depreciation, amortization and stock-based compensation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34,966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37,511</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acquisition marketing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40,563</w:t>
            </w:r>
          </w:p>
        </w:tc>
        <w:tc>
          <w:tcPr>
            <w:tcW w:w="0" w:type="dxa"/>
            <w:vAlign w:val="bottom"/>
          </w:tcPr>
          <w:p>
            <w:pPr>
              <w:spacing w:after="0"/>
              <w:rPr>
                <w:sz w:val="1"/>
                <w:szCs w:val="1"/>
                <w:color w:val="auto"/>
              </w:rPr>
            </w:pPr>
          </w:p>
        </w:tc>
      </w:tr>
      <w:tr>
        <w:trPr>
          <w:trHeight w:val="215"/>
        </w:trPr>
        <w:tc>
          <w:tcPr>
            <w:tcW w:w="8300" w:type="dxa"/>
            <w:vAlign w:val="bottom"/>
          </w:tcPr>
          <w:p>
            <w:pPr>
              <w:ind w:left="360"/>
              <w:spacing w:after="0"/>
              <w:rPr>
                <w:sz w:val="20"/>
                <w:szCs w:val="20"/>
                <w:color w:val="auto"/>
              </w:rPr>
            </w:pPr>
            <w:r>
              <w:rPr>
                <w:rFonts w:ascii="Arial" w:cs="Arial" w:eastAsia="Arial" w:hAnsi="Arial"/>
                <w:sz w:val="16"/>
                <w:szCs w:val="16"/>
                <w:color w:val="auto"/>
              </w:rPr>
              <w:t>Other sales and marketing, excluding depreciation, amortization and stock-based compensation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10,812</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Technology and development, excluding depreciation, amortization and stock-based compensation</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16,777</w:t>
            </w:r>
          </w:p>
        </w:tc>
        <w:tc>
          <w:tcPr>
            <w:tcW w:w="0" w:type="dxa"/>
            <w:vAlign w:val="bottom"/>
          </w:tcPr>
          <w:p>
            <w:pPr>
              <w:spacing w:after="0"/>
              <w:rPr>
                <w:sz w:val="1"/>
                <w:szCs w:val="1"/>
                <w:color w:val="auto"/>
              </w:rPr>
            </w:pPr>
          </w:p>
        </w:tc>
      </w:tr>
      <w:tr>
        <w:trPr>
          <w:trHeight w:val="162"/>
        </w:trPr>
        <w:tc>
          <w:tcPr>
            <w:tcW w:w="8300" w:type="dxa"/>
            <w:vAlign w:val="bottom"/>
          </w:tcPr>
          <w:p>
            <w:pPr>
              <w:ind w:left="360"/>
              <w:spacing w:after="0" w:line="162" w:lineRule="exact"/>
              <w:rPr>
                <w:sz w:val="20"/>
                <w:szCs w:val="20"/>
                <w:color w:val="auto"/>
              </w:rPr>
            </w:pPr>
            <w:r>
              <w:rPr>
                <w:rFonts w:ascii="Arial" w:cs="Arial" w:eastAsia="Arial" w:hAnsi="Arial"/>
                <w:sz w:val="16"/>
                <w:szCs w:val="16"/>
                <w:color w:val="auto"/>
              </w:rPr>
              <w:t>General and administrative, excluding depreciation, amortization, stock-based compensation, and</w:t>
            </w: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16,482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15,836</w:t>
            </w:r>
          </w:p>
        </w:tc>
        <w:tc>
          <w:tcPr>
            <w:tcW w:w="0" w:type="dxa"/>
            <w:vAlign w:val="bottom"/>
          </w:tcPr>
          <w:p>
            <w:pPr>
              <w:spacing w:after="0"/>
              <w:rPr>
                <w:sz w:val="1"/>
                <w:szCs w:val="1"/>
                <w:color w:val="auto"/>
              </w:rPr>
            </w:pPr>
          </w:p>
        </w:tc>
      </w:tr>
      <w:tr>
        <w:trPr>
          <w:trHeight w:val="215"/>
        </w:trPr>
        <w:tc>
          <w:tcPr>
            <w:tcW w:w="830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14,856</w:t>
            </w:r>
          </w:p>
        </w:tc>
        <w:tc>
          <w:tcPr>
            <w:tcW w:w="0" w:type="dxa"/>
            <w:vAlign w:val="bottom"/>
          </w:tcPr>
          <w:p>
            <w:pPr>
              <w:spacing w:after="0"/>
              <w:rPr>
                <w:sz w:val="1"/>
                <w:szCs w:val="1"/>
                <w:color w:val="auto"/>
              </w:rPr>
            </w:pPr>
          </w:p>
        </w:tc>
      </w:tr>
      <w:tr>
        <w:trPr>
          <w:trHeight w:val="215"/>
        </w:trPr>
        <w:tc>
          <w:tcPr>
            <w:tcW w:w="83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7,670</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0" w:type="dxa"/>
            <w:vAlign w:val="bottom"/>
          </w:tcPr>
          <w:p>
            <w:pPr>
              <w:spacing w:after="0"/>
              <w:rPr>
                <w:sz w:val="1"/>
                <w:szCs w:val="1"/>
                <w:color w:val="auto"/>
              </w:rPr>
            </w:pPr>
          </w:p>
        </w:tc>
      </w:tr>
      <w:tr>
        <w:trPr>
          <w:trHeight w:val="215"/>
        </w:trPr>
        <w:tc>
          <w:tcPr>
            <w:tcW w:w="830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Restructuring</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6"/>
        </w:trPr>
        <w:tc>
          <w:tcPr>
            <w:tcW w:w="8300" w:type="dxa"/>
            <w:vAlign w:val="bottom"/>
          </w:tcPr>
          <w:p>
            <w:pPr>
              <w:ind w:left="360"/>
              <w:spacing w:after="0" w:line="216" w:lineRule="exact"/>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w:t>
            </w:r>
          </w:p>
        </w:tc>
        <w:tc>
          <w:tcPr>
            <w:tcW w:w="0" w:type="dxa"/>
            <w:vAlign w:val="bottom"/>
          </w:tcPr>
          <w:p>
            <w:pPr>
              <w:spacing w:after="0"/>
              <w:rPr>
                <w:sz w:val="1"/>
                <w:szCs w:val="1"/>
                <w:color w:val="auto"/>
              </w:rPr>
            </w:pPr>
          </w:p>
        </w:tc>
      </w:tr>
      <w:tr>
        <w:trPr>
          <w:trHeight w:val="215"/>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Gain on sale of assets held for sale</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net income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4,744</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Reconciliation of profit or loss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Adjustments and reconciling items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Arial" w:cs="Arial" w:eastAsia="Arial" w:hAnsi="Arial"/>
                <w:sz w:val="16"/>
                <w:szCs w:val="16"/>
                <w:color w:val="auto"/>
              </w:rPr>
              <w:t>Consolidated 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5,127</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4,744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00" w:hanging="211"/>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6"/>
          <w:szCs w:val="16"/>
          <w:color w:val="auto"/>
        </w:rPr>
        <w:t>For 2025 and 2024, restructuring costs related to the reduction of our U.S. headcount.</w:t>
      </w:r>
    </w:p>
    <w:p>
      <w:pPr>
        <w:spacing w:after="0" w:line="113" w:lineRule="exact"/>
        <w:rPr>
          <w:rFonts w:ascii="Arial" w:cs="Arial" w:eastAsia="Arial" w:hAnsi="Arial"/>
          <w:sz w:val="14"/>
          <w:szCs w:val="14"/>
          <w:color w:val="auto"/>
        </w:rPr>
      </w:pPr>
    </w:p>
    <w:p>
      <w:pPr>
        <w:ind w:left="80" w:firstLine="9"/>
        <w:spacing w:after="0" w:line="286" w:lineRule="auto"/>
        <w:tabs>
          <w:tab w:leader="none" w:pos="323"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segment items included in segment net income primarily consist of foreign currency gains or losses related to our intercompany loans which were denominated in British Pound Sterling, or GBP, and included in other income, net on the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Subsequent Events</w:t>
      </w:r>
    </w:p>
    <w:p>
      <w:pPr>
        <w:spacing w:after="0" w:line="113"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Subsequent to March 31, 2025, in May 2025, our Board of Directors approved a $100.0 million increase in our stock repurchase program, bringing the aggregate amount authorized to $315.0 million. As of the date of this filing, approximately $150.0 million remained available for future repurchases of our common stock under the stock repurchase program. For additional information regarding our stock repurchase program, refer to Note 8 to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4" w:right="39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23"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2024 Annual Report on Form 10-K filed with the Securities and Exchange Commission, or SEC, on February 26, 2025 and our other filings with the SEC. The following discussion contains forward-looking statements based upon current plans, expectations and beliefs and that involve risks and uncertainties. Our actual results may differ materially from those anticipated in these forward-looking statements as a result of various factors, including those set forth in the "Risk Factors" section of this Quarterly Report on Form 10-Q. See “Forward-Looking Statements” preceding Part I of this Quarterly Report on Form 10-Q.</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ind w:firstLine="405"/>
        <w:spacing w:after="0" w:line="260" w:lineRule="auto"/>
        <w:rPr>
          <w:sz w:val="20"/>
          <w:szCs w:val="20"/>
          <w:color w:val="auto"/>
        </w:rPr>
      </w:pPr>
      <w:r>
        <w:rPr>
          <w:rFonts w:ascii="Arial" w:cs="Arial" w:eastAsia="Arial" w:hAnsi="Arial"/>
          <w:sz w:val="16"/>
          <w:szCs w:val="16"/>
          <w:color w:val="auto"/>
        </w:rPr>
        <w:t>LegalZoom is a leading online platform for legal services, transforming how individuals and small businesses navigate the legal system. By combining intuitive technology with access to experienced attorneys—whether through our vast independent attorney network or LegalZoom Legal Services (LZLS) law firm—we offer the tools and guidance people need to confidently manage everything from business formation and compliance to estate planning and ongoing legal support. We operate across all 50 states and in over 3,000 counties in the U.S. With over two decades of experience and millions of customers served, LegalZoom helps individuals and small businesses navigate legal needs with confidence.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 and Updates</w:t>
      </w:r>
    </w:p>
    <w:p>
      <w:pPr>
        <w:spacing w:after="0" w:line="221" w:lineRule="exact"/>
        <w:rPr>
          <w:sz w:val="20"/>
          <w:szCs w:val="20"/>
          <w:color w:val="auto"/>
        </w:rPr>
      </w:pPr>
    </w:p>
    <w:p>
      <w:pPr>
        <w:ind w:left="740" w:right="20" w:hanging="327"/>
        <w:spacing w:after="0" w:line="262" w:lineRule="auto"/>
        <w:tabs>
          <w:tab w:leader="none" w:pos="716"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February 10, 2025, we acquired all of the outstanding equity interests of Formation Nation, Inc., or Formation Nation, for total cash consideration of $64.7 million (before any working capital adjustments) and equity consideration in the form of 2,205,445 restricted shares of our common stock. The cash consideration was reduced by $1.6 million in the three months ended March 31, 2025 due to working capital adjustments and also includes deferred consideration of $13.1 million. The shares are subject to a lock-up and voting agreement. Upon closing of the transaction, Formation Nation, Inc. and its subsidiaries – including Inc Authority, LLC and Nevada Corporate Headquarters, Inc. – became wholly owned subsidiaries of LegalZoom. Refer to Note 5. Acquisition to our unaudited condensed consolidated financial statements for additional information.</w:t>
      </w:r>
    </w:p>
    <w:p>
      <w:pPr>
        <w:spacing w:after="0" w:line="266" w:lineRule="exact"/>
        <w:rPr>
          <w:rFonts w:ascii="Arial" w:cs="Arial" w:eastAsia="Arial" w:hAnsi="Arial"/>
          <w:sz w:val="16"/>
          <w:szCs w:val="16"/>
          <w:color w:val="auto"/>
        </w:rPr>
      </w:pPr>
    </w:p>
    <w:p>
      <w:pPr>
        <w:ind w:left="720" w:hanging="307"/>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March 2025, we announced the appointment of Pratik Savai as our new Chief Technology Officer.</w:t>
      </w:r>
    </w:p>
    <w:p>
      <w:pPr>
        <w:spacing w:after="0" w:line="248" w:lineRule="exact"/>
        <w:rPr>
          <w:rFonts w:ascii="Arial" w:cs="Arial" w:eastAsia="Arial" w:hAnsi="Arial"/>
          <w:sz w:val="16"/>
          <w:szCs w:val="16"/>
          <w:color w:val="auto"/>
        </w:rPr>
      </w:pPr>
    </w:p>
    <w:p>
      <w:pPr>
        <w:ind w:left="740" w:right="280" w:hanging="327"/>
        <w:spacing w:after="0" w:line="304" w:lineRule="auto"/>
        <w:tabs>
          <w:tab w:leader="none" w:pos="716"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March 31, 2025, we closed on the sale of our real property located at 9900 Spectrum Drive, Austin, Texas 78717 for an aggregate purchase price of $37.8 million. Net proceeds to us, after deducting selling costs, were $37.1 million.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believe that our future performance will depend on many factors, including the following:</w:t>
      </w:r>
    </w:p>
    <w:p>
      <w:pPr>
        <w:spacing w:after="0" w:line="113" w:lineRule="exact"/>
        <w:rPr>
          <w:sz w:val="20"/>
          <w:szCs w:val="20"/>
          <w:color w:val="auto"/>
        </w:rPr>
      </w:pPr>
    </w:p>
    <w:p>
      <w:pPr>
        <w:ind w:left="740" w:right="140" w:hanging="317"/>
        <w:spacing w:after="0" w:line="265" w:lineRule="auto"/>
        <w:tabs>
          <w:tab w:leader="none" w:pos="71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Macroeconomic factors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Adverse changes in, or uncertainty with respect to, general macroeconomic, political, regulatory and market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negatively impact consumer spending patterns, the success of existing small businesses and the formation of new small businesses. While we continue to actively monitor the impacts of the evolving macroeconomic environment on all aspects of our business, future negative or decelerating impacts from factors such as inflation, tariffs, higher interest rates, regulatory obstacles or changes in laws and regulations remain uncertain.</w:t>
      </w:r>
    </w:p>
    <w:p>
      <w:pPr>
        <w:spacing w:after="0" w:line="64" w:lineRule="exact"/>
        <w:rPr>
          <w:rFonts w:ascii="Arial" w:cs="Arial" w:eastAsia="Arial" w:hAnsi="Arial"/>
          <w:sz w:val="16"/>
          <w:szCs w:val="16"/>
          <w:color w:val="auto"/>
        </w:rPr>
      </w:pPr>
    </w:p>
    <w:p>
      <w:pPr>
        <w:ind w:left="740" w:hanging="317"/>
        <w:spacing w:after="0" w:line="265" w:lineRule="auto"/>
        <w:tabs>
          <w:tab w:leader="none" w:pos="71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Our share of business formations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three months ended March 31, 2025 and 2024, business formations represented the largest share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total transaction orders. Business formations act as an entrance point for many customers to the LegalZoom ecosystem, where they then often purchase a mix of transaction and subscription offerings alongside and after the initial formation transaction. As a result, our operating results depend on the continuation of new business formations in the U.S. and even more so, on our ability to increase our share of these formations.</w:t>
      </w:r>
    </w:p>
    <w:p>
      <w:pPr>
        <w:spacing w:after="0" w:line="64" w:lineRule="exact"/>
        <w:rPr>
          <w:rFonts w:ascii="Arial" w:cs="Arial" w:eastAsia="Arial" w:hAnsi="Arial"/>
          <w:sz w:val="16"/>
          <w:szCs w:val="16"/>
          <w:color w:val="auto"/>
        </w:rPr>
      </w:pPr>
    </w:p>
    <w:p>
      <w:pPr>
        <w:ind w:left="740" w:right="60" w:hanging="317"/>
        <w:spacing w:after="0" w:line="265" w:lineRule="auto"/>
        <w:tabs>
          <w:tab w:leader="none" w:pos="71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Ability to enhance customer lifetime value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future performance depends on our ability to integrate new products and services into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LegalZoom ecosystem and to increase recurring revenue through subscription offerings. As we continue to test new and existing products and services in order to optimize our product line-up, including testing various commercialization strategies for those offerings, we have experienced and we expect to continue to experience increased volatility across our key business metrics. In addition, in an effort to enhance customer lifetime value, we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3" w:name="page24"/>
    <w:bookmarkEnd w:id="23"/>
    <w:p>
      <w:pPr>
        <w:ind w:left="740" w:right="520"/>
        <w:spacing w:after="0" w:line="286" w:lineRule="auto"/>
        <w:rPr>
          <w:sz w:val="20"/>
          <w:szCs w:val="20"/>
          <w:color w:val="auto"/>
        </w:rPr>
      </w:pPr>
      <w:r>
        <w:rPr>
          <w:rFonts w:ascii="Arial" w:cs="Arial" w:eastAsia="Arial" w:hAnsi="Arial"/>
          <w:sz w:val="16"/>
          <w:szCs w:val="16"/>
          <w:color w:val="auto"/>
        </w:rPr>
        <w:t>intend to continue to invest in improving our customer experience, which includes investments in our educational content and improving our website and mobile experience.</w:t>
      </w:r>
    </w:p>
    <w:p>
      <w:pPr>
        <w:spacing w:after="0" w:line="61" w:lineRule="exact"/>
        <w:rPr>
          <w:sz w:val="20"/>
          <w:szCs w:val="20"/>
          <w:color w:val="auto"/>
        </w:rPr>
      </w:pPr>
    </w:p>
    <w:p>
      <w:pPr>
        <w:ind w:left="740" w:right="160" w:hanging="317"/>
        <w:spacing w:after="0" w:line="265" w:lineRule="auto"/>
        <w:tabs>
          <w:tab w:leader="none" w:pos="71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Ability to integrate experts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our expert offerings significantly expand our addressable market. We aim to increase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consumption of our higher-cost expert offerings through targeted cross-selling and promotion of our products, as well as by improving the platforms through which our customers and experts interact. The extent to which we are able to integrate experts into our LegalZoom ecosystem and increase the consumption of our expert offerings by new and existing customers will impact our future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235"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In addition to the measures presented in our unaudited condensed consolidated financial statements, we regularly monitor the financial and operating metrics below to evaluate the growth of our business, measure the effectiveness of our marketing efforts, identify trends, formulate financial forecasts and make strategic decisions. For the three months ended March 31, 2025, Formation Nation is included in the key business metrics below starting on February 10, 2025, the date we acquired Formation Nation. Prior periods have not been recast.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business formations</w:t>
      </w:r>
    </w:p>
    <w:p>
      <w:pPr>
        <w:spacing w:after="0" w:line="233"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We define the number of business formations in a given period as the number of limited liability company, or LLC, incorporation, not-for-profit and doing business as, or DBA, orders placed on our platform in such period. We consider the number of business formations to be an important metric considering that it is typically the first product or service small business customers purchase on our platform, creating the foundation for additional products and subsequent subscription revenue as customers adopt additional products and services throughout the lifecycle of their business.</w:t>
      </w:r>
    </w:p>
    <w:p>
      <w:pPr>
        <w:spacing w:after="0" w:line="65" w:lineRule="exact"/>
        <w:rPr>
          <w:sz w:val="20"/>
          <w:szCs w:val="20"/>
          <w:color w:val="auto"/>
        </w:rPr>
      </w:pPr>
    </w:p>
    <w:p>
      <w:pPr>
        <w:ind w:right="220" w:firstLine="405"/>
        <w:spacing w:after="0" w:line="275" w:lineRule="auto"/>
        <w:rPr>
          <w:sz w:val="20"/>
          <w:szCs w:val="20"/>
          <w:color w:val="auto"/>
        </w:rPr>
      </w:pPr>
      <w:r>
        <w:rPr>
          <w:rFonts w:ascii="Arial" w:cs="Arial" w:eastAsia="Arial" w:hAnsi="Arial"/>
          <w:sz w:val="16"/>
          <w:szCs w:val="16"/>
          <w:color w:val="auto"/>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spacing w:after="0" w:line="56" w:lineRule="exact"/>
        <w:rPr>
          <w:sz w:val="20"/>
          <w:szCs w:val="20"/>
          <w:color w:val="auto"/>
        </w:rPr>
      </w:pPr>
    </w:p>
    <w:p>
      <w:pPr>
        <w:ind w:right="100" w:firstLine="405"/>
        <w:spacing w:after="0" w:line="304" w:lineRule="auto"/>
        <w:rPr>
          <w:sz w:val="20"/>
          <w:szCs w:val="20"/>
          <w:color w:val="auto"/>
        </w:rPr>
      </w:pPr>
      <w:r>
        <w:rPr>
          <w:rFonts w:ascii="Arial" w:cs="Arial" w:eastAsia="Arial" w:hAnsi="Arial"/>
          <w:sz w:val="16"/>
          <w:szCs w:val="16"/>
          <w:color w:val="auto"/>
        </w:rPr>
        <w:t>Furthermore, we believe our definition of the number of business formations is most closely aligned with U.S. Census reporting of new applications for Employer Identification Numbers, or EINs, which we believe to be the most relevant source of publicly available U.S. market data.</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the number of business formations for the three months ended March 31, 2025 and 2024:</w:t>
      </w:r>
    </w:p>
    <w:p>
      <w:pPr>
        <w:spacing w:after="0" w:line="275"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r>
      <w:tr>
        <w:trPr>
          <w:trHeight w:val="214"/>
        </w:trPr>
        <w:tc>
          <w:tcPr>
            <w:tcW w:w="8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r>
      <w:tr>
        <w:trPr>
          <w:trHeight w:val="29"/>
        </w:trPr>
        <w:tc>
          <w:tcPr>
            <w:tcW w:w="8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300" w:type="dxa"/>
            <w:vAlign w:val="bottom"/>
            <w:gridSpan w:val="2"/>
            <w:shd w:val="clear" w:color="auto" w:fill="CCEEFF"/>
          </w:tcPr>
          <w:p>
            <w:pPr>
              <w:jc w:val="right"/>
              <w:ind w:right="6959"/>
              <w:spacing w:after="0"/>
              <w:rPr>
                <w:sz w:val="20"/>
                <w:szCs w:val="20"/>
                <w:color w:val="auto"/>
              </w:rPr>
            </w:pPr>
            <w:r>
              <w:rPr>
                <w:rFonts w:ascii="Arial" w:cs="Arial" w:eastAsia="Arial" w:hAnsi="Arial"/>
                <w:sz w:val="16"/>
                <w:szCs w:val="16"/>
                <w:color w:val="auto"/>
              </w:rPr>
              <w:t>Number of business formations</w:t>
            </w:r>
          </w:p>
        </w:tc>
        <w:tc>
          <w:tcPr>
            <w:tcW w:w="10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131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bl>
    <w:p>
      <w:pPr>
        <w:spacing w:after="0" w:line="283"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We experienced a 6% decrease in business formation transactions during the three months ended March 31, 2025 compared to the three months ended March 31, 2024, in part due to a continuing challenging macroeconomic environment, partially offset by our Formation Nation acquisition. Formation Nation contributed approximately 6% of total business formations during the three months ended March 31, 2025. Overall U.S. business formations declined by 5% during the three months ended March 31, 2025, compared to the three months ended March 31, 2024, based on a review of U.S. Census data revealing new applications for EINs.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transactions</w:t>
      </w:r>
    </w:p>
    <w:p>
      <w:pPr>
        <w:spacing w:after="0" w:line="233" w:lineRule="exact"/>
        <w:rPr>
          <w:sz w:val="20"/>
          <w:szCs w:val="20"/>
          <w:color w:val="auto"/>
        </w:rPr>
      </w:pPr>
    </w:p>
    <w:p>
      <w:pPr>
        <w:ind w:right="160" w:firstLine="405"/>
        <w:spacing w:after="0" w:line="260" w:lineRule="auto"/>
        <w:rPr>
          <w:sz w:val="20"/>
          <w:szCs w:val="20"/>
          <w:color w:val="auto"/>
        </w:rPr>
      </w:pPr>
      <w:r>
        <w:rPr>
          <w:rFonts w:ascii="Arial" w:cs="Arial" w:eastAsia="Arial" w:hAnsi="Arial"/>
          <w:sz w:val="16"/>
          <w:szCs w:val="16"/>
          <w:color w:val="auto"/>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ind w:right="200"/>
        <w:spacing w:after="0" w:line="286" w:lineRule="auto"/>
        <w:rPr>
          <w:sz w:val="20"/>
          <w:szCs w:val="20"/>
          <w:color w:val="auto"/>
        </w:rPr>
      </w:pPr>
      <w:r>
        <w:rPr>
          <w:rFonts w:ascii="Arial" w:cs="Arial" w:eastAsia="Arial" w:hAnsi="Arial"/>
          <w:sz w:val="16"/>
          <w:szCs w:val="16"/>
          <w:color w:val="auto"/>
        </w:rPr>
        <w:t>considering that our customers generally begin their LegalZoom journey with a transaction, creating the foundation for generating subsequent subscription revenue.</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the number of transactions for the three months ended March 31, 2025 and 2024:</w:t>
      </w:r>
    </w:p>
    <w:p>
      <w:pPr>
        <w:spacing w:after="0" w:line="262"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r>
      <w:tr>
        <w:trPr>
          <w:trHeight w:val="214"/>
        </w:trPr>
        <w:tc>
          <w:tcPr>
            <w:tcW w:w="8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r>
      <w:tr>
        <w:trPr>
          <w:trHeight w:val="29"/>
        </w:trPr>
        <w:tc>
          <w:tcPr>
            <w:tcW w:w="8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300" w:type="dxa"/>
            <w:vAlign w:val="bottom"/>
            <w:gridSpan w:val="2"/>
            <w:shd w:val="clear" w:color="auto" w:fill="CCEEFF"/>
          </w:tcPr>
          <w:p>
            <w:pPr>
              <w:jc w:val="right"/>
              <w:ind w:right="7499"/>
              <w:spacing w:after="0"/>
              <w:rPr>
                <w:sz w:val="20"/>
                <w:szCs w:val="20"/>
                <w:color w:val="auto"/>
              </w:rPr>
            </w:pPr>
            <w:r>
              <w:rPr>
                <w:rFonts w:ascii="Arial" w:cs="Arial" w:eastAsia="Arial" w:hAnsi="Arial"/>
                <w:sz w:val="16"/>
                <w:szCs w:val="16"/>
                <w:color w:val="auto"/>
              </w:rPr>
              <w:t>Number of transactions</w:t>
            </w:r>
          </w:p>
        </w:tc>
        <w:tc>
          <w:tcPr>
            <w:tcW w:w="10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341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r>
    </w:tbl>
    <w:p>
      <w:pPr>
        <w:spacing w:after="0" w:line="296" w:lineRule="exact"/>
        <w:rPr>
          <w:sz w:val="20"/>
          <w:szCs w:val="20"/>
          <w:color w:val="auto"/>
        </w:rPr>
      </w:pPr>
    </w:p>
    <w:p>
      <w:pPr>
        <w:ind w:right="340" w:firstLine="405"/>
        <w:spacing w:after="0" w:line="265" w:lineRule="auto"/>
        <w:rPr>
          <w:sz w:val="20"/>
          <w:szCs w:val="20"/>
          <w:color w:val="auto"/>
        </w:rPr>
      </w:pPr>
      <w:r>
        <w:rPr>
          <w:rFonts w:ascii="Arial" w:cs="Arial" w:eastAsia="Arial" w:hAnsi="Arial"/>
          <w:sz w:val="16"/>
          <w:szCs w:val="16"/>
          <w:color w:val="auto"/>
        </w:rPr>
        <w:t>We experienced a 1% increase in the number of transactions during the three months ended March 31, 2025 compared to the three months ended March 31, 2024, primarily due to an increase in annual report filings from our compliance subscriber base and the inclusion of transactions from our Formation Nation acquisition. This increase was partially offset by lower beneficial ownership information report filings following a Financial Crimes Enforcement Network (FinCEN) ruling on March 21, 2025 that eliminated this filing requirement for U.S. companies.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order value</w:t>
      </w:r>
    </w:p>
    <w:p>
      <w:pPr>
        <w:spacing w:after="0" w:line="233" w:lineRule="exact"/>
        <w:rPr>
          <w:sz w:val="20"/>
          <w:szCs w:val="20"/>
          <w:color w:val="auto"/>
        </w:rPr>
      </w:pPr>
    </w:p>
    <w:p>
      <w:pPr>
        <w:ind w:right="420" w:firstLine="405"/>
        <w:spacing w:after="0" w:line="286" w:lineRule="auto"/>
        <w:rPr>
          <w:sz w:val="20"/>
          <w:szCs w:val="20"/>
          <w:color w:val="auto"/>
        </w:rPr>
      </w:pPr>
      <w:r>
        <w:rPr>
          <w:rFonts w:ascii="Arial" w:cs="Arial" w:eastAsia="Arial" w:hAnsi="Arial"/>
          <w:sz w:val="16"/>
          <w:szCs w:val="16"/>
          <w:color w:val="auto"/>
        </w:rPr>
        <w:t>We define average order value for a given period as total transaction revenue divided by total number of transactions in such period. We consider average order value to be an important metric given that it indicates how much customers are spending on average on our platform per transaction.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the average order value for the three months ended March 31, 2025 and 2024:</w:t>
      </w:r>
    </w:p>
    <w:p>
      <w:pPr>
        <w:spacing w:after="0" w:line="154"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20955</wp:posOffset>
            </wp:positionV>
            <wp:extent cx="18084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6" w:lineRule="exact"/>
        <w:rPr>
          <w:sz w:val="20"/>
          <w:szCs w:val="20"/>
          <w:color w:val="auto"/>
        </w:rPr>
      </w:pPr>
    </w:p>
    <w:p>
      <w:pPr>
        <w:ind w:left="8900"/>
        <w:spacing w:after="0"/>
        <w:tabs>
          <w:tab w:leader="none" w:pos="1036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tabs>
          <w:tab w:leader="none" w:pos="8380" w:val="left"/>
          <w:tab w:leader="none" w:pos="9400" w:val="left"/>
          <w:tab w:leader="none" w:pos="9860" w:val="left"/>
          <w:tab w:leader="none" w:pos="10880" w:val="left"/>
        </w:tabs>
        <w:rPr>
          <w:sz w:val="20"/>
          <w:szCs w:val="20"/>
          <w:color w:val="auto"/>
        </w:rPr>
      </w:pPr>
      <w:r>
        <w:rPr>
          <w:rFonts w:ascii="Arial" w:cs="Arial" w:eastAsia="Arial" w:hAnsi="Arial"/>
          <w:sz w:val="16"/>
          <w:szCs w:val="16"/>
          <w:color w:val="auto"/>
        </w:rPr>
        <w:t>Average order value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196</w:t>
        <w:tab/>
        <w:t>$</w:t>
      </w:r>
      <w:r>
        <w:rPr>
          <w:sz w:val="20"/>
          <w:szCs w:val="20"/>
          <w:color w:val="auto"/>
        </w:rPr>
        <w:tab/>
      </w:r>
      <w:r>
        <w:rPr>
          <w:rFonts w:ascii="Arial" w:cs="Arial" w:eastAsia="Arial" w:hAnsi="Arial"/>
          <w:sz w:val="15"/>
          <w:szCs w:val="15"/>
          <w:color w:val="auto"/>
        </w:rPr>
        <w:t>198</w:t>
      </w:r>
    </w:p>
    <w:p>
      <w:pPr>
        <w:spacing w:after="0" w:line="356" w:lineRule="exact"/>
        <w:rPr>
          <w:sz w:val="20"/>
          <w:szCs w:val="20"/>
          <w:color w:val="auto"/>
        </w:rPr>
      </w:pPr>
    </w:p>
    <w:p>
      <w:pPr>
        <w:ind w:right="20" w:firstLine="405"/>
        <w:spacing w:after="0" w:line="266" w:lineRule="auto"/>
        <w:rPr>
          <w:sz w:val="20"/>
          <w:szCs w:val="20"/>
          <w:color w:val="auto"/>
        </w:rPr>
      </w:pPr>
      <w:r>
        <w:rPr>
          <w:rFonts w:ascii="Arial" w:cs="Arial" w:eastAsia="Arial" w:hAnsi="Arial"/>
          <w:sz w:val="16"/>
          <w:szCs w:val="16"/>
          <w:color w:val="auto"/>
        </w:rPr>
        <w:t>Average order value decreased 1% during the three months ended March 31, 2025 compared to the three months ended March 31, 2024. This change was driven by the recommercialization of certain business formation offerings, partially offset by a year-over-year increase in the price of our beneficial ownership information report.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subscription units</w:t>
      </w:r>
    </w:p>
    <w:p>
      <w:pPr>
        <w:spacing w:after="0" w:line="219" w:lineRule="exact"/>
        <w:rPr>
          <w:sz w:val="20"/>
          <w:szCs w:val="20"/>
          <w:color w:val="auto"/>
        </w:rPr>
      </w:pPr>
    </w:p>
    <w:p>
      <w:pPr>
        <w:ind w:right="60" w:firstLine="405"/>
        <w:spacing w:after="0" w:line="275" w:lineRule="auto"/>
        <w:rPr>
          <w:sz w:val="20"/>
          <w:szCs w:val="20"/>
          <w:color w:val="auto"/>
        </w:rPr>
      </w:pPr>
      <w:r>
        <w:rPr>
          <w:rFonts w:ascii="Arial" w:cs="Arial" w:eastAsia="Arial" w:hAnsi="Arial"/>
          <w:sz w:val="16"/>
          <w:szCs w:val="16"/>
          <w:color w:val="auto"/>
        </w:rPr>
        <w:t>We define the number of subscription units in a given period as the number of paid subscriptions at the end of such period, including those that are not yet 60 days past their subscription order dates. Refunds, or partial refunds, may be issued under certain circumstances pursuant to the terms of our customer satisfaction guarantee.</w:t>
      </w:r>
    </w:p>
    <w:p>
      <w:pPr>
        <w:spacing w:after="0" w:line="56" w:lineRule="exact"/>
        <w:rPr>
          <w:sz w:val="20"/>
          <w:szCs w:val="20"/>
          <w:color w:val="auto"/>
        </w:rPr>
      </w:pPr>
    </w:p>
    <w:p>
      <w:pPr>
        <w:ind w:right="360" w:firstLine="405"/>
        <w:spacing w:after="0" w:line="271" w:lineRule="auto"/>
        <w:rPr>
          <w:sz w:val="20"/>
          <w:szCs w:val="20"/>
          <w:color w:val="auto"/>
        </w:rPr>
      </w:pPr>
      <w:r>
        <w:rPr>
          <w:rFonts w:ascii="Arial" w:cs="Arial" w:eastAsia="Arial" w:hAnsi="Arial"/>
          <w:sz w:val="16"/>
          <w:szCs w:val="16"/>
          <w:color w:val="auto"/>
        </w:rPr>
        <w:t>We consider the number of subscription units to be an important metric since subscriptions enable us to increase the lifetime value of a customer through deeper, longer-term relationships. In addition, as we continue to innovate our product line-up, including by testing varying price points for our products and evaluating our commercialization strategy, we believe the number of subscription units, when viewed together with the number of business formations during a particular period, provides insight into the effectiveness of our efforts to drive growth in our subscription business.</w:t>
      </w:r>
    </w:p>
    <w:p>
      <w:pPr>
        <w:spacing w:after="0" w:line="60" w:lineRule="exact"/>
        <w:rPr>
          <w:sz w:val="20"/>
          <w:szCs w:val="20"/>
          <w:color w:val="auto"/>
        </w:rPr>
      </w:pPr>
    </w:p>
    <w:p>
      <w:pPr>
        <w:ind w:right="100" w:firstLine="405"/>
        <w:spacing w:after="0" w:line="275" w:lineRule="auto"/>
        <w:rPr>
          <w:sz w:val="20"/>
          <w:szCs w:val="20"/>
          <w:color w:val="auto"/>
        </w:rPr>
      </w:pPr>
      <w:r>
        <w:rPr>
          <w:rFonts w:ascii="Arial" w:cs="Arial" w:eastAsia="Arial" w:hAnsi="Arial"/>
          <w:sz w:val="16"/>
          <w:szCs w:val="16"/>
          <w:color w:val="auto"/>
        </w:rPr>
        <w:t>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5" w:name="page26"/>
    <w:bookmarkEnd w:id="25"/>
    <w:p>
      <w:pPr>
        <w:ind w:left="420"/>
        <w:spacing w:after="0"/>
        <w:rPr>
          <w:sz w:val="20"/>
          <w:szCs w:val="20"/>
          <w:color w:val="auto"/>
        </w:rPr>
      </w:pPr>
      <w:r>
        <w:rPr>
          <w:rFonts w:ascii="Arial" w:cs="Arial" w:eastAsia="Arial" w:hAnsi="Arial"/>
          <w:sz w:val="16"/>
          <w:szCs w:val="16"/>
          <w:color w:val="auto"/>
        </w:rPr>
        <w:t>The below table sets forth the number of subscription units as of March 31, 2025 and 2024:</w:t>
      </w:r>
    </w:p>
    <w:p>
      <w:pPr>
        <w:spacing w:after="0" w:line="262"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As of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r>
      <w:tr>
        <w:trPr>
          <w:trHeight w:val="214"/>
        </w:trPr>
        <w:tc>
          <w:tcPr>
            <w:tcW w:w="8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r>
      <w:tr>
        <w:trPr>
          <w:trHeight w:val="29"/>
        </w:trPr>
        <w:tc>
          <w:tcPr>
            <w:tcW w:w="8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300" w:type="dxa"/>
            <w:vAlign w:val="bottom"/>
            <w:gridSpan w:val="2"/>
            <w:shd w:val="clear" w:color="auto" w:fill="CCEEFF"/>
          </w:tcPr>
          <w:p>
            <w:pPr>
              <w:jc w:val="right"/>
              <w:ind w:right="7139"/>
              <w:spacing w:after="0"/>
              <w:rPr>
                <w:sz w:val="20"/>
                <w:szCs w:val="20"/>
                <w:color w:val="auto"/>
              </w:rPr>
            </w:pPr>
            <w:r>
              <w:rPr>
                <w:rFonts w:ascii="Arial" w:cs="Arial" w:eastAsia="Arial" w:hAnsi="Arial"/>
                <w:sz w:val="16"/>
                <w:szCs w:val="16"/>
                <w:color w:val="auto"/>
              </w:rPr>
              <w:t>Number of subscription units</w:t>
            </w:r>
          </w:p>
        </w:tc>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1,924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r>
    </w:tbl>
    <w:p>
      <w:pPr>
        <w:spacing w:after="0" w:line="296" w:lineRule="exact"/>
        <w:rPr>
          <w:sz w:val="20"/>
          <w:szCs w:val="20"/>
          <w:color w:val="auto"/>
        </w:rPr>
      </w:pPr>
    </w:p>
    <w:p>
      <w:pPr>
        <w:jc w:val="both"/>
        <w:ind w:right="260" w:firstLine="405"/>
        <w:spacing w:after="0" w:line="265" w:lineRule="auto"/>
        <w:rPr>
          <w:sz w:val="20"/>
          <w:szCs w:val="20"/>
          <w:color w:val="auto"/>
        </w:rPr>
      </w:pPr>
      <w:r>
        <w:rPr>
          <w:rFonts w:ascii="Arial" w:cs="Arial" w:eastAsia="Arial" w:hAnsi="Arial"/>
          <w:sz w:val="16"/>
          <w:szCs w:val="16"/>
          <w:color w:val="auto"/>
        </w:rPr>
        <w:t>We achieved a 20% increase in subscription units from March 31, 2024 to March 31, 2025, primarily driven by an increase in forms and e-signature and accounting solution subscriptions from the bundling of these products into certain business formation offerings, and the inclusion of subscription units from our Formation Nation acquisition. This growth in subscription units as of March 31, 2025 was partially offset by the discontinuation of new customer acquisition for our tax offering.</w:t>
      </w:r>
    </w:p>
    <w:p>
      <w:pPr>
        <w:spacing w:after="0" w:line="78"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a sequential basis, the number of subscription units as of March 31, 2025 increased 9% from 1,766 thousand subscription units as of December 31, 2024.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revenue per subscription unit</w:t>
      </w:r>
    </w:p>
    <w:p>
      <w:pPr>
        <w:spacing w:after="0" w:line="233" w:lineRule="exact"/>
        <w:rPr>
          <w:sz w:val="20"/>
          <w:szCs w:val="20"/>
          <w:color w:val="auto"/>
        </w:rPr>
      </w:pPr>
    </w:p>
    <w:p>
      <w:pPr>
        <w:ind w:right="120" w:firstLine="405"/>
        <w:spacing w:after="0" w:line="266" w:lineRule="auto"/>
        <w:rPr>
          <w:sz w:val="20"/>
          <w:szCs w:val="20"/>
          <w:color w:val="auto"/>
        </w:rPr>
      </w:pPr>
      <w:r>
        <w:rPr>
          <w:rFonts w:ascii="Arial" w:cs="Arial" w:eastAsia="Arial" w:hAnsi="Arial"/>
          <w:sz w:val="16"/>
          <w:szCs w:val="16"/>
          <w:color w:val="auto"/>
        </w:rPr>
        <w:t>We define average revenue per subscription unit, or ARPU, as of a given date as subscription revenue for the twelve-month period ended on such date, or LTM, divided by the average of the number of subscription units at the beginning and end of the LTM period. We consider ARPU to be an important metric because it helps to illustrate our ability to provide and monetize higher value subscriptions. In addition, when viewed together with subscription units, ARPU provides insight into the impact that higher-value subscriptions have on our ability to grow our subscription units</w:t>
      </w:r>
      <w:r>
        <w:rPr>
          <w:rFonts w:ascii="Arial" w:cs="Arial" w:eastAsia="Arial" w:hAnsi="Arial"/>
          <w:sz w:val="19"/>
          <w:szCs w:val="19"/>
          <w:color w:val="auto"/>
        </w:rPr>
        <w:t>.</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ARPU as of March 31, 2025 and 2024:</w:t>
      </w:r>
    </w:p>
    <w:p>
      <w:pPr>
        <w:spacing w:after="0" w:line="262"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20955</wp:posOffset>
            </wp:positionV>
            <wp:extent cx="1808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6" w:lineRule="exact"/>
        <w:rPr>
          <w:sz w:val="20"/>
          <w:szCs w:val="20"/>
          <w:color w:val="auto"/>
        </w:rPr>
      </w:pPr>
    </w:p>
    <w:p>
      <w:pPr>
        <w:ind w:left="8900"/>
        <w:spacing w:after="0"/>
        <w:tabs>
          <w:tab w:leader="none" w:pos="1036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tabs>
          <w:tab w:leader="none" w:pos="8380" w:val="left"/>
          <w:tab w:leader="none" w:pos="9400" w:val="left"/>
          <w:tab w:leader="none" w:pos="9860" w:val="left"/>
          <w:tab w:leader="none" w:pos="10880" w:val="left"/>
        </w:tabs>
        <w:rPr>
          <w:sz w:val="20"/>
          <w:szCs w:val="20"/>
          <w:color w:val="auto"/>
        </w:rPr>
      </w:pPr>
      <w:r>
        <w:rPr>
          <w:rFonts w:ascii="Arial" w:cs="Arial" w:eastAsia="Arial" w:hAnsi="Arial"/>
          <w:sz w:val="16"/>
          <w:szCs w:val="16"/>
          <w:color w:val="auto"/>
        </w:rPr>
        <w:t>Average revenue per subscription unit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252</w:t>
        <w:tab/>
        <w:t>$</w:t>
      </w:r>
      <w:r>
        <w:rPr>
          <w:sz w:val="20"/>
          <w:szCs w:val="20"/>
          <w:color w:val="auto"/>
        </w:rPr>
        <w:tab/>
      </w:r>
      <w:r>
        <w:rPr>
          <w:rFonts w:ascii="Arial" w:cs="Arial" w:eastAsia="Arial" w:hAnsi="Arial"/>
          <w:sz w:val="15"/>
          <w:szCs w:val="15"/>
          <w:color w:val="auto"/>
        </w:rPr>
        <w:t>272</w:t>
      </w:r>
    </w:p>
    <w:p>
      <w:pPr>
        <w:spacing w:after="0" w:line="356" w:lineRule="exact"/>
        <w:rPr>
          <w:sz w:val="20"/>
          <w:szCs w:val="20"/>
          <w:color w:val="auto"/>
        </w:rPr>
      </w:pPr>
    </w:p>
    <w:p>
      <w:pPr>
        <w:ind w:right="120" w:firstLine="405"/>
        <w:spacing w:after="0" w:line="266" w:lineRule="auto"/>
        <w:rPr>
          <w:sz w:val="20"/>
          <w:szCs w:val="20"/>
          <w:color w:val="auto"/>
        </w:rPr>
      </w:pPr>
      <w:r>
        <w:rPr>
          <w:rFonts w:ascii="Arial" w:cs="Arial" w:eastAsia="Arial" w:hAnsi="Arial"/>
          <w:sz w:val="16"/>
          <w:szCs w:val="16"/>
          <w:color w:val="auto"/>
        </w:rPr>
        <w:t>ARPU declined 7% as of March 31, 2025 compared to March 31, 2024 primarily due to a shift in mix towards our lower priced subscription offerings, including forms and e-signature and accounting solution subscriptions, from the bundling of these products into certain business formation offerings, as well as a decrease in our higher-priced tax subscription offering due to the discontinuation of new customer acquisition.</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a sequential basis, ARPU as of March 31, 2025 decreased 4% compared to December 31, 2024.</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small business retention rate</w:t>
      </w:r>
    </w:p>
    <w:p>
      <w:pPr>
        <w:spacing w:after="0" w:line="23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6"/>
          <w:szCs w:val="16"/>
          <w:color w:val="auto"/>
        </w:rPr>
        <w:t>We define annual small business retention rate as the percentage of small business subscription units active as of the last day of the quarter one year ago that were still active subscriptions 12 months later. Small business subscription units represent our subscriptions targeted at our small business customers and include subscriptions for our registered agent and compliance services, our tax solution, our virtual mail, forms and eSignature solutions and our small business legal advisory plan, and exclude subscriptions from our enterprise customers, our prior operations in the U.K. and our consumer legal advisory plan. Annual small business retention rate includes both monthly and annual subscription units and reflects all subscription unit attrition, including as a result of actual business failures of certain of our customers. Our annual small business retention rate as of March 31, 2025 was approximately 60%, which was impacted by the anniversarying of non-renewing annual forms and e-signature subscriptions that were bundled into certain business formation offerings.</w:t>
      </w:r>
    </w:p>
    <w:p>
      <w:pPr>
        <w:spacing w:after="0" w:line="281"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The annual small business retention rate as of March 31, 2025 does not include the impact of Formation Nation, as we had no active Formation Nation subscriptions on the last day of the quarter one year ago.</w:t>
      </w:r>
    </w:p>
    <w:p>
      <w:pPr>
        <w:spacing w:after="0" w:line="48" w:lineRule="exact"/>
        <w:rPr>
          <w:sz w:val="20"/>
          <w:szCs w:val="20"/>
          <w:color w:val="auto"/>
        </w:rPr>
      </w:pPr>
    </w:p>
    <w:p>
      <w:pPr>
        <w:ind w:right="120" w:firstLine="405"/>
        <w:spacing w:after="0" w:line="271" w:lineRule="auto"/>
        <w:rPr>
          <w:sz w:val="20"/>
          <w:szCs w:val="20"/>
          <w:color w:val="auto"/>
        </w:rPr>
      </w:pPr>
      <w:r>
        <w:rPr>
          <w:rFonts w:ascii="Arial" w:cs="Arial" w:eastAsia="Arial" w:hAnsi="Arial"/>
          <w:sz w:val="16"/>
          <w:szCs w:val="16"/>
          <w:color w:val="auto"/>
        </w:rPr>
        <w:t>We expect annual retention rate to fluctuate as we continue to test new products, subscription term lengths and price points and seek to optimize our product offerings across our lineup. While there may be a general correlation between annual small business retention rate and our ability to increase customer lifetime value and the growth of our customer base, we do not view it as a predictor of future revenue given the varying needs of a small business during its lifecycle and the varying use cases of the products underlying our subscription units.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generate revenue from the following sources:</w:t>
      </w:r>
    </w:p>
    <w:p>
      <w:pPr>
        <w:spacing w:after="0" w:line="113" w:lineRule="exact"/>
        <w:rPr>
          <w:sz w:val="20"/>
          <w:szCs w:val="20"/>
          <w:color w:val="auto"/>
        </w:rPr>
      </w:pPr>
    </w:p>
    <w:p>
      <w:pPr>
        <w:jc w:val="both"/>
        <w:ind w:right="300" w:firstLine="405"/>
        <w:spacing w:after="0" w:line="275"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sales allowances and credit reserves. We also earn fees from third-party providers in connection with lead generation activities, where referred customers purchased services that are transactional in nature.</w:t>
      </w:r>
    </w:p>
    <w:p>
      <w:pPr>
        <w:spacing w:after="0" w:line="56"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—Subscription revenue is generated primarily from subscriptions to our registered agent, compliance packages, attorney advice,</w:t>
      </w:r>
      <w:r>
        <w:rPr>
          <w:rFonts w:ascii="Arial" w:cs="Arial" w:eastAsia="Arial" w:hAnsi="Arial"/>
          <w:sz w:val="16"/>
          <w:szCs w:val="16"/>
          <w:i w:val="1"/>
          <w:iCs w:val="1"/>
          <w:color w:val="auto"/>
        </w:rPr>
        <w:t xml:space="preserve"> </w:t>
      </w:r>
      <w:r>
        <w:rPr>
          <w:rFonts w:ascii="Arial" w:cs="Arial" w:eastAsia="Arial" w:hAnsi="Arial"/>
          <w:sz w:val="16"/>
          <w:szCs w:val="16"/>
          <w:color w:val="auto"/>
        </w:rPr>
        <w:t>legal forms, tax and accounting, virtual mail and e-signature services, and software-as-a-service, or SaaS, subscriptions. We generally recognize revenue from our subscriptions ratably over the subscription term. Subscription terms generally range from thirty days to one year. Subscription revenue also includes amounts earned from third-party providers in connection with lead generation activities, where referred customers purchased services that are subscription in nature. Subscription revenue includes the transaction price allocated to bundled free trials for our subscription services and is net of promotional discounts, cancellations, sales allowances and credit reserves and payments to third party service providers such as legal plan law firms.</w:t>
      </w:r>
    </w:p>
    <w:p>
      <w:pPr>
        <w:spacing w:after="0" w:line="82" w:lineRule="exact"/>
        <w:rPr>
          <w:sz w:val="20"/>
          <w:szCs w:val="20"/>
          <w:color w:val="auto"/>
        </w:rPr>
      </w:pPr>
    </w:p>
    <w:p>
      <w:pPr>
        <w:jc w:val="both"/>
        <w:ind w:right="140" w:firstLine="405"/>
        <w:spacing w:after="0" w:line="265" w:lineRule="auto"/>
        <w:rPr>
          <w:sz w:val="20"/>
          <w:szCs w:val="20"/>
          <w:color w:val="auto"/>
        </w:rPr>
      </w:pPr>
      <w:r>
        <w:rPr>
          <w:rFonts w:ascii="Arial" w:cs="Arial" w:eastAsia="Arial" w:hAnsi="Arial"/>
          <w:sz w:val="16"/>
          <w:szCs w:val="16"/>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the section titled “</w:t>
      </w:r>
      <w:r>
        <w:rPr>
          <w:rFonts w:ascii="Arial" w:cs="Arial" w:eastAsia="Arial" w:hAnsi="Arial"/>
          <w:sz w:val="16"/>
          <w:szCs w:val="16"/>
          <w:i w:val="1"/>
          <w:iCs w:val="1"/>
          <w:color w:val="auto"/>
        </w:rPr>
        <w:t>Management’s Discussion and Analysis of Financial Condition and Results of Operations—Critical Accounting Estimates—</w:t>
      </w:r>
    </w:p>
    <w:p>
      <w:pPr>
        <w:spacing w:after="0" w:line="31" w:lineRule="exact"/>
        <w:rPr>
          <w:sz w:val="20"/>
          <w:szCs w:val="20"/>
          <w:color w:val="auto"/>
        </w:rPr>
      </w:pPr>
    </w:p>
    <w:p>
      <w:pPr>
        <w:ind w:right="660"/>
        <w:spacing w:after="0" w:line="270"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in our 2024 Annual Report on Form 10-K for a description of the accounting policies related to revenue recognition,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that contain multiple deliverables.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33"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Cost of revenue includes all costs of providing and fulfilling our services. Cost of revenue primarily includes government filing fees, costs of fulfillment, customer care, including the cost of credentialed professionals for tax, and payroll services,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 and gross margin</w:t>
      </w:r>
    </w:p>
    <w:p>
      <w:pPr>
        <w:spacing w:after="0" w:line="219" w:lineRule="exact"/>
        <w:rPr>
          <w:sz w:val="20"/>
          <w:szCs w:val="20"/>
          <w:color w:val="auto"/>
        </w:rPr>
      </w:pPr>
    </w:p>
    <w:p>
      <w:pPr>
        <w:ind w:right="60" w:firstLine="405"/>
        <w:spacing w:after="0" w:line="265" w:lineRule="auto"/>
        <w:rPr>
          <w:sz w:val="20"/>
          <w:szCs w:val="20"/>
          <w:color w:val="auto"/>
        </w:rPr>
      </w:pPr>
      <w:r>
        <w:rPr>
          <w:rFonts w:ascii="Arial" w:cs="Arial" w:eastAsia="Arial" w:hAnsi="Arial"/>
          <w:sz w:val="16"/>
          <w:szCs w:val="16"/>
          <w:color w:val="auto"/>
        </w:rPr>
        <w:t>Gross profit, or revenue less cost of revenue, and gross margin, or gross profit as a percentage of revenue, have been and will continue to be affected by various factors, primarily the mix between transaction and subscription revenue. Our long-term gross margin expansion is also expected to be driven by automation improvements and digitization efforts. Further, our acquisitions of other companies have negatively impacted our gross margin in the past, and any such future acquisitions could have a similar effect. Our gross margin could fluctuate from period to period due to fulfillment rates and seasonality.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19" w:lineRule="exact"/>
        <w:rPr>
          <w:sz w:val="20"/>
          <w:szCs w:val="20"/>
          <w:color w:val="auto"/>
        </w:rPr>
      </w:pPr>
    </w:p>
    <w:p>
      <w:pPr>
        <w:ind w:right="160" w:firstLine="405"/>
        <w:spacing w:after="0" w:line="286" w:lineRule="auto"/>
        <w:rPr>
          <w:sz w:val="20"/>
          <w:szCs w:val="20"/>
          <w:color w:val="auto"/>
        </w:rPr>
      </w:pPr>
      <w:r>
        <w:rPr>
          <w:rFonts w:ascii="Arial" w:cs="Arial" w:eastAsia="Arial" w:hAnsi="Arial"/>
          <w:sz w:val="16"/>
          <w:szCs w:val="16"/>
          <w:color w:val="auto"/>
        </w:rPr>
        <w:t>Our operating expenses consist primarily of sales and marketing, technology and development, general and administrative expenses, and to a lesser extent, impairments of goodwill, long-lived assets, other assets and gain on sale of assets held for sale.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219" w:lineRule="exact"/>
        <w:rPr>
          <w:sz w:val="20"/>
          <w:szCs w:val="20"/>
          <w:color w:val="auto"/>
        </w:rPr>
      </w:pPr>
    </w:p>
    <w:p>
      <w:pPr>
        <w:ind w:right="160" w:firstLine="405"/>
        <w:spacing w:after="0" w:line="286" w:lineRule="auto"/>
        <w:rPr>
          <w:sz w:val="20"/>
          <w:szCs w:val="20"/>
          <w:color w:val="auto"/>
        </w:rPr>
      </w:pPr>
      <w:r>
        <w:rPr>
          <w:rFonts w:ascii="Arial" w:cs="Arial" w:eastAsia="Arial" w:hAnsi="Arial"/>
          <w:sz w:val="16"/>
          <w:szCs w:val="16"/>
          <w:color w:val="auto"/>
        </w:rPr>
        <w:t>Sales and marketing expenses consist of customer acquisition media costs, compensation and related benefits, including stock-based compensation for marketing and sales personnel, media production, public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27" w:name="page28"/>
    <w:bookmarkEnd w:id="27"/>
    <w:p>
      <w:pPr>
        <w:ind w:right="240"/>
        <w:spacing w:after="0" w:line="275" w:lineRule="auto"/>
        <w:rPr>
          <w:sz w:val="20"/>
          <w:szCs w:val="20"/>
          <w:color w:val="auto"/>
        </w:rPr>
      </w:pPr>
      <w:r>
        <w:rPr>
          <w:rFonts w:ascii="Arial" w:cs="Arial" w:eastAsia="Arial" w:hAnsi="Arial"/>
          <w:sz w:val="16"/>
          <w:szCs w:val="16"/>
          <w:color w:val="auto"/>
        </w:rPr>
        <w:t>relations and other promotional activities, general business development activities, an allocation of depreciation and amortization and allocated overhead. Customer acquisition media costs consist primarily of search engine marketing, television and social media costs. Marketing and advertising costs to promote our services are expensed in the period incurred. Media production costs are expensed the first time the advertisement is aired.</w:t>
      </w:r>
    </w:p>
    <w:p>
      <w:pPr>
        <w:spacing w:after="0" w:line="56" w:lineRule="exact"/>
        <w:rPr>
          <w:sz w:val="20"/>
          <w:szCs w:val="20"/>
          <w:color w:val="auto"/>
        </w:rPr>
      </w:pPr>
    </w:p>
    <w:p>
      <w:pPr>
        <w:ind w:right="80" w:firstLine="405"/>
        <w:spacing w:after="0" w:line="275" w:lineRule="auto"/>
        <w:rPr>
          <w:sz w:val="20"/>
          <w:szCs w:val="20"/>
          <w:color w:val="auto"/>
        </w:rPr>
      </w:pPr>
      <w:r>
        <w:rPr>
          <w:rFonts w:ascii="Arial" w:cs="Arial" w:eastAsia="Arial" w:hAnsi="Arial"/>
          <w:sz w:val="16"/>
          <w:szCs w:val="16"/>
          <w:color w:val="auto"/>
        </w:rPr>
        <w:t>We intend to continue to invest in sales and marketing to drive additional revenue, further penetrate our expanding addressable market, and build on our digital brand leadership and awareness. We anticipate that sales and marketing expenses will continue to be our largest operating expense category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233" w:lineRule="exact"/>
        <w:rPr>
          <w:sz w:val="20"/>
          <w:szCs w:val="20"/>
          <w:color w:val="auto"/>
        </w:rPr>
      </w:pPr>
    </w:p>
    <w:p>
      <w:pPr>
        <w:ind w:right="160" w:firstLine="405"/>
        <w:spacing w:after="0" w:line="260" w:lineRule="auto"/>
        <w:rPr>
          <w:sz w:val="20"/>
          <w:szCs w:val="20"/>
          <w:color w:val="auto"/>
        </w:rPr>
      </w:pPr>
      <w:r>
        <w:rPr>
          <w:rFonts w:ascii="Arial" w:cs="Arial" w:eastAsia="Arial" w:hAnsi="Arial"/>
          <w:sz w:val="16"/>
          <w:szCs w:val="16"/>
          <w:color w:val="auto"/>
        </w:rPr>
        <w:t>Technology and development expenses consist primarily of personnel costs and related benefits, including stock-based compensation for technology and development personnel,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spacing w:after="0" w:line="83" w:lineRule="exact"/>
        <w:rPr>
          <w:sz w:val="20"/>
          <w:szCs w:val="20"/>
          <w:color w:val="auto"/>
        </w:rPr>
      </w:pPr>
    </w:p>
    <w:p>
      <w:pPr>
        <w:ind w:right="60" w:firstLine="405"/>
        <w:spacing w:after="0" w:line="266" w:lineRule="auto"/>
        <w:rPr>
          <w:sz w:val="20"/>
          <w:szCs w:val="20"/>
          <w:color w:val="auto"/>
        </w:rPr>
      </w:pPr>
      <w:r>
        <w:rPr>
          <w:rFonts w:ascii="Arial" w:cs="Arial" w:eastAsia="Arial" w:hAnsi="Arial"/>
          <w:sz w:val="16"/>
          <w:szCs w:val="16"/>
          <w:color w:val="auto"/>
        </w:rPr>
        <w:t>Excluding stock-based compensation, we expect our technology and development expenses to remain relatively consistent as a percentage of our revenue for the foreseeable future, although our technology and development expenses may fluctuate as a percentage of our revenue from period-to-period due to seasonality and the timing and extent of these expenses.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219" w:lineRule="exact"/>
        <w:rPr>
          <w:sz w:val="20"/>
          <w:szCs w:val="20"/>
          <w:color w:val="auto"/>
        </w:rPr>
      </w:pPr>
    </w:p>
    <w:p>
      <w:pPr>
        <w:ind w:right="20" w:firstLine="405"/>
        <w:spacing w:after="0" w:line="304" w:lineRule="auto"/>
        <w:rPr>
          <w:sz w:val="20"/>
          <w:szCs w:val="20"/>
          <w:color w:val="auto"/>
        </w:rPr>
      </w:pPr>
      <w:r>
        <w:rPr>
          <w:rFonts w:ascii="Arial" w:cs="Arial" w:eastAsia="Arial" w:hAnsi="Arial"/>
          <w:sz w:val="16"/>
          <w:szCs w:val="16"/>
          <w:color w:val="auto"/>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w:t>
      </w:r>
    </w:p>
    <w:p>
      <w:pPr>
        <w:spacing w:after="0" w:line="33" w:lineRule="exact"/>
        <w:rPr>
          <w:sz w:val="20"/>
          <w:szCs w:val="20"/>
          <w:color w:val="auto"/>
        </w:rPr>
      </w:pPr>
    </w:p>
    <w:p>
      <w:pPr>
        <w:ind w:right="100" w:firstLine="405"/>
        <w:spacing w:after="0" w:line="286" w:lineRule="auto"/>
        <w:rPr>
          <w:sz w:val="20"/>
          <w:szCs w:val="20"/>
          <w:color w:val="auto"/>
        </w:rPr>
      </w:pPr>
      <w:r>
        <w:rPr>
          <w:rFonts w:ascii="Arial" w:cs="Arial" w:eastAsia="Arial" w:hAnsi="Arial"/>
          <w:sz w:val="16"/>
          <w:szCs w:val="16"/>
          <w:color w:val="auto"/>
        </w:rPr>
        <w:t>We expect our general and administrative expenses to decrease as a percentage of our revenue over the longer term. Our general and administrative expenses may fluctuate as a percentage of our revenue from period-to-period due to seasonality and the timing and extent of these expenses.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Gain on sale of assets held for sale</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Gain on sale of assets held for sale relates to the sale of our operational headquarters on March 31, 2025.</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219" w:lineRule="exact"/>
        <w:rPr>
          <w:sz w:val="20"/>
          <w:szCs w:val="20"/>
          <w:color w:val="auto"/>
        </w:rPr>
      </w:pPr>
    </w:p>
    <w:p>
      <w:pPr>
        <w:ind w:right="240" w:firstLine="405"/>
        <w:spacing w:after="0" w:line="286" w:lineRule="auto"/>
        <w:rPr>
          <w:sz w:val="20"/>
          <w:szCs w:val="20"/>
          <w:color w:val="auto"/>
        </w:rPr>
      </w:pPr>
      <w:r>
        <w:rPr>
          <w:rFonts w:ascii="Arial" w:cs="Arial" w:eastAsia="Arial" w:hAnsi="Arial"/>
          <w:sz w:val="16"/>
          <w:szCs w:val="16"/>
          <w:color w:val="auto"/>
        </w:rPr>
        <w:t>Interest expense consists primarily of amortization of debt issuance costs related to our Amended and Restated Credit and Guaranty Agreement, or 2021 Revolving Facility.</w:t>
      </w:r>
    </w:p>
    <w:p>
      <w:pPr>
        <w:spacing w:after="0" w:line="61" w:lineRule="exact"/>
        <w:rPr>
          <w:sz w:val="20"/>
          <w:szCs w:val="20"/>
          <w:color w:val="auto"/>
        </w:rPr>
      </w:pPr>
    </w:p>
    <w:p>
      <w:pPr>
        <w:ind w:right="580" w:firstLine="405"/>
        <w:spacing w:after="0" w:line="286" w:lineRule="auto"/>
        <w:rPr>
          <w:sz w:val="20"/>
          <w:szCs w:val="20"/>
          <w:color w:val="auto"/>
        </w:rPr>
      </w:pPr>
      <w:r>
        <w:rPr>
          <w:rFonts w:ascii="Arial" w:cs="Arial" w:eastAsia="Arial" w:hAnsi="Arial"/>
          <w:sz w:val="16"/>
          <w:szCs w:val="16"/>
          <w:color w:val="auto"/>
        </w:rPr>
        <w:t>We expect interest expense to remain insignificant in the near term as we have no outstanding indebtedness. However, we would incur interest expense in the longer term should we draw down on our 2021 Revolving Facility or incur other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income consists primarily of interest income generated from our investment in money market funds.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provision for income taxes consists of current and deferred federal, state and foreign income taxes.</w:t>
      </w:r>
    </w:p>
    <w:p>
      <w:pPr>
        <w:spacing w:after="0" w:line="113"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 xml:space="preserve">We account for income taxes in accordance with Accounting Standard Codification 740, </w:t>
      </w:r>
      <w:r>
        <w:rPr>
          <w:rFonts w:ascii="Arial" w:cs="Arial" w:eastAsia="Arial" w:hAnsi="Arial"/>
          <w:sz w:val="16"/>
          <w:szCs w:val="16"/>
          <w:i w:val="1"/>
          <w:iCs w:val="1"/>
          <w:color w:val="auto"/>
        </w:rPr>
        <w:t>Income Ta</w:t>
      </w:r>
      <w:r>
        <w:rPr>
          <w:rFonts w:ascii="Arial" w:cs="Arial" w:eastAsia="Arial" w:hAnsi="Arial"/>
          <w:sz w:val="16"/>
          <w:szCs w:val="16"/>
          <w:color w:val="auto"/>
        </w:rPr>
        <w:t>xes, which requires an estimate of the annual effective tax rate for the full year to be applied to the interim period, taking into account year-to-date amounts and projected results for the full year.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28" w:name="page29"/>
    <w:bookmarkEnd w:id="28"/>
    <w:p>
      <w:pPr>
        <w:ind w:right="60"/>
        <w:spacing w:after="0" w:line="286" w:lineRule="auto"/>
        <w:rPr>
          <w:sz w:val="20"/>
          <w:szCs w:val="20"/>
          <w:color w:val="auto"/>
        </w:rPr>
      </w:pPr>
      <w:r>
        <w:rPr>
          <w:rFonts w:ascii="Arial" w:cs="Arial" w:eastAsia="Arial" w:hAnsi="Arial"/>
          <w:sz w:val="16"/>
          <w:szCs w:val="16"/>
          <w:color w:val="auto"/>
        </w:rPr>
        <w:t>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21" w:lineRule="exact"/>
        <w:rPr>
          <w:sz w:val="20"/>
          <w:szCs w:val="20"/>
          <w:color w:val="auto"/>
        </w:rPr>
      </w:pPr>
    </w:p>
    <w:p>
      <w:pPr>
        <w:ind w:right="440" w:firstLine="405"/>
        <w:spacing w:after="0" w:line="304" w:lineRule="auto"/>
        <w:rPr>
          <w:sz w:val="20"/>
          <w:szCs w:val="20"/>
          <w:color w:val="auto"/>
        </w:rPr>
      </w:pPr>
      <w:r>
        <w:rPr>
          <w:rFonts w:ascii="Arial" w:cs="Arial" w:eastAsia="Arial" w:hAnsi="Arial"/>
          <w:sz w:val="16"/>
          <w:szCs w:val="16"/>
          <w:color w:val="auto"/>
        </w:rPr>
        <w:t>The following table sets forth our consolidated statement of operations data for each of the periods indicated. The period-to-period comparison of financial results should not be considered as a prediction or indicative of our future results: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209"/>
        </w:trPr>
        <w:tc>
          <w:tcPr>
            <w:tcW w:w="8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Pr>
          <w:p>
            <w:pPr>
              <w:spacing w:after="0"/>
              <w:rPr>
                <w:sz w:val="18"/>
                <w:szCs w:val="18"/>
                <w:color w:val="auto"/>
              </w:rPr>
            </w:pP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174,214</w:t>
            </w:r>
          </w:p>
        </w:tc>
      </w:tr>
      <w:tr>
        <w:trPr>
          <w:trHeight w:val="216"/>
        </w:trPr>
        <w:tc>
          <w:tcPr>
            <w:tcW w:w="83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66,560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68,384</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105,830</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836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53,753</w:t>
            </w:r>
          </w:p>
        </w:tc>
      </w:tr>
      <w:tr>
        <w:trPr>
          <w:trHeight w:val="216"/>
        </w:trPr>
        <w:tc>
          <w:tcPr>
            <w:tcW w:w="8360" w:type="dxa"/>
            <w:vAlign w:val="bottom"/>
          </w:tcPr>
          <w:p>
            <w:pPr>
              <w:ind w:left="240"/>
              <w:spacing w:after="0" w:line="216" w:lineRule="exact"/>
              <w:rPr>
                <w:sz w:val="20"/>
                <w:szCs w:val="20"/>
                <w:color w:val="auto"/>
              </w:rPr>
            </w:pPr>
            <w:r>
              <w:rPr>
                <w:rFonts w:ascii="Arial" w:cs="Arial" w:eastAsia="Arial" w:hAnsi="Arial"/>
                <w:sz w:val="16"/>
                <w:szCs w:val="16"/>
                <w:color w:val="auto"/>
              </w:rPr>
              <w:t>Technology and development</w:t>
            </w:r>
            <w:r>
              <w:rPr>
                <w:rFonts w:ascii="Arial" w:cs="Arial" w:eastAsia="Arial" w:hAnsi="Arial"/>
                <w:sz w:val="21"/>
                <w:szCs w:val="21"/>
                <w:color w:val="auto"/>
                <w:vertAlign w:val="superscript"/>
              </w:rPr>
              <w:t>(1)(2)</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23,957</w:t>
            </w:r>
          </w:p>
        </w:tc>
      </w:tr>
      <w:tr>
        <w:trPr>
          <w:trHeight w:val="216"/>
        </w:trPr>
        <w:tc>
          <w:tcPr>
            <w:tcW w:w="836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23,065</w:t>
            </w:r>
          </w:p>
        </w:tc>
      </w:tr>
      <w:tr>
        <w:trPr>
          <w:trHeight w:val="215"/>
        </w:trPr>
        <w:tc>
          <w:tcPr>
            <w:tcW w:w="8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Gain on sale of assets held for sale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3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107,584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100,775</w:t>
            </w:r>
          </w:p>
        </w:tc>
      </w:tr>
      <w:tr>
        <w:trPr>
          <w:trHeight w:val="209"/>
        </w:trPr>
        <w:tc>
          <w:tcPr>
            <w:tcW w:w="83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5,055</w:t>
            </w:r>
          </w:p>
        </w:tc>
      </w:tr>
      <w:tr>
        <w:trPr>
          <w:trHeight w:val="217"/>
        </w:trPr>
        <w:tc>
          <w:tcPr>
            <w:tcW w:w="8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836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2,887</w:t>
            </w:r>
          </w:p>
        </w:tc>
      </w:tr>
      <w:tr>
        <w:trPr>
          <w:trHeight w:val="217"/>
        </w:trPr>
        <w:tc>
          <w:tcPr>
            <w:tcW w:w="8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9"/>
        </w:trPr>
        <w:tc>
          <w:tcPr>
            <w:tcW w:w="83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10,614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7,974</w:t>
            </w:r>
          </w:p>
        </w:tc>
      </w:tr>
      <w:tr>
        <w:trPr>
          <w:trHeight w:val="216"/>
        </w:trPr>
        <w:tc>
          <w:tcPr>
            <w:tcW w:w="8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3,230</w:t>
            </w:r>
          </w:p>
        </w:tc>
      </w:tr>
      <w:tr>
        <w:trPr>
          <w:trHeight w:val="210"/>
        </w:trPr>
        <w:tc>
          <w:tcPr>
            <w:tcW w:w="8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4,744</w:t>
            </w: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209"/>
        </w:trPr>
        <w:tc>
          <w:tcPr>
            <w:tcW w:w="8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Pr>
          <w:p>
            <w:pPr>
              <w:spacing w:after="0"/>
              <w:rPr>
                <w:sz w:val="18"/>
                <w:szCs w:val="18"/>
                <w:color w:val="auto"/>
              </w:rPr>
            </w:pP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1,579</w:t>
            </w: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5,703</w:t>
            </w:r>
          </w:p>
        </w:tc>
      </w:tr>
      <w:tr>
        <w:trPr>
          <w:trHeight w:val="21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5,981</w:t>
            </w:r>
          </w:p>
        </w:tc>
      </w:tr>
      <w:tr>
        <w:trPr>
          <w:trHeight w:val="235"/>
        </w:trPr>
        <w:tc>
          <w:tcPr>
            <w:tcW w:w="8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29,756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Stock-based compensation expense increased for the three months ended March 31, 2025 compared to the three months ended March 31, 2024 due to time-based restricted stock units, or RSUs, RSUs with performance and market conditions, and RSUs with market conditions granted to eligible employees and members of our senior leadership team in 2024. See Note 14 to our consolidated financial statements included in our 2024 Annual Report on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9" w:name="page30"/>
    <w:bookmarkEnd w:id="29"/>
    <w:p>
      <w:pPr>
        <w:ind w:left="420" w:right="260" w:hanging="412"/>
        <w:spacing w:after="0" w:line="286" w:lineRule="auto"/>
        <w:tabs>
          <w:tab w:leader="none" w:pos="40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depreciation and amortization expense for our property and equipment, including capitalized internal-use software and intangible assets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7"/>
          </w:tcPr>
          <w:p>
            <w:pPr>
              <w:ind w:left="760"/>
              <w:spacing w:after="0"/>
              <w:rPr>
                <w:sz w:val="20"/>
                <w:szCs w:val="20"/>
                <w:color w:val="auto"/>
              </w:rPr>
            </w:pPr>
            <w:r>
              <w:rPr>
                <w:rFonts w:ascii="Arial" w:cs="Arial" w:eastAsia="Arial" w:hAnsi="Arial"/>
                <w:sz w:val="16"/>
                <w:szCs w:val="16"/>
                <w:i w:val="1"/>
                <w:iCs w:val="1"/>
                <w:color w:val="auto"/>
              </w:rPr>
              <w:t>(in thousands)</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1,715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Technology and development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1,356</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depreciation and amortization expense</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10,406</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Comparison of the Three Months Ended March 31, 2025 and 2024</w:t>
            </w: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3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 by type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80" w:type="dxa"/>
            <w:vAlign w:val="bottom"/>
            <w:gridSpan w:val="2"/>
          </w:tcPr>
          <w:p>
            <w:pPr>
              <w:ind w:left="20"/>
              <w:spacing w:after="0"/>
              <w:rPr>
                <w:sz w:val="20"/>
                <w:szCs w:val="20"/>
                <w:color w:val="auto"/>
              </w:rPr>
            </w:pPr>
            <w:r>
              <w:rPr>
                <w:rFonts w:ascii="Arial" w:cs="Arial" w:eastAsia="Arial" w:hAnsi="Arial"/>
                <w:sz w:val="16"/>
                <w:szCs w:val="16"/>
                <w:color w:val="auto"/>
              </w:rPr>
              <w:t>Transaction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66,853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66,317</w:t>
            </w:r>
          </w:p>
        </w:tc>
        <w:tc>
          <w:tcPr>
            <w:tcW w:w="80" w:type="dxa"/>
            <w:vAlign w:val="bottom"/>
          </w:tcPr>
          <w:p>
            <w:pPr>
              <w:spacing w:after="0"/>
              <w:rPr>
                <w:sz w:val="18"/>
                <w:szCs w:val="18"/>
                <w:color w:val="auto"/>
              </w:rPr>
            </w:pPr>
          </w:p>
        </w:tc>
        <w:tc>
          <w:tcPr>
            <w:tcW w:w="2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536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116,257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107,897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8,360</w:t>
            </w: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183,110</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174,214</w:t>
            </w:r>
          </w:p>
        </w:tc>
        <w:tc>
          <w:tcPr>
            <w:tcW w:w="8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8,896</w:t>
            </w: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The increase in total revenue for the three months ended March 31, 2025 was primarily driven by an increase in subscription revenue. Subscription revenue was 63% and 62% of total revenue for the three months ended March 31, 2025 and 2024, respectively, and transaction revenue was 37% and 38% of total revenue for the three months ended March 31, 2025 and 2024, respectively.</w:t>
      </w:r>
    </w:p>
    <w:p>
      <w:pPr>
        <w:spacing w:after="0" w:line="5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Transaction revenue increased 1% year-over-year for the three months ended March 31, 2025 primarily due to $5.9 million in revenues from our</w:t>
      </w:r>
    </w:p>
    <w:p>
      <w:pPr>
        <w:spacing w:after="0" w:line="2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acquisition of Formation Nation in February 2025 and, to a lesser extent, an increase in revenue from our beneficial ownership information report filings due to a year-over-year increase in pricing. The increase in transaction revenue was partially offset by a 6% year-over-year decline in the number of business formations as well as the recommercialization of certain business formation offerings.</w:t>
      </w:r>
    </w:p>
    <w:p>
      <w:pPr>
        <w:spacing w:after="0" w:line="79" w:lineRule="exact"/>
        <w:rPr>
          <w:sz w:val="20"/>
          <w:szCs w:val="20"/>
          <w:color w:val="auto"/>
        </w:rPr>
      </w:pPr>
    </w:p>
    <w:p>
      <w:pPr>
        <w:ind w:right="120" w:firstLine="405"/>
        <w:spacing w:after="0" w:line="266" w:lineRule="auto"/>
        <w:rPr>
          <w:sz w:val="20"/>
          <w:szCs w:val="20"/>
          <w:color w:val="auto"/>
        </w:rPr>
      </w:pPr>
      <w:r>
        <w:rPr>
          <w:rFonts w:ascii="Arial" w:cs="Arial" w:eastAsia="Arial" w:hAnsi="Arial"/>
          <w:sz w:val="16"/>
          <w:szCs w:val="16"/>
          <w:color w:val="auto"/>
        </w:rPr>
        <w:t>Subscription revenue increased 8% year-over-year for the three months ended March 31, 2025 primarily due to a 6% year-over-year increase in revenue from our compliance-related subscriptions, an increase in our virtual mail subscriptions and revenue earned from the 1-800Accountant partnership entered into in December 2024. These increases were partially offset by our discontinuation of new customer acquisition for our tax offering.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9"/>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5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42"/>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66,560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68,384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Cost of revenue for the three months ended March 31, 2025 decreased by $1.8 million primarily due to a $5.3 million decrease in payroll and related benefits, largely due to the reduction in headcount. These decreases were partially offset by a $2.1 million increase in third party fees for customer fulfillment services, 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0" w:name="page31"/>
    <w:bookmarkEnd w:id="30"/>
    <w:p>
      <w:pPr>
        <w:ind w:right="140"/>
        <w:spacing w:after="0" w:line="286" w:lineRule="auto"/>
        <w:rPr>
          <w:sz w:val="20"/>
          <w:szCs w:val="20"/>
          <w:color w:val="auto"/>
        </w:rPr>
      </w:pPr>
      <w:r>
        <w:rPr>
          <w:rFonts w:ascii="Arial" w:cs="Arial" w:eastAsia="Arial" w:hAnsi="Arial"/>
          <w:sz w:val="16"/>
          <w:szCs w:val="16"/>
          <w:color w:val="auto"/>
        </w:rPr>
        <w:t>$0.6 million increase in depreciation and amortization expense, a $0.5 million increase in other costs of service primarily related to Formation Nation, and a $0.4 million increase in filing fees.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Gross profit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2"/>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9"/>
        </w:trPr>
        <w:tc>
          <w:tcPr>
            <w:tcW w:w="53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8"/>
                <w:szCs w:val="18"/>
                <w:color w:val="auto"/>
              </w:rPr>
            </w:pPr>
          </w:p>
        </w:tc>
      </w:tr>
      <w:tr>
        <w:trPr>
          <w:trHeight w:val="242"/>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105,830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10,720</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20" w:firstLine="405"/>
        <w:spacing w:after="0" w:line="286" w:lineRule="auto"/>
        <w:rPr>
          <w:sz w:val="20"/>
          <w:szCs w:val="20"/>
          <w:color w:val="auto"/>
        </w:rPr>
      </w:pPr>
      <w:r>
        <w:rPr>
          <w:rFonts w:ascii="Arial" w:cs="Arial" w:eastAsia="Arial" w:hAnsi="Arial"/>
          <w:sz w:val="16"/>
          <w:szCs w:val="16"/>
          <w:color w:val="auto"/>
        </w:rPr>
        <w:t>Gross profit for the three months ended March 31, 2025 increased by $10.7 million compared to three months ended March 31, 2024 due to a $8.9 million increase in revenue and a $1.8 million reduction in cost of revenue.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40"/>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9"/>
        </w:trPr>
        <w:tc>
          <w:tcPr>
            <w:tcW w:w="5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8"/>
                <w:szCs w:val="18"/>
                <w:color w:val="auto"/>
              </w:rPr>
            </w:pPr>
          </w:p>
        </w:tc>
      </w:tr>
      <w:tr>
        <w:trPr>
          <w:trHeight w:val="242"/>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61,378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53,753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7,625</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Sales and marketing expenses for the three months ended March 31, 2025 increased by $7.6 million primarily due to a $4.2 million increase in payroll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related benefits largely due to an increase in sales and marketing headcount, a $3.7 million increase in customer acquisition marketing spend, and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$0.9 million increase in depreciation and amortization. Customer acquisition marketing spend was $44.2 million and $40.6 million for the three months ended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March 31, 2025 and 2024, respectively. These increases were partially offset by a $1.8 million decrease in non-customer acquisition marketing spend related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 creative marketing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1"/>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5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42"/>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(2,635)</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80" w:firstLine="405"/>
        <w:spacing w:after="0" w:line="286" w:lineRule="auto"/>
        <w:rPr>
          <w:sz w:val="20"/>
          <w:szCs w:val="20"/>
          <w:color w:val="auto"/>
        </w:rPr>
      </w:pPr>
      <w:r>
        <w:rPr>
          <w:rFonts w:ascii="Arial" w:cs="Arial" w:eastAsia="Arial" w:hAnsi="Arial"/>
          <w:sz w:val="16"/>
          <w:szCs w:val="16"/>
          <w:color w:val="auto"/>
        </w:rPr>
        <w:t>Technology and development expenses for the three months ended March 31, 2025 decreased primarily due to a decrease in payroll and related benefits largely due to decreased technology and development headcount.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45"/>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9"/>
        </w:trPr>
        <w:tc>
          <w:tcPr>
            <w:tcW w:w="5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8"/>
                <w:szCs w:val="18"/>
                <w:color w:val="auto"/>
              </w:rPr>
            </w:pPr>
          </w:p>
        </w:tc>
      </w:tr>
      <w:tr>
        <w:trPr>
          <w:trHeight w:val="242"/>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39,221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16,156</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40" w:firstLine="405"/>
        <w:spacing w:after="0" w:line="271" w:lineRule="auto"/>
        <w:rPr>
          <w:sz w:val="20"/>
          <w:szCs w:val="20"/>
          <w:color w:val="auto"/>
        </w:rPr>
      </w:pPr>
      <w:r>
        <w:rPr>
          <w:rFonts w:ascii="Arial" w:cs="Arial" w:eastAsia="Arial" w:hAnsi="Arial"/>
          <w:sz w:val="16"/>
          <w:szCs w:val="16"/>
          <w:color w:val="auto"/>
        </w:rPr>
        <w:t>General and administrative expenses for the three months ended March 31, 2025 increased by $16.2 million mainly due to a $14.7 million increase in stock-based compensation expense compared to the three months ended March 31, 2024 and $1.5 million in legal and advisory consulting costs related to our acquisition of Formation Nation. Stock-based compensation expense increased for the three months ended March 31, 2025 compared to the three months ended March 31, 2024 due to time-based RSUs, RSUs with performance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and market conditions, and RSUs with market conditions granted to eligible employees and members of our senior leadership team in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Gain on sale of assets held for sale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45"/>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9"/>
          </w:tcPr>
          <w:p>
            <w:pPr>
              <w:jc w:val="right"/>
              <w:ind w:right="240"/>
              <w:spacing w:after="0"/>
              <w:rPr>
                <w:sz w:val="20"/>
                <w:szCs w:val="20"/>
                <w:color w:val="auto"/>
              </w:rPr>
            </w:pPr>
            <w:r>
              <w:rPr>
                <w:rFonts w:ascii="Arial" w:cs="Arial" w:eastAsia="Arial" w:hAnsi="Arial"/>
                <w:sz w:val="16"/>
                <w:szCs w:val="16"/>
                <w:i w:val="1"/>
                <w:iCs w:val="1"/>
                <w:color w:val="auto"/>
              </w:rPr>
              <w:t>(in thousands, except percentages)</w:t>
            </w:r>
          </w:p>
        </w:tc>
        <w:tc>
          <w:tcPr>
            <w:tcW w:w="1380" w:type="dxa"/>
            <w:vAlign w:val="bottom"/>
          </w:tcPr>
          <w:p>
            <w:pPr>
              <w:spacing w:after="0"/>
              <w:rPr>
                <w:sz w:val="18"/>
                <w:szCs w:val="18"/>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sale of assets held for sale</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(14,337)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(14,337)</w:t>
            </w: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0"/>
        </w:trPr>
        <w:tc>
          <w:tcPr>
            <w:tcW w:w="548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59"/>
        </w:trPr>
        <w:tc>
          <w:tcPr>
            <w:tcW w:w="11220" w:type="dxa"/>
            <w:vAlign w:val="bottom"/>
            <w:gridSpan w:val="18"/>
          </w:tcPr>
          <w:p>
            <w:pPr>
              <w:ind w:left="420"/>
              <w:spacing w:after="0"/>
              <w:rPr>
                <w:sz w:val="20"/>
                <w:szCs w:val="20"/>
                <w:color w:val="auto"/>
              </w:rPr>
            </w:pPr>
            <w:r>
              <w:rPr>
                <w:rFonts w:ascii="Arial" w:cs="Arial" w:eastAsia="Arial" w:hAnsi="Arial"/>
                <w:sz w:val="16"/>
                <w:szCs w:val="16"/>
                <w:color w:val="auto"/>
              </w:rPr>
              <w:t>Gain on sale of assets held for sale for the three months ended March 31, 2025 was $14.3 million due to the sale of our operational headquarters on</w:t>
            </w:r>
          </w:p>
        </w:tc>
      </w:tr>
      <w:tr>
        <w:trPr>
          <w:trHeight w:val="215"/>
        </w:trPr>
        <w:tc>
          <w:tcPr>
            <w:tcW w:w="5380" w:type="dxa"/>
            <w:vAlign w:val="bottom"/>
          </w:tcPr>
          <w:p>
            <w:pPr>
              <w:spacing w:after="0"/>
              <w:rPr>
                <w:sz w:val="20"/>
                <w:szCs w:val="20"/>
                <w:color w:val="auto"/>
              </w:rPr>
            </w:pPr>
            <w:r>
              <w:rPr>
                <w:rFonts w:ascii="Arial" w:cs="Arial" w:eastAsia="Arial" w:hAnsi="Arial"/>
                <w:sz w:val="16"/>
                <w:szCs w:val="16"/>
                <w:color w:val="auto"/>
              </w:rPr>
              <w:t>March 31, 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13"/>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Interest expense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45"/>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8"/>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18"/>
                <w:szCs w:val="18"/>
                <w:color w:val="auto"/>
              </w:rPr>
            </w:pPr>
          </w:p>
        </w:tc>
        <w:tc>
          <w:tcPr>
            <w:tcW w:w="13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10"/>
          </w:tcPr>
          <w:p>
            <w:pPr>
              <w:ind w:left="100"/>
              <w:spacing w:after="0"/>
              <w:rPr>
                <w:sz w:val="20"/>
                <w:szCs w:val="20"/>
                <w:color w:val="auto"/>
              </w:rPr>
            </w:pPr>
            <w:r>
              <w:rPr>
                <w:rFonts w:ascii="Arial" w:cs="Arial" w:eastAsia="Arial" w:hAnsi="Arial"/>
                <w:sz w:val="16"/>
                <w:szCs w:val="16"/>
                <w:i w:val="1"/>
                <w:iCs w:val="1"/>
                <w:color w:val="auto"/>
              </w:rPr>
              <w:t>(in thousands, except percentages)</w:t>
            </w:r>
          </w:p>
        </w:tc>
        <w:tc>
          <w:tcPr>
            <w:tcW w:w="1380" w:type="dxa"/>
            <w:vAlign w:val="bottom"/>
          </w:tcPr>
          <w:p>
            <w:pPr>
              <w:spacing w:after="0"/>
              <w:rPr>
                <w:sz w:val="18"/>
                <w:szCs w:val="18"/>
                <w:color w:val="auto"/>
              </w:rPr>
            </w:pPr>
          </w:p>
        </w:tc>
      </w:tr>
      <w:tr>
        <w:trPr>
          <w:trHeight w:val="264"/>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(182)  $</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consists primarily of amortization of debt issuance costs related to our 2021 Revolving Facility.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20" w:type="dxa"/>
            <w:vAlign w:val="bottom"/>
          </w:tcPr>
          <w:p>
            <w:pPr>
              <w:spacing w:after="0"/>
              <w:rPr>
                <w:sz w:val="20"/>
                <w:szCs w:val="20"/>
                <w:color w:val="auto"/>
              </w:rPr>
            </w:pPr>
            <w:r>
              <w:rPr>
                <w:rFonts w:ascii="Arial" w:cs="Arial" w:eastAsia="Arial" w:hAnsi="Arial"/>
                <w:sz w:val="16"/>
                <w:szCs w:val="16"/>
                <w:b w:val="1"/>
                <w:bCs w:val="1"/>
                <w:i w:val="1"/>
                <w:iCs w:val="1"/>
                <w:color w:val="auto"/>
              </w:rPr>
              <w:t>Interest income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2"/>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9"/>
        </w:trPr>
        <w:tc>
          <w:tcPr>
            <w:tcW w:w="5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6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60" w:firstLine="405"/>
        <w:spacing w:after="0" w:line="286" w:lineRule="auto"/>
        <w:rPr>
          <w:sz w:val="20"/>
          <w:szCs w:val="20"/>
          <w:color w:val="auto"/>
        </w:rPr>
      </w:pPr>
      <w:r>
        <w:rPr>
          <w:rFonts w:ascii="Arial" w:cs="Arial" w:eastAsia="Arial" w:hAnsi="Arial"/>
          <w:sz w:val="16"/>
          <w:szCs w:val="16"/>
          <w:color w:val="auto"/>
        </w:rPr>
        <w:t>The change in interest income was primarily due to interest income generated from our money market investments during the three months ended March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net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45"/>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8"/>
                <w:szCs w:val="18"/>
                <w:color w:val="auto"/>
              </w:rPr>
            </w:pPr>
          </w:p>
        </w:tc>
      </w:tr>
      <w:tr>
        <w:trPr>
          <w:trHeight w:val="242"/>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40" w:firstLine="405"/>
        <w:spacing w:after="0" w:line="286" w:lineRule="auto"/>
        <w:rPr>
          <w:sz w:val="20"/>
          <w:szCs w:val="20"/>
          <w:color w:val="auto"/>
        </w:rPr>
      </w:pPr>
      <w:r>
        <w:rPr>
          <w:rFonts w:ascii="Arial" w:cs="Arial" w:eastAsia="Arial" w:hAnsi="Arial"/>
          <w:sz w:val="16"/>
          <w:szCs w:val="16"/>
          <w:color w:val="auto"/>
        </w:rPr>
        <w:t>The change in other income, net, between 2025 and 2024 was primarily due to changes in foreign currency movements related to our intercompany loans which were denominated in British Pound Sterling, or GBP.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53"/>
        </w:trPr>
        <w:tc>
          <w:tcPr>
            <w:tcW w:w="5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0"/>
        </w:trPr>
        <w:tc>
          <w:tcPr>
            <w:tcW w:w="5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3,230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520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32" w:name="page33"/>
    <w:bookmarkEnd w:id="32"/>
    <w:p>
      <w:pPr>
        <w:ind w:right="180" w:firstLine="405"/>
        <w:spacing w:after="0" w:line="286" w:lineRule="auto"/>
        <w:rPr>
          <w:sz w:val="20"/>
          <w:szCs w:val="20"/>
          <w:color w:val="auto"/>
        </w:rPr>
      </w:pPr>
      <w:r>
        <w:rPr>
          <w:rFonts w:ascii="Arial" w:cs="Arial" w:eastAsia="Arial" w:hAnsi="Arial"/>
          <w:sz w:val="16"/>
          <w:szCs w:val="16"/>
          <w:color w:val="auto"/>
        </w:rPr>
        <w:t>There was a $2.3 million increase in the provision for income taxes for the three months ended March 31, 2025 compared to the three months ended March 31, 2024. The change was primarily due to an increase in non-deductible stock-based compensation for the three months ended March 31, 2025.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33"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We fund our operations and capital expenditures from cash flows from operating activities. Our primary requirements for liquidity and capital are to finance working capital, capital expenditures and general corporate purposes. At March 31, 2025, our principal sources of liquidity were cash and cash equivalents of $210.0 million, which consisted of cash on deposit with banks and money market funds, of which approximately $3.6 million related to our foreign subsidiaries. Our cash and cash equivalents increased by $67.9 million from December 31, 2024 to March 31, 2025, primarily as a result of proceeds from stock option exercises primarily by former executive officers, proceeds from the sale of a property held for sale, and cash provided by operating activities, partially offset by cash paid for the acquisition of Formation Nation.</w:t>
      </w:r>
    </w:p>
    <w:p>
      <w:pPr>
        <w:spacing w:after="0" w:line="68"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We currently anticipate that our available cash, cash equivalents and cash provided by operating activities will be sufficient to meet our operational cash needs for at least the next twelve months and in the foreseeable future. We have the ability to supplement our liquidity needs with borrowings under our 2021 Revolving Facility.</w:t>
      </w:r>
    </w:p>
    <w:p>
      <w:pPr>
        <w:spacing w:after="0" w:line="56" w:lineRule="exact"/>
        <w:rPr>
          <w:sz w:val="20"/>
          <w:szCs w:val="20"/>
          <w:color w:val="auto"/>
        </w:rPr>
      </w:pPr>
    </w:p>
    <w:p>
      <w:pPr>
        <w:ind w:right="60" w:firstLine="405"/>
        <w:spacing w:after="0" w:line="265" w:lineRule="auto"/>
        <w:rPr>
          <w:sz w:val="20"/>
          <w:szCs w:val="20"/>
          <w:color w:val="auto"/>
        </w:rPr>
      </w:pPr>
      <w:r>
        <w:rPr>
          <w:rFonts w:ascii="Arial" w:cs="Arial" w:eastAsia="Arial" w:hAnsi="Arial"/>
          <w:sz w:val="16"/>
          <w:szCs w:val="16"/>
          <w:color w:val="auto"/>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2017 Tax Cuts and Jobs Act, or Tax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spacing w:after="0" w:line="64" w:lineRule="exact"/>
        <w:rPr>
          <w:sz w:val="20"/>
          <w:szCs w:val="20"/>
          <w:color w:val="auto"/>
        </w:rPr>
      </w:pPr>
    </w:p>
    <w:p>
      <w:pPr>
        <w:ind w:right="60" w:firstLine="405"/>
        <w:spacing w:after="0" w:line="259" w:lineRule="auto"/>
        <w:rPr>
          <w:sz w:val="20"/>
          <w:szCs w:val="20"/>
          <w:color w:val="auto"/>
        </w:rPr>
      </w:pPr>
      <w:r>
        <w:rPr>
          <w:rFonts w:ascii="Arial" w:cs="Arial" w:eastAsia="Arial" w:hAnsi="Arial"/>
          <w:sz w:val="16"/>
          <w:szCs w:val="16"/>
          <w:color w:val="auto"/>
        </w:rPr>
        <w:t>In October 2023, our board of directors approved a new stock repurchase program, pursuant to which our management is authorized to repurchase up to $100.0 million of shares of our common stock from time to time. In May 2024 and November 2024, our board of directors approved increases of $75.0 million and $40.0 million, respectively, in the stock repurchase program, bringing the aggregate amount authorized to $215.0 million as of March 31, 2025. Approximately $50.0 million remained available for future repurchases under the stock repurchase program as of March 31, 2025. Subsequent to March 31, 2025, in May 2025, our board of directors approved a $100.0 million increase in our stock repurchase program, bringing the aggregate amount authorized to $315.0 million. For additional information regarding our stock repurchase program, refer to Note 8 to our unaudited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2021 Revolving Facility</w:t>
      </w:r>
    </w:p>
    <w:p>
      <w:pPr>
        <w:spacing w:after="0" w:line="125"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On July 2, 2021, we entered into our $150.0 million 2021 Revolving Facility with JPMorgan Chase Bank, N.A., as the administrative agent. The 2021 Revolving Facility, as amended, provides for the issuance of up to $20.0 million of letters of credit as well as borrowings on same-day notice, referred to as swingline loans, in an amount of up to $10.0 million. As of March 31, 2025, we had no borrowings outstanding and $150.0 million was available for use under our 2021 Revolving Facility.</w:t>
      </w:r>
    </w:p>
    <w:p>
      <w:pPr>
        <w:spacing w:after="0" w:line="65" w:lineRule="exact"/>
        <w:rPr>
          <w:sz w:val="20"/>
          <w:szCs w:val="20"/>
          <w:color w:val="auto"/>
        </w:rPr>
      </w:pPr>
    </w:p>
    <w:p>
      <w:pPr>
        <w:ind w:right="80" w:firstLine="405"/>
        <w:spacing w:after="0" w:line="265" w:lineRule="auto"/>
        <w:rPr>
          <w:sz w:val="20"/>
          <w:szCs w:val="20"/>
          <w:color w:val="auto"/>
        </w:rPr>
      </w:pPr>
      <w:r>
        <w:rPr>
          <w:rFonts w:ascii="Arial" w:cs="Arial" w:eastAsia="Arial" w:hAnsi="Arial"/>
          <w:sz w:val="16"/>
          <w:szCs w:val="16"/>
          <w:color w:val="auto"/>
        </w:rPr>
        <w:t>Subject to the satisfaction of certain criteria, we will be able to increase the 2021 Revolving Facility by an amount equal to the sum of (i) the greater of $90.0 million and 75% of consolidated last twelve months cash earnings before interest expense, tax, depreciation and amortization, or LTM CEBITDA, plus</w:t>
      </w:r>
    </w:p>
    <w:p>
      <w:pPr>
        <w:spacing w:after="0" w:line="1" w:lineRule="exact"/>
        <w:rPr>
          <w:sz w:val="20"/>
          <w:szCs w:val="20"/>
          <w:color w:val="auto"/>
        </w:rPr>
      </w:pPr>
    </w:p>
    <w:p>
      <w:pPr>
        <w:jc w:val="both"/>
        <w:ind w:right="180" w:firstLine="8"/>
        <w:spacing w:after="0" w:line="264" w:lineRule="auto"/>
        <w:tabs>
          <w:tab w:leader="none" w:pos="2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unused amounts under the general debt basket (i.e., an amount equal to the greater of $50.0 million and an equivalent percentage of consolidated LTM CEBITDA), plus (iii) an unlimited amount so long as we are in pro forma compliance with the Financial Covenant (as defined below), in each case, with the consent of the lenders participating in the increase.</w:t>
      </w:r>
    </w:p>
    <w:p>
      <w:pPr>
        <w:spacing w:after="0" w:line="65" w:lineRule="exact"/>
        <w:rPr>
          <w:sz w:val="20"/>
          <w:szCs w:val="20"/>
          <w:color w:val="auto"/>
        </w:rPr>
      </w:pPr>
    </w:p>
    <w:p>
      <w:pPr>
        <w:ind w:right="80" w:firstLine="405"/>
        <w:spacing w:after="0" w:line="259" w:lineRule="auto"/>
        <w:rPr>
          <w:sz w:val="20"/>
          <w:szCs w:val="20"/>
          <w:color w:val="auto"/>
        </w:rPr>
      </w:pPr>
      <w:r>
        <w:rPr>
          <w:rFonts w:ascii="Arial" w:cs="Arial" w:eastAsia="Arial" w:hAnsi="Arial"/>
          <w:sz w:val="16"/>
          <w:szCs w:val="16"/>
          <w:color w:val="auto"/>
        </w:rPr>
        <w:t>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As of March 31, 2025, the interest rate applicable to the 2021 Revolving Facility was subject to a 1.0% floor and was at a rate equal to the greatest of: (i) the administrative agent’s prime rate; (ii) the federal funds effective rate plus 1/2 of 1.0%; and</w:t>
      </w:r>
    </w:p>
    <w:p>
      <w:pPr>
        <w:spacing w:after="0" w:line="1" w:lineRule="exact"/>
        <w:rPr>
          <w:sz w:val="20"/>
          <w:szCs w:val="20"/>
          <w:color w:val="auto"/>
        </w:rPr>
      </w:pPr>
    </w:p>
    <w:p>
      <w:pPr>
        <w:ind w:right="200" w:firstLine="8"/>
        <w:spacing w:after="0" w:line="258" w:lineRule="auto"/>
        <w:tabs>
          <w:tab w:leader="none" w:pos="26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secured overnight financing rate, or SOFR, plus a 0.10% credit spread adjustment to the SOFR benchmark, or Adjusted Term SOFR, plus 1.0%; provided that if the Adjusted Term SOFR is less than zero, the Adjusted Term SOFR shall be deemed to be zero. The interest rate margins under the 2021 Revolving Facility are subject to a reduction of 0.25% and a</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further reduction of 0.25% if the total net first lien leverage ratio does not exceed 3.50 to 1.00 and 2.50 to 1.00, respectively.</w:t>
      </w:r>
    </w:p>
    <w:p>
      <w:pPr>
        <w:spacing w:after="0" w:line="113"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We have the option to voluntarily repay outstanding loans at any time without premium or penalty, other than customary “breakage” costs with respect to SOFR loans. There is no scheduled amortization under the 2021 Revolving Facility. The principal amount outstanding is due and payable in full at maturity on July 1, 2026.</w:t>
      </w:r>
    </w:p>
    <w:p>
      <w:pPr>
        <w:spacing w:after="0" w:line="70" w:lineRule="exact"/>
        <w:rPr>
          <w:sz w:val="20"/>
          <w:szCs w:val="20"/>
          <w:color w:val="auto"/>
        </w:rPr>
      </w:pPr>
    </w:p>
    <w:p>
      <w:pPr>
        <w:ind w:right="280" w:firstLine="405"/>
        <w:spacing w:after="0" w:line="266" w:lineRule="auto"/>
        <w:rPr>
          <w:sz w:val="20"/>
          <w:szCs w:val="20"/>
          <w:color w:val="auto"/>
        </w:rPr>
      </w:pPr>
      <w:r>
        <w:rPr>
          <w:rFonts w:ascii="Arial" w:cs="Arial" w:eastAsia="Arial" w:hAnsi="Arial"/>
          <w:sz w:val="16"/>
          <w:szCs w:val="16"/>
          <w:color w:val="auto"/>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w:t>
      </w:r>
    </w:p>
    <w:p>
      <w:pPr>
        <w:spacing w:after="0" w:line="77" w:lineRule="exact"/>
        <w:rPr>
          <w:sz w:val="20"/>
          <w:szCs w:val="20"/>
          <w:color w:val="auto"/>
        </w:rPr>
      </w:pPr>
    </w:p>
    <w:p>
      <w:pPr>
        <w:ind w:right="320" w:firstLine="405"/>
        <w:spacing w:after="0" w:line="260" w:lineRule="auto"/>
        <w:rPr>
          <w:sz w:val="20"/>
          <w:szCs w:val="20"/>
          <w:color w:val="auto"/>
        </w:rPr>
      </w:pPr>
      <w:r>
        <w:rPr>
          <w:rFonts w:ascii="Arial" w:cs="Arial" w:eastAsia="Arial" w:hAnsi="Arial"/>
          <w:sz w:val="16"/>
          <w:szCs w:val="16"/>
          <w:color w:val="auto"/>
        </w:rPr>
        <w:t>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83" w:lineRule="exact"/>
        <w:rPr>
          <w:sz w:val="20"/>
          <w:szCs w:val="20"/>
          <w:color w:val="auto"/>
        </w:rPr>
      </w:pPr>
    </w:p>
    <w:p>
      <w:pPr>
        <w:ind w:right="160" w:firstLine="405"/>
        <w:spacing w:after="0" w:line="266" w:lineRule="auto"/>
        <w:rPr>
          <w:sz w:val="20"/>
          <w:szCs w:val="20"/>
          <w:color w:val="auto"/>
        </w:rPr>
      </w:pPr>
      <w:r>
        <w:rPr>
          <w:rFonts w:ascii="Arial" w:cs="Arial" w:eastAsia="Arial" w:hAnsi="Arial"/>
          <w:sz w:val="16"/>
          <w:szCs w:val="16"/>
          <w:color w:val="auto"/>
        </w:rPr>
        <w:t>The 2021 Revolving Facility requires compliance with a total net first lien leverage ratio not to exceed 4.50 to 1.00, or the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ectPr>
          <w:pgSz w:w="11900" w:h="16838" w:orient="portrait"/>
          <w:cols w:equalWidth="0" w:num="1">
            <w:col w:w="11240"/>
          </w:cols>
          <w:pgMar w:left="320" w:top="1043"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a summary of our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621030</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(used in) financing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8084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6" w:lineRule="exact"/>
        <w:rPr>
          <w:sz w:val="20"/>
          <w:szCs w:val="20"/>
          <w:color w:val="auto"/>
        </w:rPr>
      </w:pPr>
    </w:p>
    <w:p>
      <w:pPr>
        <w:ind w:left="500"/>
        <w:spacing w:after="0"/>
        <w:tabs>
          <w:tab w:leader="none" w:pos="196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8084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50,703</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34,194</w:t>
            </w:r>
          </w:p>
        </w:tc>
      </w:tr>
      <w:tr>
        <w:trPr>
          <w:trHeight w:val="238"/>
        </w:trPr>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(9,477)</w:t>
            </w:r>
          </w:p>
        </w:tc>
      </w:tr>
      <w:tr>
        <w:trPr>
          <w:trHeight w:val="243"/>
        </w:trPr>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(22,271)</w:t>
            </w:r>
          </w:p>
        </w:tc>
      </w:tr>
      <w:tr>
        <w:trPr>
          <w:trHeight w:val="243"/>
        </w:trPr>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9"/>
        </w:trPr>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8"/>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67,909</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2,410</w:t>
            </w:r>
          </w:p>
        </w:tc>
      </w:tr>
      <w:tr>
        <w:trPr>
          <w:trHeight w:val="28"/>
        </w:trPr>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40"/>
          </w:cols>
          <w:pgMar w:left="320" w:top="1043" w:right="3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33" w:lineRule="exact"/>
        <w:rPr>
          <w:sz w:val="20"/>
          <w:szCs w:val="20"/>
          <w:color w:val="auto"/>
        </w:rPr>
      </w:pPr>
    </w:p>
    <w:p>
      <w:pPr>
        <w:ind w:firstLine="405"/>
        <w:spacing w:after="0" w:line="260" w:lineRule="auto"/>
        <w:rPr>
          <w:sz w:val="20"/>
          <w:szCs w:val="20"/>
          <w:color w:val="auto"/>
        </w:rPr>
      </w:pPr>
      <w:r>
        <w:rPr>
          <w:rFonts w:ascii="Arial" w:cs="Arial" w:eastAsia="Arial" w:hAnsi="Arial"/>
          <w:sz w:val="16"/>
          <w:szCs w:val="16"/>
          <w:color w:val="auto"/>
        </w:rPr>
        <w:t>Our largest source of operating cash is cash collections from our customers for our transaction products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income adjusted for certain non-cash items, including depreciation and amortization expense, stock-based compensation and impairments of long-lived assets, as well as the effect of changes in operating assets and liabilities.</w:t>
      </w:r>
    </w:p>
    <w:p>
      <w:pPr>
        <w:spacing w:after="0" w:line="83" w:lineRule="exact"/>
        <w:rPr>
          <w:sz w:val="20"/>
          <w:szCs w:val="20"/>
          <w:color w:val="auto"/>
        </w:rPr>
      </w:pPr>
    </w:p>
    <w:p>
      <w:pPr>
        <w:ind w:right="120" w:firstLine="405"/>
        <w:spacing w:after="0" w:line="257" w:lineRule="auto"/>
        <w:rPr>
          <w:sz w:val="20"/>
          <w:szCs w:val="20"/>
          <w:color w:val="auto"/>
        </w:rPr>
      </w:pPr>
      <w:r>
        <w:rPr>
          <w:rFonts w:ascii="Arial" w:cs="Arial" w:eastAsia="Arial" w:hAnsi="Arial"/>
          <w:sz w:val="16"/>
          <w:szCs w:val="16"/>
          <w:color w:val="auto"/>
        </w:rPr>
        <w:t>In the three months ended March 31, 2025, cash provided by operating activities was $50.7 million resulting from net income of $5.1 million, adjusted for stock-based compensation and other non-cash expenses of $28.4 million and net cash flows provided by changes in operating assets and liabilities of $17.2 million. The $28.4 million of stock-based compensation and other non-cash expenses resulted primarily from $29.8 million in stock-based compensation expense, $10.4 million in depreciation and amortization expense, and $0.6 million in amortization of right-of-use assets expense, partially offset by a $14.3 million gain on disposal of property and equipment. The $17.2 million of net cash flows provided from changes in our operating assets and liabilities resulted primarily from a $26.8 million increase in deferred revenue largely due to the growth of our subscription units which are predominantly billed in advance of our revenue recognition, partially offset by a $9.1 million increase in accounts receivables, and a $2.2 million increase in prepaid and other current assets.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19" w:lineRule="exact"/>
        <w:rPr>
          <w:sz w:val="20"/>
          <w:szCs w:val="20"/>
          <w:color w:val="auto"/>
        </w:rPr>
      </w:pPr>
    </w:p>
    <w:p>
      <w:pPr>
        <w:ind w:right="60" w:firstLine="405"/>
        <w:spacing w:after="0" w:line="271" w:lineRule="auto"/>
        <w:rPr>
          <w:sz w:val="20"/>
          <w:szCs w:val="20"/>
          <w:color w:val="auto"/>
        </w:rPr>
      </w:pPr>
      <w:r>
        <w:rPr>
          <w:rFonts w:ascii="Arial" w:cs="Arial" w:eastAsia="Arial" w:hAnsi="Arial"/>
          <w:sz w:val="16"/>
          <w:szCs w:val="16"/>
          <w:color w:val="auto"/>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spacing w:after="0" w:line="60" w:lineRule="exact"/>
        <w:rPr>
          <w:sz w:val="20"/>
          <w:szCs w:val="20"/>
          <w:color w:val="auto"/>
        </w:rPr>
      </w:pPr>
    </w:p>
    <w:p>
      <w:pPr>
        <w:ind w:right="300" w:firstLine="405"/>
        <w:spacing w:after="0" w:line="275" w:lineRule="auto"/>
        <w:rPr>
          <w:sz w:val="20"/>
          <w:szCs w:val="20"/>
          <w:color w:val="auto"/>
        </w:rPr>
      </w:pPr>
      <w:r>
        <w:rPr>
          <w:rFonts w:ascii="Arial" w:cs="Arial" w:eastAsia="Arial" w:hAnsi="Arial"/>
          <w:sz w:val="16"/>
          <w:szCs w:val="16"/>
          <w:color w:val="auto"/>
        </w:rPr>
        <w:t>In the three months ended March 31, 2025, net cash used in investing activities was $20.5 million resulting primarily from $48.1 million used for the acquisition of Formation Nation, net of cash acquired and $9.4 million in purchases of property and equipment, including capitalization of internal-use software, partially offset by $37.1 million in proceeds from the sale of our operational headquarters.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33" w:lineRule="exact"/>
        <w:rPr>
          <w:sz w:val="20"/>
          <w:szCs w:val="20"/>
          <w:color w:val="auto"/>
        </w:rPr>
      </w:pPr>
    </w:p>
    <w:p>
      <w:pPr>
        <w:ind w:right="320" w:firstLine="405"/>
        <w:spacing w:after="0" w:line="286" w:lineRule="auto"/>
        <w:rPr>
          <w:sz w:val="20"/>
          <w:szCs w:val="20"/>
          <w:color w:val="auto"/>
        </w:rPr>
      </w:pPr>
      <w:r>
        <w:rPr>
          <w:rFonts w:ascii="Arial" w:cs="Arial" w:eastAsia="Arial" w:hAnsi="Arial"/>
          <w:sz w:val="16"/>
          <w:szCs w:val="16"/>
          <w:color w:val="auto"/>
        </w:rPr>
        <w:t>Our primary uses of cash in financing activities are for repurchases of common stock and settlements of stock options and restricted stock units, or RSUs. Net cash provided by financing activities is primarily impacted by exercises of stock options by our employees and issuance of common stock.</w:t>
      </w:r>
    </w:p>
    <w:p>
      <w:pPr>
        <w:spacing w:after="0" w:line="48" w:lineRule="exact"/>
        <w:rPr>
          <w:sz w:val="20"/>
          <w:szCs w:val="20"/>
          <w:color w:val="auto"/>
        </w:rPr>
      </w:pPr>
    </w:p>
    <w:p>
      <w:pPr>
        <w:ind w:right="240" w:firstLine="405"/>
        <w:spacing w:after="0" w:line="275" w:lineRule="auto"/>
        <w:rPr>
          <w:sz w:val="20"/>
          <w:szCs w:val="20"/>
          <w:color w:val="auto"/>
        </w:rPr>
      </w:pPr>
      <w:r>
        <w:rPr>
          <w:rFonts w:ascii="Arial" w:cs="Arial" w:eastAsia="Arial" w:hAnsi="Arial"/>
          <w:sz w:val="16"/>
          <w:szCs w:val="16"/>
          <w:color w:val="auto"/>
        </w:rPr>
        <w:t>In the three months ended March 31, 2025, net cash provided by financing activities was $37.6 million, primarily resulting from $43.5 million in proceeds from the exercise of stock options primarily by former executive officers and a $5.9 million settlement of minimum statutory tax withholding upon vesting of RSUs.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Cash Requirements</w:t>
      </w:r>
    </w:p>
    <w:p>
      <w:pPr>
        <w:spacing w:after="0" w:line="233"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believe our current cash and cash equivalents, as well as cash expected to be generated by future operating activities, will be sufficient to meet our material cash requirements for the next twelve months. Our material cash requirements include the below contractual and other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Commitments</w:t>
      </w:r>
    </w:p>
    <w:p>
      <w:pPr>
        <w:spacing w:after="0" w:line="111" w:lineRule="exact"/>
        <w:rPr>
          <w:sz w:val="20"/>
          <w:szCs w:val="20"/>
          <w:color w:val="auto"/>
        </w:rPr>
      </w:pPr>
    </w:p>
    <w:p>
      <w:pPr>
        <w:ind w:right="600" w:firstLine="405"/>
        <w:spacing w:after="0" w:line="286" w:lineRule="auto"/>
        <w:rPr>
          <w:sz w:val="20"/>
          <w:szCs w:val="20"/>
          <w:color w:val="auto"/>
        </w:rPr>
      </w:pPr>
      <w:r>
        <w:rPr>
          <w:rFonts w:ascii="Arial" w:cs="Arial" w:eastAsia="Arial" w:hAnsi="Arial"/>
          <w:sz w:val="16"/>
          <w:szCs w:val="16"/>
          <w:color w:val="auto"/>
        </w:rPr>
        <w:t>We have non-cancelable agreements with various vendors, which require us to pay $35.1 million over a five-year period, of which $22.8 million remains to be paid as of March 31, 2025.</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Obligations</w:t>
      </w:r>
    </w:p>
    <w:p>
      <w:pPr>
        <w:spacing w:after="0" w:line="111" w:lineRule="exact"/>
        <w:rPr>
          <w:sz w:val="20"/>
          <w:szCs w:val="20"/>
          <w:color w:val="auto"/>
        </w:rPr>
      </w:pPr>
    </w:p>
    <w:p>
      <w:pPr>
        <w:ind w:right="520" w:firstLine="405"/>
        <w:spacing w:after="0" w:line="265" w:lineRule="auto"/>
        <w:rPr>
          <w:sz w:val="20"/>
          <w:szCs w:val="20"/>
          <w:color w:val="auto"/>
        </w:rPr>
      </w:pPr>
      <w:r>
        <w:rPr>
          <w:rFonts w:ascii="Arial" w:cs="Arial" w:eastAsia="Arial" w:hAnsi="Arial"/>
          <w:sz w:val="16"/>
          <w:szCs w:val="16"/>
          <w:color w:val="auto"/>
        </w:rPr>
        <w:t>At March 31, 2025, we had various non-cancelable operating leases for office space, which expire between July 2025 and February 2033. As of March 31, 2025, we had total minimum operating lease maturities of $16.6 million, $2.8 million of which mature within nine months. See Note 8 of our consolidated financial statements included in our 2024 Annual Report on Form 10-K for additional information regarding our future operating lease payments.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To supplement our unaudited condensed consolidated financial statements, which are prepared and presented in accordance with U.S. generally</w:t>
      </w:r>
    </w:p>
    <w:p>
      <w:pPr>
        <w:spacing w:after="0" w:line="3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accepted accounting principles, or GAAP, we use certain non-GAAP financial measures, as described below, to understand and evaluate our core operating performance. We believe that these non-GAAP financial measures provide investors with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also believe that these measures provide an additional tool for investors to use in comparing our core financial performance over multiple periods with other companies in our industry. These non-GAAP measures should not be considered in isolation of, or as a substitute or an alternative to, measures prepared and presented in accordance with GAAP.</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219" w:lineRule="exact"/>
        <w:rPr>
          <w:sz w:val="20"/>
          <w:szCs w:val="20"/>
          <w:color w:val="auto"/>
        </w:rPr>
      </w:pPr>
    </w:p>
    <w:p>
      <w:pPr>
        <w:ind w:right="200" w:firstLine="405"/>
        <w:spacing w:after="0" w:line="265" w:lineRule="auto"/>
        <w:rPr>
          <w:sz w:val="20"/>
          <w:szCs w:val="20"/>
          <w:color w:val="auto"/>
        </w:rPr>
      </w:pPr>
      <w:r>
        <w:rPr>
          <w:rFonts w:ascii="Arial" w:cs="Arial" w:eastAsia="Arial" w:hAnsi="Arial"/>
          <w:sz w:val="16"/>
          <w:szCs w:val="16"/>
          <w:color w:val="auto"/>
        </w:rPr>
        <w:t>We define Adjusted EBITDA as net income (loss) adjusted to exclude interest expense, interest income, provision for (benefit from) income taxes, depreciation and amortization, other expense (income), net, stock-based compensation and certain non-recurring income and expenses from time to time. We define Adjusted EBITDA margin as Adjusted EBITDA as a percentage of revenue. We define net income (loss) margin as net income (loss) as a percentage of revenue based on our consolidated financial statements.</w:t>
      </w:r>
    </w:p>
    <w:p>
      <w:pPr>
        <w:spacing w:after="0" w:line="78"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Adjusted EBITDA is one of the primary performance measures used by our management and our board of directors to understand and evaluate our financial performance and operating trends, including period-to-period comparisons, preparing and approving our annual budget and operational planning. In assessing our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35" w:name="page36"/>
    <w:bookmarkEnd w:id="35"/>
    <w:p>
      <w:pPr>
        <w:ind w:right="200"/>
        <w:spacing w:after="0" w:line="263" w:lineRule="auto"/>
        <w:rPr>
          <w:sz w:val="20"/>
          <w:szCs w:val="20"/>
          <w:color w:val="auto"/>
        </w:rPr>
      </w:pPr>
      <w:r>
        <w:rPr>
          <w:rFonts w:ascii="Arial" w:cs="Arial" w:eastAsia="Arial" w:hAnsi="Arial"/>
          <w:sz w:val="16"/>
          <w:szCs w:val="16"/>
          <w:color w:val="auto"/>
        </w:rPr>
        <w:t>performance, we exclude certain expenses that we believe are not comparable period over period or that we believe are not indicative of our underlying operating performance. There are a number of limitations related to the use of Adjusted EBITDA rather than net income (loss), which include that Adjusted</w:t>
      </w:r>
    </w:p>
    <w:p>
      <w:pPr>
        <w:spacing w:after="0"/>
        <w:rPr>
          <w:sz w:val="20"/>
          <w:szCs w:val="20"/>
          <w:color w:val="auto"/>
        </w:rPr>
      </w:pPr>
      <w:r>
        <w:rPr>
          <w:rFonts w:ascii="Arial" w:cs="Arial" w:eastAsia="Arial" w:hAnsi="Arial"/>
          <w:sz w:val="16"/>
          <w:szCs w:val="16"/>
          <w:color w:val="auto"/>
        </w:rPr>
        <w:t>EBITDA:</w:t>
      </w:r>
    </w:p>
    <w:p>
      <w:pPr>
        <w:spacing w:after="0" w:line="101" w:lineRule="exact"/>
        <w:rPr>
          <w:sz w:val="20"/>
          <w:szCs w:val="20"/>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may be calculated differently by other companies in our industry, limiting its usefulness as a comparative measure;</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does not reflect our capital expenditures, future requirements for capital expenditures or contractual commitments;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excludes depreciation and amortization and, although these are non-cash expenses, the assets being depreciated may be replaced in the future;</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does not reflect changes in, or cash requirements for, our working capital needs;</w:t>
      </w:r>
    </w:p>
    <w:p>
      <w:pPr>
        <w:spacing w:after="0" w:line="126" w:lineRule="exact"/>
        <w:rPr>
          <w:rFonts w:ascii="Arial" w:cs="Arial" w:eastAsia="Arial" w:hAnsi="Arial"/>
          <w:sz w:val="16"/>
          <w:szCs w:val="16"/>
          <w:color w:val="auto"/>
        </w:rPr>
      </w:pPr>
    </w:p>
    <w:p>
      <w:pPr>
        <w:ind w:left="820" w:right="240" w:hanging="326"/>
        <w:spacing w:after="0" w:line="286" w:lineRule="auto"/>
        <w:tabs>
          <w:tab w:leader="none" w:pos="7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excludes stock-based compensation expense, which has been, and will continue to be, a significant recurring expense for our business and an important part of our compensation strategy; and</w:t>
      </w:r>
    </w:p>
    <w:p>
      <w:pPr>
        <w:spacing w:after="0" w:line="61" w:lineRule="exact"/>
        <w:rPr>
          <w:rFonts w:ascii="Arial" w:cs="Arial" w:eastAsia="Arial" w:hAnsi="Arial"/>
          <w:sz w:val="16"/>
          <w:szCs w:val="16"/>
          <w:color w:val="auto"/>
        </w:rPr>
      </w:pPr>
    </w:p>
    <w:p>
      <w:pPr>
        <w:ind w:left="820" w:right="100" w:hanging="326"/>
        <w:spacing w:after="0" w:line="286" w:lineRule="auto"/>
        <w:tabs>
          <w:tab w:leader="none" w:pos="7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does not reflect certain expenses that we do not consider representative of our underlying operating performance, but that reduce cash available to us.</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a reconciliation of net income to Adjusted EBITDA for each of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8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199"/>
              <w:spacing w:after="0"/>
              <w:rPr>
                <w:sz w:val="20"/>
                <w:szCs w:val="20"/>
                <w:color w:val="auto"/>
              </w:rPr>
            </w:pPr>
            <w:r>
              <w:rPr>
                <w:rFonts w:ascii="Arial" w:cs="Arial" w:eastAsia="Arial" w:hAnsi="Arial"/>
                <w:sz w:val="16"/>
                <w:szCs w:val="16"/>
                <w:i w:val="1"/>
                <w:iCs w:val="1"/>
                <w:color w:val="auto"/>
              </w:rPr>
              <w:t>(in thousands, except percentages)</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income to Adjusted EBITDA</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5,127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4,744</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(2,887)</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3,230</w:t>
            </w:r>
          </w:p>
        </w:tc>
        <w:tc>
          <w:tcPr>
            <w:tcW w:w="0" w:type="dxa"/>
            <w:vAlign w:val="bottom"/>
          </w:tcPr>
          <w:p>
            <w:pPr>
              <w:spacing w:after="0"/>
              <w:rPr>
                <w:sz w:val="1"/>
                <w:szCs w:val="1"/>
                <w:color w:val="auto"/>
              </w:rPr>
            </w:pPr>
          </w:p>
        </w:tc>
      </w:tr>
      <w:tr>
        <w:trPr>
          <w:trHeight w:val="242"/>
        </w:trPr>
        <w:tc>
          <w:tcPr>
            <w:tcW w:w="81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7,670</w:t>
            </w:r>
          </w:p>
        </w:tc>
        <w:tc>
          <w:tcPr>
            <w:tcW w:w="0" w:type="dxa"/>
            <w:vAlign w:val="bottom"/>
          </w:tcPr>
          <w:p>
            <w:pPr>
              <w:spacing w:after="0"/>
              <w:rPr>
                <w:sz w:val="1"/>
                <w:szCs w:val="1"/>
                <w:color w:val="auto"/>
              </w:rPr>
            </w:pPr>
          </w:p>
        </w:tc>
      </w:tr>
      <w:tr>
        <w:trPr>
          <w:trHeight w:val="24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42"/>
        </w:trPr>
        <w:tc>
          <w:tcPr>
            <w:tcW w:w="81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29,756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14,856</w:t>
            </w:r>
          </w:p>
        </w:tc>
        <w:tc>
          <w:tcPr>
            <w:tcW w:w="0" w:type="dxa"/>
            <w:vAlign w:val="bottom"/>
          </w:tcPr>
          <w:p>
            <w:pPr>
              <w:spacing w:after="0"/>
              <w:rPr>
                <w:sz w:val="1"/>
                <w:szCs w:val="1"/>
                <w:color w:val="auto"/>
              </w:rPr>
            </w:pPr>
          </w:p>
        </w:tc>
      </w:tr>
      <w:tr>
        <w:trPr>
          <w:trHeight w:val="24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Transaction-related expenses</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Gain on sale of assets held for sale</w:t>
            </w:r>
          </w:p>
        </w:tc>
        <w:tc>
          <w:tcPr>
            <w:tcW w:w="2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(14,337)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37,012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27,902</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margin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Adjusted EBITDA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2025, transaction-related expenses related to our acquisition of Formation Nation.</w:t>
      </w:r>
    </w:p>
    <w:p>
      <w:pPr>
        <w:spacing w:after="0" w:line="126" w:lineRule="exact"/>
        <w:rPr>
          <w:rFonts w:ascii="Arial" w:cs="Arial" w:eastAsia="Arial" w:hAnsi="Arial"/>
          <w:sz w:val="16"/>
          <w:szCs w:val="16"/>
          <w:color w:val="auto"/>
        </w:rPr>
      </w:pPr>
    </w:p>
    <w:p>
      <w:pPr>
        <w:ind w:left="440" w:hanging="432"/>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2025 and 2024, restructuring costs related to the reduction of our U.S. headcount.</w:t>
      </w:r>
    </w:p>
    <w:p>
      <w:pPr>
        <w:spacing w:after="0" w:line="221"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Adjusted EBITDA increased from $27.9 million for the three months ended March 31, 2024 to $37.0 million for the three months ended March 31, 2025. The increase of $9.1 million resulted primarily from an increase in revenue of $8.9 million, a $2.1 million reduction in cost of revenue, excluding non-cash items, and an increase in operating expenses, excluding non-cash and non-recurring items, of $1.9 million. Changes in cost of revenue, excluding non-cash items, and operating expenses, excluding non-cash and non-recurring items, reflect a $14.9 million increase in stock-based compensation and a $14.3 million gain on the sale of our operational headquarters.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Free cash flow</w:t>
      </w:r>
    </w:p>
    <w:p>
      <w:pPr>
        <w:spacing w:after="0" w:line="219"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Free cash flow is a liquidity measure used by management in evaluating the cash generated by our operations after purchases of property and equipment including capitalized internal-use software. We believe free cash flow provides useful information to management and investors about the amount of cash generated by our business that can be used for strategic opportunities, including investing in our business and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p>
      <w:pPr>
        <w:jc w:val="both"/>
        <w:ind w:right="300"/>
        <w:spacing w:after="0" w:line="275" w:lineRule="auto"/>
        <w:rPr>
          <w:sz w:val="20"/>
          <w:szCs w:val="20"/>
          <w:color w:val="auto"/>
        </w:rPr>
      </w:pPr>
      <w:r>
        <w:rPr>
          <w:rFonts w:ascii="Arial" w:cs="Arial" w:eastAsia="Arial" w:hAnsi="Arial"/>
          <w:sz w:val="16"/>
          <w:szCs w:val="16"/>
          <w:color w:val="auto"/>
        </w:rPr>
        <w:t>strengthening our balance sheet, once our business needs and obligations are met.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a reconciliation of net cash provided by operating activities, the most directly comparable GAAP measure, to free cash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Cash Provided by Operating Activities to Free Cash Flow</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40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50,703</w:t>
            </w:r>
          </w:p>
        </w:tc>
        <w:tc>
          <w:tcPr>
            <w:tcW w:w="100" w:type="dxa"/>
            <w:vAlign w:val="bottom"/>
          </w:tcPr>
          <w:p>
            <w:pPr>
              <w:spacing w:after="0"/>
              <w:rPr>
                <w:sz w:val="21"/>
                <w:szCs w:val="21"/>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34,194</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(9,378)</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(9,477)</w:t>
            </w:r>
          </w:p>
        </w:tc>
        <w:tc>
          <w:tcPr>
            <w:tcW w:w="0" w:type="dxa"/>
            <w:vAlign w:val="bottom"/>
          </w:tcPr>
          <w:p>
            <w:pPr>
              <w:spacing w:after="0"/>
              <w:rPr>
                <w:sz w:val="1"/>
                <w:szCs w:val="1"/>
                <w:color w:val="auto"/>
              </w:rPr>
            </w:pPr>
          </w:p>
        </w:tc>
      </w:tr>
      <w:tr>
        <w:trPr>
          <w:trHeight w:val="209"/>
        </w:trPr>
        <w:tc>
          <w:tcPr>
            <w:tcW w:w="8400" w:type="dxa"/>
            <w:vAlign w:val="bottom"/>
            <w:vMerge w:val="restart"/>
          </w:tcPr>
          <w:p>
            <w:pPr>
              <w:ind w:left="360"/>
              <w:spacing w:after="0"/>
              <w:rPr>
                <w:sz w:val="20"/>
                <w:szCs w:val="20"/>
                <w:color w:val="auto"/>
              </w:rPr>
            </w:pPr>
            <w:r>
              <w:rPr>
                <w:rFonts w:ascii="Arial" w:cs="Arial" w:eastAsia="Arial" w:hAnsi="Arial"/>
                <w:sz w:val="16"/>
                <w:szCs w:val="16"/>
                <w:color w:val="auto"/>
              </w:rPr>
              <w:t>Free cash flow</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41,325</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24,717</w:t>
            </w:r>
          </w:p>
        </w:tc>
        <w:tc>
          <w:tcPr>
            <w:tcW w:w="0" w:type="dxa"/>
            <w:vAlign w:val="bottom"/>
          </w:tcPr>
          <w:p>
            <w:pPr>
              <w:spacing w:after="0"/>
              <w:rPr>
                <w:sz w:val="1"/>
                <w:szCs w:val="1"/>
                <w:color w:val="auto"/>
              </w:rPr>
            </w:pPr>
          </w:p>
        </w:tc>
      </w:tr>
      <w:tr>
        <w:trPr>
          <w:trHeight w:val="28"/>
        </w:trPr>
        <w:tc>
          <w:tcPr>
            <w:tcW w:w="840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20" w:firstLine="405"/>
        <w:spacing w:after="0" w:line="260" w:lineRule="auto"/>
        <w:rPr>
          <w:sz w:val="20"/>
          <w:szCs w:val="20"/>
          <w:color w:val="auto"/>
        </w:rPr>
      </w:pPr>
      <w:r>
        <w:rPr>
          <w:rFonts w:ascii="Arial" w:cs="Arial" w:eastAsia="Arial" w:hAnsi="Arial"/>
          <w:sz w:val="16"/>
          <w:szCs w:val="16"/>
          <w:color w:val="auto"/>
        </w:rPr>
        <w:t>We experienced an increase in our free cash flow from $24.7 million for the three months ended March 31, 2024 to $41.3 million for the three months ended March 31, 2025, primarily due to a $16.5 million increase in net cash provided by operating activities. The increase in net cash provided by operating activities resulted from a $12.6 million favorable change in our operating assets and liabilities and a $3.9 million increase in net income after adjusting for stock-based compensation and other non-cash items. Free cash flow was also impacted by a $0.1 million decrease in capital expenditures for the purchase of property and equipment, including capitalization of internal-use software.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221" w:lineRule="exact"/>
        <w:rPr>
          <w:sz w:val="20"/>
          <w:szCs w:val="20"/>
          <w:color w:val="auto"/>
        </w:rPr>
      </w:pPr>
    </w:p>
    <w:p>
      <w:pPr>
        <w:ind w:right="140" w:firstLine="405"/>
        <w:spacing w:after="0" w:line="275" w:lineRule="auto"/>
        <w:rPr>
          <w:sz w:val="20"/>
          <w:szCs w:val="20"/>
          <w:color w:val="auto"/>
        </w:rPr>
      </w:pPr>
      <w:r>
        <w:rPr>
          <w:rFonts w:ascii="Arial" w:cs="Arial" w:eastAsia="Arial" w:hAnsi="Arial"/>
          <w:sz w:val="16"/>
          <w:szCs w:val="16"/>
          <w:color w:val="auto"/>
        </w:rPr>
        <w:t>During the three months ended March 31, 2025, there were no significant changes to our critical accounting estimates compared with those disclosed described under the heading “</w:t>
      </w:r>
      <w:r>
        <w:rPr>
          <w:rFonts w:ascii="Arial" w:cs="Arial" w:eastAsia="Arial" w:hAnsi="Arial"/>
          <w:sz w:val="16"/>
          <w:szCs w:val="16"/>
          <w:i w:val="1"/>
          <w:iCs w:val="1"/>
          <w:color w:val="auto"/>
        </w:rPr>
        <w:t>Management’s Discussion and Analysis of Financial Condition and Results of Operations—Critical Accounting Estimates</w:t>
      </w:r>
      <w:r>
        <w:rPr>
          <w:rFonts w:ascii="Arial" w:cs="Arial" w:eastAsia="Arial" w:hAnsi="Arial"/>
          <w:sz w:val="16"/>
          <w:szCs w:val="16"/>
          <w:color w:val="auto"/>
        </w:rPr>
        <w:t>” in our 2024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35" w:lineRule="exact"/>
        <w:rPr>
          <w:sz w:val="20"/>
          <w:szCs w:val="20"/>
          <w:color w:val="auto"/>
        </w:rPr>
      </w:pPr>
    </w:p>
    <w:p>
      <w:pPr>
        <w:ind w:right="180" w:firstLine="405"/>
        <w:spacing w:after="0" w:line="266" w:lineRule="auto"/>
        <w:rPr>
          <w:sz w:val="20"/>
          <w:szCs w:val="20"/>
          <w:color w:val="auto"/>
        </w:rPr>
      </w:pPr>
      <w:r>
        <w:rPr>
          <w:rFonts w:ascii="Arial" w:cs="Arial" w:eastAsia="Arial" w:hAnsi="Arial"/>
          <w:sz w:val="16"/>
          <w:szCs w:val="16"/>
          <w:color w:val="auto"/>
        </w:rPr>
        <w:t>Refer to Note 2 to our unaudited condensed consolidated financial statements appearing elsewhere in this Quarterly Report on Form 10-Q for further information on certain accounting standards adopted in the period ended March 31, 2025 and recent accounting announcements that have not yet been required to be implemented and may be applicable to our future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operations both within the U.S. and, to a lesser extent, in the U.K., and we are exposed to market risks in the ordinary course of our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These risks include primarily interest rate fluctuations and foreign currency exchange risks, and to a lesser extent, inflation risk.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fluctuation risk</w:t>
      </w:r>
    </w:p>
    <w:p>
      <w:pPr>
        <w:spacing w:after="0" w:line="219" w:lineRule="exact"/>
        <w:rPr>
          <w:sz w:val="20"/>
          <w:szCs w:val="20"/>
          <w:color w:val="auto"/>
        </w:rPr>
      </w:pPr>
    </w:p>
    <w:p>
      <w:pPr>
        <w:ind w:right="220" w:firstLine="405"/>
        <w:spacing w:after="0" w:line="275" w:lineRule="auto"/>
        <w:rPr>
          <w:sz w:val="20"/>
          <w:szCs w:val="20"/>
          <w:color w:val="auto"/>
        </w:rPr>
      </w:pPr>
      <w:r>
        <w:rPr>
          <w:rFonts w:ascii="Arial" w:cs="Arial" w:eastAsia="Arial" w:hAnsi="Arial"/>
          <w:sz w:val="16"/>
          <w:szCs w:val="16"/>
          <w:color w:val="auto"/>
        </w:rPr>
        <w:t>At March 31, 2025 and December 31, 2024, we had cash and cash equivalents of $210.0 million and $142.1 million, respectively, which consisted of cash on deposit with banks and short-term highly-liquid money market funds. Interest-earning instruments carry a degree of interest rate risk. To date, fluctuations in interest income have not been significant.</w:t>
      </w:r>
    </w:p>
    <w:p>
      <w:pPr>
        <w:spacing w:after="0" w:line="56"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We had no outstanding debt subject to interest rate risk as of March 31, 2025 and December 31, 2024 and, as a result, we do not expect to be</w:t>
      </w:r>
    </w:p>
    <w:p>
      <w:pPr>
        <w:spacing w:after="0" w:line="31"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exposed to fluctuations in interest rates for the foreseeable future. However, we would be subject to fluctuation in interest rates if we draw down under our 2021 Revolving Facility, including issuance of any letters of credit.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219" w:lineRule="exact"/>
        <w:rPr>
          <w:sz w:val="20"/>
          <w:szCs w:val="20"/>
          <w:color w:val="auto"/>
        </w:rPr>
      </w:pPr>
    </w:p>
    <w:p>
      <w:pPr>
        <w:ind w:right="380" w:firstLine="405"/>
        <w:spacing w:after="0" w:line="286" w:lineRule="auto"/>
        <w:rPr>
          <w:sz w:val="20"/>
          <w:szCs w:val="20"/>
          <w:color w:val="auto"/>
        </w:rPr>
      </w:pPr>
      <w:r>
        <w:rPr>
          <w:rFonts w:ascii="Arial" w:cs="Arial" w:eastAsia="Arial" w:hAnsi="Arial"/>
          <w:sz w:val="16"/>
          <w:szCs w:val="16"/>
          <w:color w:val="auto"/>
        </w:rPr>
        <w:t>We have foreign currency risks related to our revenue, expenses, and intercompany balances denominated in currencies other than our functional currency, the U.S. Dollar, principally GBP. The volatility 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7" w:name="page38"/>
    <w:bookmarkEnd w:id="37"/>
    <w:p>
      <w:pPr>
        <w:spacing w:after="0" w:line="259" w:lineRule="auto"/>
        <w:rPr>
          <w:sz w:val="20"/>
          <w:szCs w:val="20"/>
          <w:color w:val="auto"/>
        </w:rPr>
      </w:pPr>
      <w:r>
        <w:rPr>
          <w:rFonts w:ascii="Arial" w:cs="Arial" w:eastAsia="Arial" w:hAnsi="Arial"/>
          <w:sz w:val="16"/>
          <w:szCs w:val="16"/>
          <w:color w:val="auto"/>
        </w:rPr>
        <w:t>exchange rates depends on many factors that we cannot forecast with reliable accuracy. We have experienced and will continue to experience fluctuations in our net income as a result of transaction gains and losses related to translating certain cash balances, trade accounts receivable and payable balances and intercompany loans that are denominated in currencies other than the U.S. Dollar. The foreign currency transaction gain was immaterial during the three months ended March 31, 2025. A 10% adverse change in foreign exchange rates on foreign-denominated accounts, including intercompany balances, for the three months ended March 31, 2025 would have been immaterial.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233" w:lineRule="exact"/>
        <w:rPr>
          <w:sz w:val="20"/>
          <w:szCs w:val="20"/>
          <w:color w:val="auto"/>
        </w:rPr>
      </w:pPr>
    </w:p>
    <w:p>
      <w:pPr>
        <w:ind w:right="400" w:firstLine="405"/>
        <w:spacing w:after="0" w:line="260" w:lineRule="auto"/>
        <w:rPr>
          <w:sz w:val="20"/>
          <w:szCs w:val="20"/>
          <w:color w:val="auto"/>
        </w:rPr>
      </w:pPr>
      <w:r>
        <w:rPr>
          <w:rFonts w:ascii="Arial" w:cs="Arial" w:eastAsia="Arial" w:hAnsi="Arial"/>
          <w:sz w:val="16"/>
          <w:szCs w:val="16"/>
          <w:color w:val="auto"/>
        </w:rPr>
        <w:t>To date, we do not believe that inflation has had a material effect on our business, financial condition, results of operations or future prospects. However, if our costs were to become subject to significant inflationary pressures, we may not be able to fully offset such higher costs through price increases. Our inability or failure to do so could harm our business, financial condition, results of operations and future prospects. Further, if current inflationary pressures are sustained for a prolonged period of time, the success of existing small businesses and the formation of new small businesses could continue to be adversely impacted, which could harm our business, results of operations, financial condition or future prospects.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3"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2025, our disclosure controls and procedures were effective at the reasonable assurance level.</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ind w:right="60" w:firstLine="405"/>
        <w:spacing w:after="0" w:line="275"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Rules 13a-15(d) and 15d-15(d) of the Exchange Act during the three months ended March 31, 2025 that have materially affected, or are reasonably likely to materially affect, our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127"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Part 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35"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21" w:lineRule="exact"/>
        <w:rPr>
          <w:sz w:val="20"/>
          <w:szCs w:val="20"/>
          <w:color w:val="auto"/>
        </w:rPr>
      </w:pPr>
    </w:p>
    <w:p>
      <w:pPr>
        <w:ind w:right="60" w:firstLine="405"/>
        <w:spacing w:after="0" w:line="262" w:lineRule="auto"/>
        <w:rPr>
          <w:sz w:val="20"/>
          <w:szCs w:val="20"/>
          <w:color w:val="auto"/>
        </w:rPr>
      </w:pPr>
      <w:r>
        <w:rPr>
          <w:rFonts w:ascii="Arial" w:cs="Arial" w:eastAsia="Arial" w:hAnsi="Arial"/>
          <w:sz w:val="16"/>
          <w:szCs w:val="16"/>
          <w:color w:val="auto"/>
        </w:rPr>
        <w:t>Our business involves significant risks, and the material factors that make an investment in us risky or speculative are described below. You should carefully consider the risks and uncertainties described below, together with all of the other information in this Quarterly Report on Form 10-Q, including our unaudited condensed consolidated financial statements and related notes thereto.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Business and Industry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primarily depends on business formations</w:t>
      </w:r>
    </w:p>
    <w:p>
      <w:pPr>
        <w:spacing w:after="0" w:line="233" w:lineRule="exact"/>
        <w:rPr>
          <w:sz w:val="20"/>
          <w:szCs w:val="20"/>
          <w:color w:val="auto"/>
        </w:rPr>
      </w:pPr>
    </w:p>
    <w:p>
      <w:pPr>
        <w:ind w:firstLine="405"/>
        <w:spacing w:after="0" w:line="256" w:lineRule="auto"/>
        <w:rPr>
          <w:sz w:val="20"/>
          <w:szCs w:val="20"/>
          <w:color w:val="auto"/>
        </w:rPr>
      </w:pPr>
      <w:r>
        <w:rPr>
          <w:rFonts w:ascii="Arial" w:cs="Arial" w:eastAsia="Arial" w:hAnsi="Arial"/>
          <w:sz w:val="16"/>
          <w:szCs w:val="16"/>
          <w:color w:val="auto"/>
        </w:rPr>
        <w:t>The majority of our transaction revenue is generated by providing business formation services to guide our customers through the transition from being aspiring business owners to launching their entities. In 2024 and the three months ended March 31, 2025, business formations represented the largest share of our total transaction orders. The number of business formations on our platform is subject to unpredictable declines or fluctuations as a result of a number of factors, many of which are out of our control, including an overall decline in the number of U.S. business formations, an economic slowing or downturn, a public health pandemic or epidemic, increased competition, regulatory obstacles, changes in law (including changes in tax laws and regulations), changes in the business environment from inflation, interest rates, government assistance, increased compliance or operating costs (including wage and benefit pressures) and dissatisfaction with our services. In addition, the U.S. continues to experience significant political events that cast uncertainty on global financial and economic markets. Certain actions taken by the current Presidential administration, including the many recent executive orders, have had and may continue to have a negative impact on the U.S. economy and the number of U.S. business formations. Declines in the overall number of U.S. business formations or the number of business formations on our platform have adversely affected, and may in the future adversely affect, our business, results of operations, financial condition or future prospects. To the extent the growth rate of new business formations declines, these impacts can be expected to intensify.</w:t>
      </w:r>
    </w:p>
    <w:p>
      <w:pPr>
        <w:spacing w:after="0" w:line="19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Our business depends substantially on our customers expanding their use of our platform, including converting our transactional customers to subscribers and our subscribers renewing their subscriptions with us</w:t>
      </w:r>
    </w:p>
    <w:p>
      <w:pPr>
        <w:spacing w:after="0" w:line="141" w:lineRule="exact"/>
        <w:rPr>
          <w:sz w:val="20"/>
          <w:szCs w:val="20"/>
          <w:color w:val="auto"/>
        </w:rPr>
      </w:pPr>
    </w:p>
    <w:p>
      <w:pPr>
        <w:ind w:right="20" w:firstLine="405"/>
        <w:spacing w:after="0" w:line="257" w:lineRule="auto"/>
        <w:rPr>
          <w:sz w:val="20"/>
          <w:szCs w:val="20"/>
          <w:color w:val="auto"/>
        </w:rPr>
      </w:pPr>
      <w:r>
        <w:rPr>
          <w:rFonts w:ascii="Arial" w:cs="Arial" w:eastAsia="Arial" w:hAnsi="Arial"/>
          <w:sz w:val="16"/>
          <w:szCs w:val="16"/>
          <w:color w:val="auto"/>
        </w:rPr>
        <w:t>For the past few years, a significant amount of our revenue has been derived from our subscriptions for small businesses and individuals. In 2024 and the three months ended March 31, 2025, approximately 64% and 63%, respectively, of our revenue came from subscriptions. Subscriptions have primarily originated from transactional customers who opted to become subscribers. For us to maintain or improve our operating results, including our revenue growth rate, it is important that we convert transactional customers into subscribers, retain our existing subscribers and that our existing subscribers expand their use of our platform. However, subscriptions may be terminated at any time, and the rate at which we retain our subscribers may decline or fluctuate as a result of a number of factors, including subscribers’ satisfaction or dissatisfaction with our platform, the effectiveness of our customer support services, the quality and perceived quality of the services we provide, our pricing and the pricing of competing products or services, the lifecycle of our customers’ businesses and their evolving needs, and the effects of global economic conditions, regulatory changes and reductions in subscribers’ discretionary income and spending levels. As a result, we cannot accurately predict subscription renewal rates or the number of our existing or new customers that will subscribe to our subscription services, including whether customers will continue to subscribe at the same rate as they have historically. During 2024, we experienced a deceleration in our subscription revenue growth rate. If our subscription revenue growth rate does not improve or if we are unable to convert our transactional customers to subscribers, retain our existing subscribers or our existing subscribers do not expand the use of our platform, our business, results of operations, financial condition and future prospects would be adversely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39" w:name="page40"/>
    <w:bookmarkEnd w:id="39"/>
    <w:p>
      <w:pPr>
        <w:ind w:right="640"/>
        <w:spacing w:after="0" w:line="286" w:lineRule="auto"/>
        <w:rPr>
          <w:sz w:val="20"/>
          <w:szCs w:val="20"/>
          <w:color w:val="auto"/>
        </w:rPr>
      </w:pPr>
      <w:r>
        <w:rPr>
          <w:rFonts w:ascii="Arial" w:cs="Arial" w:eastAsia="Arial" w:hAnsi="Arial"/>
          <w:sz w:val="16"/>
          <w:szCs w:val="16"/>
          <w:color w:val="auto"/>
        </w:rPr>
        <w:t>affected. If the growth of our subscription business, including our subscription revenue growth rate, falls below the expectations of the public market, securities analysts or investors, the price of our common stock could also be harmed.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effectively manage our growth could adversely impact our business</w:t>
      </w:r>
    </w:p>
    <w:p>
      <w:pPr>
        <w:spacing w:after="0" w:line="219"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In the past, we have experienced significant growth in both operations and headcount, which placed increased demands on our management team and our administrative, operational and financial infrastructure. Our management team has developed a strategy to continue growing our business. In addition, we acquired Formation Nation in February 2025, which we are now in the process of integrating into our operations. Our ability to manage this expected growth effectively and to integrate new employees, operations and technologies of Formation Nation into our existing business will require us to continue to expand our operational and financial infrastructure, to improve our management controls and reporting systems and procedures and to continue to retain, attract, train, motivate and manage employees. Failure to effectively manage our growth could result in declines in service quality or customer satisfaction, increased costs, difficulties or delays in introducing new products or services or other operational difficulties. Any of these difficulties could adversely impact our brand and reputation, business, results of operations, financial condition or future prospects.</w:t>
      </w:r>
    </w:p>
    <w:p>
      <w:pPr>
        <w:spacing w:after="0" w:line="72"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Our ability to achieve our growth strategy also impacts our ability to forecast our future operating results. If the assumptions regarding the growth of our business are incorrect or change in reaction to changes in our markets, our results of operations and financial condition could differ materially from our expectations, our business could suffer and the trading price of our stock may decline.</w:t>
      </w:r>
    </w:p>
    <w:p>
      <w:pPr>
        <w:spacing w:after="0" w:line="166"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Our future quarterly results of operations may fluctuate significantly due to a wide range of factors, which makes our future results difficult to predict</w:t>
      </w:r>
    </w:p>
    <w:p>
      <w:pPr>
        <w:spacing w:after="0" w:line="129" w:lineRule="exact"/>
        <w:rPr>
          <w:sz w:val="20"/>
          <w:szCs w:val="20"/>
          <w:color w:val="auto"/>
        </w:rPr>
      </w:pPr>
    </w:p>
    <w:p>
      <w:pPr>
        <w:ind w:right="420" w:firstLine="405"/>
        <w:spacing w:after="0" w:line="304" w:lineRule="auto"/>
        <w:rPr>
          <w:sz w:val="20"/>
          <w:szCs w:val="20"/>
          <w:color w:val="auto"/>
        </w:rPr>
      </w:pPr>
      <w:r>
        <w:rPr>
          <w:rFonts w:ascii="Arial" w:cs="Arial" w:eastAsia="Arial" w:hAnsi="Arial"/>
          <w:sz w:val="16"/>
          <w:szCs w:val="16"/>
          <w:color w:val="auto"/>
        </w:rPr>
        <w:t>Our revenue and results of operations have historically varied from period to period, and we expect that they will continue to do so as a result of a number of factors, many of which are outside of our control, including, but not limited to the risks and uncertainties discussed herein and the following:</w:t>
      </w:r>
    </w:p>
    <w:p>
      <w:pPr>
        <w:spacing w:after="0" w:line="33" w:lineRule="exact"/>
        <w:rPr>
          <w:sz w:val="20"/>
          <w:szCs w:val="20"/>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successfully implement our updated strategic execution priorities;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ongoing integration of the operations of Formation Nation, which we acquired in February 2025;</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business formations and the rate of failure of small businesses;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level of demand for our services;</w:t>
      </w:r>
    </w:p>
    <w:p>
      <w:pPr>
        <w:spacing w:after="0" w:line="126" w:lineRule="exact"/>
        <w:rPr>
          <w:rFonts w:ascii="Arial" w:cs="Arial" w:eastAsia="Arial" w:hAnsi="Arial"/>
          <w:sz w:val="16"/>
          <w:szCs w:val="16"/>
          <w:color w:val="auto"/>
        </w:rPr>
      </w:pPr>
    </w:p>
    <w:p>
      <w:pPr>
        <w:ind w:left="740" w:right="740" w:hanging="317"/>
        <w:spacing w:after="0" w:line="286" w:lineRule="auto"/>
        <w:tabs>
          <w:tab w:leader="none" w:pos="7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attract new customers and retain existing customers, including the rate of renewal of subscriptions by, and extent of sales of additional subscriptions to, existing customers;</w:t>
      </w:r>
    </w:p>
    <w:p>
      <w:pPr>
        <w:spacing w:after="0" w:line="47"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size, timing and terms of our subscription agreements with existing and new customers;</w:t>
      </w:r>
    </w:p>
    <w:p>
      <w:pPr>
        <w:spacing w:after="0" w:line="126" w:lineRule="exact"/>
        <w:rPr>
          <w:rFonts w:ascii="Arial" w:cs="Arial" w:eastAsia="Arial" w:hAnsi="Arial"/>
          <w:sz w:val="16"/>
          <w:szCs w:val="16"/>
          <w:color w:val="auto"/>
        </w:rPr>
      </w:pPr>
    </w:p>
    <w:p>
      <w:pPr>
        <w:ind w:left="740" w:right="260" w:hanging="317"/>
        <w:spacing w:after="0" w:line="286" w:lineRule="auto"/>
        <w:tabs>
          <w:tab w:leader="none" w:pos="7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to our product offerings, including any new or discontinued products, pricing changes, the bundling of certain product offerings and our testing of new product line-ups;</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mix of subscriptions and transactional products sold during a period;</w:t>
      </w:r>
    </w:p>
    <w:p>
      <w:pPr>
        <w:spacing w:after="0" w:line="113" w:lineRule="exact"/>
        <w:rPr>
          <w:rFonts w:ascii="Arial" w:cs="Arial" w:eastAsia="Arial" w:hAnsi="Arial"/>
          <w:sz w:val="16"/>
          <w:szCs w:val="16"/>
          <w:color w:val="auto"/>
        </w:rPr>
      </w:pPr>
    </w:p>
    <w:p>
      <w:pPr>
        <w:ind w:left="740" w:right="200" w:hanging="317"/>
        <w:spacing w:after="0" w:line="286" w:lineRule="auto"/>
        <w:tabs>
          <w:tab w:leader="none" w:pos="7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introduction of new products and product enhancements by existing competitors or new entrants into our markets, and changes in pricing for solutions offered by us or our competitors;</w:t>
      </w:r>
    </w:p>
    <w:p>
      <w:pPr>
        <w:spacing w:after="0" w:line="61" w:lineRule="exact"/>
        <w:rPr>
          <w:rFonts w:ascii="Arial" w:cs="Arial" w:eastAsia="Arial" w:hAnsi="Arial"/>
          <w:sz w:val="16"/>
          <w:szCs w:val="16"/>
          <w:color w:val="auto"/>
        </w:rPr>
      </w:pPr>
    </w:p>
    <w:p>
      <w:pPr>
        <w:ind w:left="740" w:right="140" w:hanging="317"/>
        <w:spacing w:after="0" w:line="286" w:lineRule="auto"/>
        <w:tabs>
          <w:tab w:leader="none" w:pos="7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seasonal variations, including those related to orders placed, sales and marketing and other activities or other seasonal fluctuations in our results of operations that are out of our control;</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stock-based compensation;</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application of new or changing financial accounting standards or practices;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increase, retain and incentivize the strategic partners that market and sell our platform;</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control costs, including our operating expenses;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governmental or other regulations affecting our business;</w:t>
      </w:r>
    </w:p>
    <w:p>
      <w:pPr>
        <w:spacing w:after="0" w:line="113" w:lineRule="exact"/>
        <w:rPr>
          <w:rFonts w:ascii="Arial" w:cs="Arial" w:eastAsia="Arial" w:hAnsi="Arial"/>
          <w:sz w:val="16"/>
          <w:szCs w:val="16"/>
          <w:color w:val="auto"/>
        </w:rPr>
      </w:pPr>
    </w:p>
    <w:p>
      <w:pPr>
        <w:ind w:left="740" w:right="340" w:hanging="317"/>
        <w:spacing w:after="0" w:line="304" w:lineRule="auto"/>
        <w:tabs>
          <w:tab w:leader="none" w:pos="7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to government agency staffing and other practices and the functionality of their websites, which may cause delay or disruptions in our business, including the processing of business formations or Employer Identification Numbers, or EINs;</w:t>
      </w:r>
    </w:p>
    <w:p>
      <w:pPr>
        <w:spacing w:after="0" w:line="33" w:lineRule="exact"/>
        <w:rPr>
          <w:rFonts w:ascii="Arial" w:cs="Arial" w:eastAsia="Arial" w:hAnsi="Arial"/>
          <w:sz w:val="16"/>
          <w:szCs w:val="16"/>
          <w:color w:val="auto"/>
        </w:rPr>
      </w:pPr>
    </w:p>
    <w:p>
      <w:pPr>
        <w:ind w:left="740" w:right="440" w:hanging="317"/>
        <w:spacing w:after="0" w:line="304" w:lineRule="auto"/>
        <w:tabs>
          <w:tab w:leader="none" w:pos="7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adverse global macroeconomic and market conditions or uncertainty with respect thereto, including economic conditions specifically affecting industries in which our customers operate; and</w:t>
      </w:r>
    </w:p>
    <w:p>
      <w:pPr>
        <w:spacing w:after="0" w:line="33"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geopolitical events and conditions, both domestically and internationally.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0" w:name="page41"/>
    <w:bookmarkEnd w:id="40"/>
    <w:p>
      <w:pPr>
        <w:ind w:right="100" w:firstLine="405"/>
        <w:spacing w:after="0" w:line="259" w:lineRule="auto"/>
        <w:rPr>
          <w:sz w:val="20"/>
          <w:szCs w:val="20"/>
          <w:color w:val="auto"/>
        </w:rPr>
      </w:pPr>
      <w:r>
        <w:rPr>
          <w:rFonts w:ascii="Arial" w:cs="Arial" w:eastAsia="Arial" w:hAnsi="Arial"/>
          <w:sz w:val="16"/>
          <w:szCs w:val="16"/>
          <w:color w:val="auto"/>
        </w:rPr>
        <w:t>Fluctuations in our quarterly operating results and the price of our common stock may be particularly pronounced in the current global macroeconomic environment, including due to uncertainty caused by recessionary fears, elevated inflation and interest rates and their respective impacts on consumer spending patterns, the success of existing small businesses and the formation of new small businesses. In addition,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we could experience short-term liquidity issues, our ability to retain or attract key personnel may diminish, and other unanticipated issues may arise.</w:t>
      </w:r>
    </w:p>
    <w:p>
      <w:pPr>
        <w:spacing w:after="0" w:line="82"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Our quarterly operating results may vary in the future and period-to-period comparisons of our operating results may not be meaningful. In addition, the seasonality of our business may change or become more pronounced over time, which could also cause our operating results to fluctuate. You should not rely on the results of any given quarter as an indication of future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and we may not be able to maintain profitability</w:t>
      </w:r>
    </w:p>
    <w:p>
      <w:pPr>
        <w:spacing w:after="0" w:line="219" w:lineRule="exact"/>
        <w:rPr>
          <w:sz w:val="20"/>
          <w:szCs w:val="20"/>
          <w:color w:val="auto"/>
        </w:rPr>
      </w:pPr>
    </w:p>
    <w:p>
      <w:pPr>
        <w:ind w:right="660" w:firstLine="405"/>
        <w:spacing w:after="0" w:line="304" w:lineRule="auto"/>
        <w:rPr>
          <w:sz w:val="20"/>
          <w:szCs w:val="20"/>
          <w:color w:val="auto"/>
        </w:rPr>
      </w:pPr>
      <w:r>
        <w:rPr>
          <w:rFonts w:ascii="Arial" w:cs="Arial" w:eastAsia="Arial" w:hAnsi="Arial"/>
          <w:sz w:val="16"/>
          <w:szCs w:val="16"/>
          <w:color w:val="auto"/>
        </w:rPr>
        <w:t>Since inception, we have incurred an accumulated deficit and may incur net losses in the foreseeable future. As of March 31, 2025, we had an accumulated deficit of $1,064.2 million.</w:t>
      </w:r>
    </w:p>
    <w:p>
      <w:pPr>
        <w:spacing w:after="0" w:line="33" w:lineRule="exact"/>
        <w:rPr>
          <w:sz w:val="20"/>
          <w:szCs w:val="20"/>
          <w:color w:val="auto"/>
        </w:rPr>
      </w:pPr>
    </w:p>
    <w:p>
      <w:pPr>
        <w:ind w:right="120" w:firstLine="405"/>
        <w:spacing w:after="0" w:line="261" w:lineRule="auto"/>
        <w:rPr>
          <w:sz w:val="20"/>
          <w:szCs w:val="20"/>
          <w:color w:val="auto"/>
        </w:rPr>
      </w:pPr>
      <w:r>
        <w:rPr>
          <w:rFonts w:ascii="Arial" w:cs="Arial" w:eastAsia="Arial" w:hAnsi="Arial"/>
          <w:sz w:val="16"/>
          <w:szCs w:val="16"/>
          <w:color w:val="auto"/>
        </w:rPr>
        <w:t>We will need to generate and sustain increased revenue levels in future periods in order to maintain or increase our level of profitability. If our revenue and gross profit do not grow at a greater rate than our operating expenses, we will not be able to maintain or increase profitability and our business may be harmed. We may incur significant losses in the future for a number of reasons, including due to the risks and uncertainties described herein.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product offerings, market our current and planned products, or continue our operations.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If we fail to provide high-quality products and services that meet our customers’ expectations, we may not be able to attract and retain customers</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 order to increase revenue and maintain profitability, we must attract new customers and retain existing customers. The quality and value of our</w:t>
      </w:r>
    </w:p>
    <w:p>
      <w:pPr>
        <w:spacing w:after="0" w:line="2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services, customer care and customer experience, as well as the quality and accuracy of the services provided by the independent attorneys who participate in our and our partner’s networks, are critical to the success of our business and our ability to attract and retain customers. The failure or perceived failure of our customer support and fulfillment services and/or these independent attorneys to satisfy customer expectations could impede our ability to attract and retain customers.</w:t>
      </w:r>
    </w:p>
    <w:p>
      <w:pPr>
        <w:spacing w:after="0" w:line="84" w:lineRule="exact"/>
        <w:rPr>
          <w:sz w:val="20"/>
          <w:szCs w:val="20"/>
          <w:color w:val="auto"/>
        </w:rPr>
      </w:pPr>
    </w:p>
    <w:p>
      <w:pPr>
        <w:ind w:right="40" w:firstLine="405"/>
        <w:spacing w:after="0" w:line="258" w:lineRule="auto"/>
        <w:rPr>
          <w:sz w:val="20"/>
          <w:szCs w:val="20"/>
          <w:color w:val="auto"/>
        </w:rPr>
      </w:pPr>
      <w:r>
        <w:rPr>
          <w:rFonts w:ascii="Arial" w:cs="Arial" w:eastAsia="Arial" w:hAnsi="Arial"/>
          <w:sz w:val="16"/>
          <w:szCs w:val="16"/>
          <w:color w:val="auto"/>
        </w:rPr>
        <w:t>In addition, we intend to continue to add new products and services and enhance our existing products and services, both of which will require us to devote significant resources before we know whether such products or services will be successful. For instance, in August 2023 we launched LZ Books, a simple online accounting solution, and in November 2023 we launched a new business license offering. The success of any new products or services or enhancements to existing products or services depends on several factors, including timely completion, competitive pricing, adequate quality testing, introduction, integration with existing products and services, and market awareness and acceptance. We have in the past invested resources and introduced new products and services that have failed to produce the customer interest or results that we expected. We may fail to attract new customers or lose existing customers if current or future development efforts or services fail to meet customer expectations on a timely basis if at all.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spacing w:after="0" w:line="179"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b w:val="1"/>
          <w:bCs w:val="1"/>
          <w:i w:val="1"/>
          <w:iCs w:val="1"/>
          <w:color w:val="auto"/>
        </w:rPr>
        <w:t>If we do not continue to innovate and provide a platform that is useful to our customers, we may not remain competitive, and our results of operations could suffer</w:t>
      </w:r>
    </w:p>
    <w:p>
      <w:pPr>
        <w:spacing w:after="0" w:line="129"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Our success depends on continued innovation to provide features that make our platform useful for existing and prospective customers. We have invested and intend to continue to invest resources in technology and development in order to continue improving the simplicity and effectiveness of our platform. We have also developed and introduced new and unproven services, including using technologies with which we have little or no prior development or operating experience, such as generative artificial intelligence, or AI. There is no assurance that our past or future investments in any changes or developments to our platform will provide us with the benefits we expect.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1" w:name="page42"/>
    <w:bookmarkEnd w:id="41"/>
    <w:p>
      <w:pPr>
        <w:ind w:right="80" w:firstLine="405"/>
        <w:spacing w:after="0" w:line="256" w:lineRule="auto"/>
        <w:rPr>
          <w:sz w:val="20"/>
          <w:szCs w:val="20"/>
          <w:color w:val="auto"/>
        </w:rPr>
      </w:pPr>
      <w:r>
        <w:rPr>
          <w:rFonts w:ascii="Arial" w:cs="Arial" w:eastAsia="Arial" w:hAnsi="Arial"/>
          <w:sz w:val="16"/>
          <w:szCs w:val="16"/>
          <w:color w:val="auto"/>
        </w:rPr>
        <w:t>In addition, because our platform is available over the internet and on mobile networks, we need to regularly modify and enhance our platform to keep pace with changes in internet-related hardware, software, communications and database technologies and standards. We expect the number of people who access our platform through mobile devices, including smartphones and handheld tablets or computers, to increase. If we are not able to provide customers with the experience, solutions and functionality they want on mobile devices, we may not be able to attract or retain customers or convert our website traffic into customers and our business may be harmed.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 more conveniently or more securely than LegalZoom,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current or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spacing w:after="0" w:line="198"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b w:val="1"/>
          <w:bCs w:val="1"/>
          <w:i w:val="1"/>
          <w:iCs w:val="1"/>
          <w:color w:val="auto"/>
        </w:rPr>
        <w:t>The legal solutions market is highly competitive and our failure to effectively compete successfully could materially and adversely affect our business, results of operations, financial condition and future prospects</w:t>
      </w:r>
    </w:p>
    <w:p>
      <w:pPr>
        <w:spacing w:after="0" w:line="141" w:lineRule="exact"/>
        <w:rPr>
          <w:sz w:val="20"/>
          <w:szCs w:val="20"/>
          <w:color w:val="auto"/>
        </w:rPr>
      </w:pPr>
    </w:p>
    <w:p>
      <w:pPr>
        <w:ind w:right="40" w:firstLine="405"/>
        <w:spacing w:after="0" w:line="258" w:lineRule="auto"/>
        <w:rPr>
          <w:sz w:val="20"/>
          <w:szCs w:val="20"/>
          <w:color w:val="auto"/>
        </w:rPr>
      </w:pPr>
      <w:r>
        <w:rPr>
          <w:rFonts w:ascii="Arial" w:cs="Arial" w:eastAsia="Arial" w:hAnsi="Arial"/>
          <w:sz w:val="16"/>
          <w:szCs w:val="16"/>
          <w:color w:val="auto"/>
        </w:rPr>
        <w:t>We operate in a very competitive industry. We face intense competition from law firms, solo attorneys, online legal document services, legal plans, secretaries of state and other service providers. The online legal solutions market is evolving rapidly and is becoming increasingly competitive. New market entrants that provide technologies that improve the delivery of legal solutions, such as generative AI and machine learning, could also increase the level of competition in the market. Other companies that focus on the online legal services market or business formations, including law firms that may elect to pursue the online legal services market, can and do directly compete with us. Law firms and solo attorneys, who provide in-person consultations and are able to provide direct legal advice that we generally cannot offer due to laws and regulations regarding UPL, compete with us offline and have developed and may continue to develop competing online legal services. We also compete in the registered agent services business with several companies that target small businesses, and these competitors have extensive experience in this market. In addition, some U.S. state and federal agencies have increased their offerings to our target customers or otherwise made their offerings more attractive to our target customers, including through free and easy-to-use business formation services or other document filing portals. To the extent U.S. states and federal agencies continue to increase or enhance their offerings to our target customers, it could have a significant adverse effect on our business, financial condition or results of operations. To the extent we are unable to compete, our business, results of operations, financial condition or future prospects may be harmed.</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Any of our existing competitors, or other potential competitors that have not yet entered the market, have developed and may continue to develop</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innovative and cost-effective services, including automated corporate formation document processing, that target our existing and potential customers. Some of our competitors and potential competitors are larger and have greater name recognition, longer operating histories, more established customer relationships, larger budgets, and significantly greater resources than we do. As a result, our competitors may be able to respond more quickly and effectively than we can to new or changing opportunities, technologies, standards, or customer requirements. We expect to face increasing competition from offline and online legal services providers in our market, including through their use of generative AI, and our failure to effectively compete with these providers could result in revenue reductions, reduced margins, or loss of market share, any of which could have a material adverse effect on our business, results of operations, financial condition and future prospects.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brand and reputation, which could be adversely affected by numerous factors</w:t>
      </w:r>
    </w:p>
    <w:p>
      <w:pPr>
        <w:spacing w:after="0" w:line="233"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false and misleading advertising claims, litigation, customer complaints or negative publicity through word-of-mouth, social media outlets, blogs, and other third party sources related to our business practices, as well as customer care, data privacy or security issues, irrespective of their validity, could diminish confidence in our services and adversely affect our brand and reputation and our ability to attract and retain customers. In addition, our brand and reputation could be impacted by any damage or reputational harm to our newly acquired Inc. Authority and Nevada Corporate Headquarters brands.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2" w:name="page43"/>
    <w:bookmarkEnd w:id="42"/>
    <w:p>
      <w:pPr>
        <w:ind w:right="20" w:firstLine="405"/>
        <w:spacing w:after="0" w:line="258" w:lineRule="auto"/>
        <w:rPr>
          <w:sz w:val="20"/>
          <w:szCs w:val="20"/>
          <w:color w:val="auto"/>
        </w:rPr>
      </w:pPr>
      <w:r>
        <w:rPr>
          <w:rFonts w:ascii="Arial" w:cs="Arial" w:eastAsia="Arial" w:hAnsi="Arial"/>
          <w:sz w:val="16"/>
          <w:szCs w:val="16"/>
          <w:color w:val="auto"/>
        </w:rPr>
        <w:t>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expect to receive similar reviews in the future. If we do not handle customer complaints effectively, our brand and reputation may suffer. We may lose our customers’ confidence, they may choose not to renew their subscriptions or purchase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spacing w:after="0" w:line="83" w:lineRule="exact"/>
        <w:rPr>
          <w:sz w:val="20"/>
          <w:szCs w:val="20"/>
          <w:color w:val="auto"/>
        </w:rPr>
      </w:pPr>
    </w:p>
    <w:p>
      <w:pPr>
        <w:jc w:val="both"/>
        <w:ind w:right="200" w:firstLine="405"/>
        <w:spacing w:after="0" w:line="266" w:lineRule="auto"/>
        <w:rPr>
          <w:sz w:val="20"/>
          <w:szCs w:val="20"/>
          <w:color w:val="auto"/>
        </w:rPr>
      </w:pPr>
      <w:r>
        <w:rPr>
          <w:rFonts w:ascii="Arial" w:cs="Arial" w:eastAsia="Arial" w:hAnsi="Arial"/>
          <w:sz w:val="16"/>
          <w:szCs w:val="16"/>
          <w:color w:val="auto"/>
        </w:rPr>
        <w:t>Furthermore, our brand and reputation are in part reliant on third parties, including the independent attorneys who participate in our network and the partners to which we refer our customers for business insurance, tax solutions or banking services, among others. The failure or perceived failure of these third parties to satisfy customer expectations could negatively impact our brand and reputation.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incorporating generative AI into some of our offerings, which may present both compliance risks and reputational risks</w:t>
      </w:r>
    </w:p>
    <w:p>
      <w:pPr>
        <w:spacing w:after="0" w:line="219" w:lineRule="exact"/>
        <w:rPr>
          <w:sz w:val="20"/>
          <w:szCs w:val="20"/>
          <w:color w:val="auto"/>
        </w:rPr>
      </w:pPr>
    </w:p>
    <w:p>
      <w:pPr>
        <w:ind w:right="20" w:firstLine="405"/>
        <w:spacing w:after="0" w:line="257" w:lineRule="auto"/>
        <w:rPr>
          <w:sz w:val="20"/>
          <w:szCs w:val="20"/>
          <w:color w:val="auto"/>
        </w:rPr>
      </w:pPr>
      <w:r>
        <w:rPr>
          <w:rFonts w:ascii="Arial" w:cs="Arial" w:eastAsia="Arial" w:hAnsi="Arial"/>
          <w:sz w:val="16"/>
          <w:szCs w:val="16"/>
          <w:color w:val="auto"/>
        </w:rPr>
        <w:t>We have incorporated and intend to continue incorporating a number of generative AI features into our offerings. This technology, which is a new and emerging technology that is in its early stages of commercialization, presents a number of risks inherent in its use. Generative AI technologies, including the third party large language models incorporated into our generative AI offerings, can create accuracy issues, unintended biases and discriminatory outcomes. If the recommendations, content, or analyses that AI applications assist in producing are or are alleged to be deficient or inaccurate or if they are determined to constitute UPL, we could be subjected to competitive harm, potential legal liability, and brand or reputational harm. Some AI scenarios may also present ethical issues. If we enable or offer AI solutions that are controversial because of their perceived or real impact on human rights, privacy, employment, or other social issues, we may experience brand or reputational harm. Additionally, present and future government regulation related to AI use and/or related ethics issues may expose us to legal liability and/or increase the burden and cost of research and development in this area, and failure to properly remediate AI usage or ethics issues may cause public confidence in AI to be undermined, which could slow adoption of AI in our solutions. Governments have passed and are likely to continue to pass additional laws regulating generative AI. Our use of this technology could result in additional compliance costs, regulatory investigations and actions, and lawsuits.</w:t>
      </w:r>
    </w:p>
    <w:p>
      <w:pPr>
        <w:spacing w:after="0" w:line="7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Our employees and personnel use generative AI technologies to perform certain functions of their work, and the disclosure and use of personal data in generative AI technologies is subject to various privacy laws and other privacy obligations. If we are unable to use generative AI, it could make our business less efficient and result in competitive disadvantages. Additionally, sensitive information of the Company or our customers could be leaked, disclosed, or revealed as a result of or in connection with our employees’, personnel’s, or vendors’ use of generative AI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marketing efforts are unsuccessful, our business, results of operations, financial condition and future prospects may be adversely affected</w:t>
      </w:r>
    </w:p>
    <w:p>
      <w:pPr>
        <w:spacing w:after="0" w:line="21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Our ability to attract new customers and retain existing customers depends in large part on the success of our marketing channels. The primary</w:t>
      </w:r>
    </w:p>
    <w:p>
      <w:pPr>
        <w:spacing w:after="0" w:line="31"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marketing channels that generate traffic for our websites include search engine marketing, social media and other digital channels, television and our sales team.</w:t>
      </w:r>
    </w:p>
    <w:p>
      <w:pPr>
        <w:spacing w:after="0" w:line="73" w:lineRule="exact"/>
        <w:rPr>
          <w:sz w:val="20"/>
          <w:szCs w:val="20"/>
          <w:color w:val="auto"/>
        </w:rPr>
      </w:pPr>
    </w:p>
    <w:p>
      <w:pPr>
        <w:ind w:firstLine="405"/>
        <w:spacing w:after="0" w:line="256" w:lineRule="auto"/>
        <w:rPr>
          <w:sz w:val="20"/>
          <w:szCs w:val="20"/>
          <w:color w:val="auto"/>
        </w:rPr>
      </w:pPr>
      <w:r>
        <w:rPr>
          <w:rFonts w:ascii="Arial" w:cs="Arial" w:eastAsia="Arial" w:hAnsi="Arial"/>
          <w:sz w:val="16"/>
          <w:szCs w:val="16"/>
          <w:color w:val="auto"/>
        </w:rPr>
        <w:t>Our ability to maintain or increase customer traffic to our websites from internet search engines is not entirely within our control. We rely on both algorithmic and paid listing internet search results to drive customer traffic to our websites. Algorithmic listings are determined and displayed solely by a set of formulas designed by internet search engine companies. Internet search engines periodically revise their algorithms, methodologies and displays or incorporate AI into their platforms in ways that we cannot predict. Such changes, including an increased prominence of generative AI on the search engine results page, have adversely affected, and may continue to adversely affect, the placement of our search result page ranking and the resulting traffic to our websites, as well as our customer acquisition costs. In addition, we can purchase paid listings, which are displayed if particular words or terms are included in a customer’s internet search. We bid for paid listings against our competitors and third parties that may outbid us for preferred placement, which could adversely impact advertising efficiency and customer acquisition efforts. To the extent competition for paid listings increases or if paid listings prohibit the use of particular words or terms, we have in the past, and may again in the future, be required to increase our marketing expenses or reduce the number or prominence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3" w:name="page44"/>
    <w:bookmarkEnd w:id="43"/>
    <w:p>
      <w:pPr>
        <w:ind w:right="120"/>
        <w:spacing w:after="0" w:line="265" w:lineRule="auto"/>
        <w:rPr>
          <w:sz w:val="20"/>
          <w:szCs w:val="20"/>
          <w:color w:val="auto"/>
        </w:rPr>
      </w:pPr>
      <w:r>
        <w:rPr>
          <w:rFonts w:ascii="Arial" w:cs="Arial" w:eastAsia="Arial" w:hAnsi="Arial"/>
          <w:sz w:val="16"/>
          <w:szCs w:val="16"/>
          <w:color w:val="auto"/>
        </w:rPr>
        <w:t>of these paid listings. If we reduce our internet search engine advertising, the number of customers who visit our websites could decline significantly. Additionally, changes in regulations or the business practices of third parties have in the past and could in the future limit our ability and the ability of search engines and social media platforms, including Google and Meta Platforms, to collect data from users and engage in targeted advertising, making them less effective in disseminating our advertisements to our target customers. The regulation of the use of cookies and other current online tracking and advertising practices or a loss in our ability to make effective use of services that employ such practices could adversely affect our business.</w:t>
      </w:r>
    </w:p>
    <w:p>
      <w:pPr>
        <w:spacing w:after="0" w:line="64"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The introduction of new technology or changes in the way in which customers consume information on the internet, such as shifting preferences for AI chat platforms, has diminished and may continue to diminish the effectiveness of our current marketing practices. We have in the past and may in the future be required to adopt new approaches to marketing to respond to these shifts. Any inability to respond to these changes effectively and in a cost-effective manner, or any future reduction or loss of any of our current advertising channels, could adversely affect our ability to attract new customers, which could adversely affect our business, results of operations, financial condition and future prospects.</w:t>
      </w:r>
    </w:p>
    <w:p>
      <w:pPr>
        <w:spacing w:after="0" w:line="174" w:lineRule="exact"/>
        <w:rPr>
          <w:sz w:val="20"/>
          <w:szCs w:val="20"/>
          <w:color w:val="auto"/>
        </w:rPr>
      </w:pPr>
    </w:p>
    <w:p>
      <w:pPr>
        <w:ind w:right="620"/>
        <w:spacing w:after="0" w:line="294" w:lineRule="auto"/>
        <w:rPr>
          <w:sz w:val="20"/>
          <w:szCs w:val="20"/>
          <w:color w:val="auto"/>
        </w:rPr>
      </w:pPr>
      <w:r>
        <w:rPr>
          <w:rFonts w:ascii="Arial" w:cs="Arial" w:eastAsia="Arial" w:hAnsi="Arial"/>
          <w:sz w:val="16"/>
          <w:szCs w:val="16"/>
          <w:b w:val="1"/>
          <w:bCs w:val="1"/>
          <w:i w:val="1"/>
          <w:iCs w:val="1"/>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155" w:lineRule="exact"/>
        <w:rPr>
          <w:sz w:val="20"/>
          <w:szCs w:val="20"/>
          <w:color w:val="auto"/>
        </w:rPr>
      </w:pPr>
    </w:p>
    <w:p>
      <w:pPr>
        <w:ind w:firstLine="405"/>
        <w:spacing w:after="0" w:line="255" w:lineRule="auto"/>
        <w:rPr>
          <w:sz w:val="20"/>
          <w:szCs w:val="20"/>
          <w:color w:val="auto"/>
        </w:rPr>
      </w:pPr>
      <w:r>
        <w:rPr>
          <w:rFonts w:ascii="Arial" w:cs="Arial" w:eastAsia="Arial" w:hAnsi="Arial"/>
          <w:sz w:val="16"/>
          <w:szCs w:val="16"/>
          <w:color w:val="auto"/>
        </w:rPr>
        <w:t>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Further, integration of employees and operations as a result of our acquisition of Formation Nation may present challenges, which could negatively affect our ability to retain and recruit personnel who are essential to our future success.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In addition, our flexible first work policy, which results in a predominantly remote workforce, has made it difficult to orient, train, develop, motivate, and engage with our employees and embed them into the LegalZoom culture. If we are not able to effectively attract or retain quality employees and manage both our domestic and international workforce, including if employee relations deteriorate, disruptions to the business will occur, our costs will increase, our ability to achieve our strategic objectives will be adversely impacted, our brand or reputation could suffer, and our business may be adversely affected. In addition, we have in the past, and may in the future, conduct reduction in workforce actions, which can lead to the elimination of roles causing unexpected adverse impacts on our business. These adverse impacts can include attrition beyond the intended reduction in workforce, delays in the development of new products or services due to gaps in knowledge transfer and new employee ramp up time, an increased risk of litigation, the distraction of employees, and reduced employee morale, any of which could also adversely affect our reputation as an employer and make it more difficult for us to hire new employees in the future.</w:t>
      </w:r>
    </w:p>
    <w:p>
      <w:pPr>
        <w:spacing w:after="0" w:line="92" w:lineRule="exact"/>
        <w:rPr>
          <w:sz w:val="20"/>
          <w:szCs w:val="20"/>
          <w:color w:val="auto"/>
        </w:rPr>
      </w:pPr>
    </w:p>
    <w:p>
      <w:pPr>
        <w:ind w:right="420" w:firstLine="405"/>
        <w:spacing w:after="0" w:line="286" w:lineRule="auto"/>
        <w:rPr>
          <w:sz w:val="20"/>
          <w:szCs w:val="20"/>
          <w:color w:val="auto"/>
        </w:rPr>
      </w:pPr>
      <w:r>
        <w:rPr>
          <w:rFonts w:ascii="Arial" w:cs="Arial" w:eastAsia="Arial" w:hAnsi="Arial"/>
          <w:sz w:val="16"/>
          <w:szCs w:val="16"/>
          <w:color w:val="auto"/>
        </w:rPr>
        <w:t>Further, in July 2024, we announced the appointment of Jeff Stibel as our new Chief Executive Officer. If we are unable to manage this leadership transition successfully, our ability to operate our business effectively may be impaired.</w:t>
      </w:r>
    </w:p>
    <w:p>
      <w:pPr>
        <w:spacing w:after="0" w:line="48" w:lineRule="exact"/>
        <w:rPr>
          <w:sz w:val="20"/>
          <w:szCs w:val="20"/>
          <w:color w:val="auto"/>
        </w:rPr>
      </w:pPr>
    </w:p>
    <w:p>
      <w:pPr>
        <w:ind w:right="40" w:firstLine="405"/>
        <w:spacing w:after="0" w:line="271" w:lineRule="auto"/>
        <w:rPr>
          <w:sz w:val="20"/>
          <w:szCs w:val="20"/>
          <w:color w:val="auto"/>
        </w:rPr>
      </w:pPr>
      <w:r>
        <w:rPr>
          <w:rFonts w:ascii="Arial" w:cs="Arial" w:eastAsia="Arial" w:hAnsi="Arial"/>
          <w:sz w:val="16"/>
          <w:szCs w:val="16"/>
          <w:color w:val="auto"/>
        </w:rPr>
        <w:t>In addition, if we cannot attract additional, qualified independent attorneys to participate in our legal plan network to service the needs of our legal plan subscribers and attorneys to support our attorney assisted legal offerings, or if these attorneys encounter regulatory issues that prevent them from being able to service the needs of our customers, we may not be able grow and maintain our legal plan subscription business or other assisted legal solutions and, as a result, our business, revenue, results of operations and future prospects may be adversely affected.</w:t>
      </w:r>
    </w:p>
    <w:p>
      <w:pPr>
        <w:spacing w:after="0" w:line="170"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b w:val="1"/>
          <w:bCs w:val="1"/>
          <w:i w:val="1"/>
          <w:iCs w:val="1"/>
          <w:color w:val="auto"/>
        </w:rPr>
        <w:t>Our business and success depend in part on our strategic relationships with third parties, including our partner ecosystem, and our business may be harmed if we fail to maintain or expand these relationships</w:t>
      </w:r>
    </w:p>
    <w:p>
      <w:pPr>
        <w:spacing w:after="0" w:line="155" w:lineRule="exact"/>
        <w:rPr>
          <w:sz w:val="20"/>
          <w:szCs w:val="20"/>
          <w:color w:val="auto"/>
        </w:rPr>
      </w:pPr>
    </w:p>
    <w:p>
      <w:pPr>
        <w:ind w:right="140" w:firstLine="405"/>
        <w:spacing w:after="0" w:line="261" w:lineRule="auto"/>
        <w:rPr>
          <w:sz w:val="20"/>
          <w:szCs w:val="20"/>
          <w:color w:val="auto"/>
        </w:rPr>
      </w:pPr>
      <w:r>
        <w:rPr>
          <w:rFonts w:ascii="Arial" w:cs="Arial" w:eastAsia="Arial" w:hAnsi="Arial"/>
          <w:sz w:val="16"/>
          <w:szCs w:val="16"/>
          <w:color w:val="auto"/>
        </w:rPr>
        <w:t>We depend on, and anticipate we will continue to depend on, various third party relationships to sustain and grow our business. For example, we currently partner with a variety of third parties to provide us with lead referrals and to provide our customers with tax solutions, website development, credit card and banking services, productivity tools and business insurance, among others. Our sales and customer user experience depend on our ability to connect and integrate easily to such third party solutions. We have in the past and may in the future determine to exit certain partnership relationships. We may also fail to retain and expand partnership relationships for many reasons, including third parties’ failure to maintain, support, or secure their technology platforms in general, restrictions imposed by regulatory compliance, and our integrations in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4" w:name="page45"/>
    <w:bookmarkEnd w:id="44"/>
    <w:p>
      <w:pPr>
        <w:ind w:right="400"/>
        <w:spacing w:after="0" w:line="286" w:lineRule="auto"/>
        <w:rPr>
          <w:sz w:val="20"/>
          <w:szCs w:val="20"/>
          <w:color w:val="auto"/>
        </w:rPr>
      </w:pPr>
      <w:r>
        <w:rPr>
          <w:rFonts w:ascii="Arial" w:cs="Arial" w:eastAsia="Arial" w:hAnsi="Arial"/>
          <w:sz w:val="16"/>
          <w:szCs w:val="16"/>
          <w:color w:val="auto"/>
        </w:rPr>
        <w:t>particular. Terminations of partnership relationships, whether voluntary or involuntary, have in the past and could again in the future result in disputes or litigation or harm our relationship with our customers, our reputation and brand, our business and results of operations, and our future prospects.</w:t>
      </w:r>
    </w:p>
    <w:p>
      <w:pPr>
        <w:spacing w:after="0" w:line="61" w:lineRule="exact"/>
        <w:rPr>
          <w:sz w:val="20"/>
          <w:szCs w:val="20"/>
          <w:color w:val="auto"/>
        </w:rPr>
      </w:pPr>
    </w:p>
    <w:p>
      <w:pPr>
        <w:ind w:firstLine="405"/>
        <w:spacing w:after="0" w:line="255" w:lineRule="auto"/>
        <w:rPr>
          <w:sz w:val="20"/>
          <w:szCs w:val="20"/>
          <w:color w:val="auto"/>
        </w:rPr>
      </w:pPr>
      <w:r>
        <w:rPr>
          <w:rFonts w:ascii="Arial" w:cs="Arial" w:eastAsia="Arial" w:hAnsi="Arial"/>
          <w:sz w:val="16"/>
          <w:szCs w:val="16"/>
          <w:color w:val="auto"/>
        </w:rPr>
        <w:t>As we continue to add different types of partners to our partner ecosystem, it is uncertain whether any new or current third party partners will be successful in building integrations, co-marketing our solutions to provide a significant volume and quality of lead referrals and orders, or continuing to work with us as their own businesses evolve. Identifying and negotiating new and expanded partner relationships requires significant resources and we cannot guarantee that the parties with which we have relationships can or will continue to devote the resources necessary to operate and expand our platform. In addition, integrating third party technology can be complex, costly and time-consuming. Third parties may be unwilling to build integrations, and we may be required to devote additional resources to develop integrations for business applications on our own. The contracts applicable to third party development tools may be unfavorable and add costs or risks to our business or may require us to push additional contract terms to our customers that affect our relationship with our customers. Third parties we partner with, including providers of business applications with which we have integrations, may decide to compete with us or enter into arrangements with our competitors, resulting in such providers withdrawing support for our integrations. If we are unsuccessful in establishing or maintaining our relationships with third 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In addition, any failure of our solutions to operate effectively with these business applications could reduce the demand for our solutions and harm to our business and we may also be held responsible for obligations that arise from the actions or omissions of third parties. If we are unable to respond to these failures in a cost-effective manner, our solutions may become less marketable, less competitive or obsolete, and our results of operations may be negatively impacted.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third party providers could adversely affect our business</w:t>
      </w:r>
    </w:p>
    <w:p>
      <w:pPr>
        <w:spacing w:after="0" w:line="219" w:lineRule="exact"/>
        <w:rPr>
          <w:sz w:val="20"/>
          <w:szCs w:val="20"/>
          <w:color w:val="auto"/>
        </w:rPr>
      </w:pPr>
    </w:p>
    <w:p>
      <w:pPr>
        <w:ind w:right="100" w:firstLine="405"/>
        <w:spacing w:after="0" w:line="261" w:lineRule="auto"/>
        <w:rPr>
          <w:sz w:val="20"/>
          <w:szCs w:val="20"/>
          <w:color w:val="auto"/>
        </w:rPr>
      </w:pPr>
      <w:r>
        <w:rPr>
          <w:rFonts w:ascii="Arial" w:cs="Arial" w:eastAsia="Arial" w:hAnsi="Arial"/>
          <w:sz w:val="16"/>
          <w:szCs w:val="16"/>
          <w:color w:val="auto"/>
        </w:rPr>
        <w:t>We rely on third parties to fulfill portions of the services we offer and to support our operations. For example, we rely on government agencies, including secretary of state offices, the U.S. Internal Revenue Service and the U.S. Patent and Trademark Office, to process business formation documents and related filings and intellectual property applications. These agencies have in the past and may in the future be unable or refuse to process submissions in a timely manner, including as a result of any government shutdowns, slowdowns or staffing shortages. To the extent we are unable to process submissions or filings in a timely manner, our brand and reputation may be adversely affected, or our customers may seek other avenues for their business formation or intellectual property needs.</w:t>
      </w:r>
    </w:p>
    <w:p>
      <w:pPr>
        <w:spacing w:after="0" w:line="68"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We also utilize third parties in connection with the fulfillment and distribution of our services, including the independent attorneys in our legal plan network and to support our registered agent and virtual mail subscription services. We also outsource certain operational functions, including certain sales and customer service functions. As a result, we rely on third parties to ensure that our and our customers’ needs are sufficiently met. While we select third party providers carefully, we have limited control over their actions. If these third party providers encounter difficulties, or if we have difficulty communicating with them, our business operations could be adversely affected. This reliance on third party providers also subjects us to risks arising from the loss of control over processes, and potentially, termination of these services by the third parties. A failure of our third party providers to perform services in a satisfactory manner may have a significant adverse effect on our business. In addition, our platform interoperates with certain third party sites. As a result, our results may be affected by the performance of those parties and the interoperability of our platform with other sites. If certain third parties limit certain integration functionality, change their treatment of our services at any time, or experience quality issues, such as bugs and defects, our revenue, results of operations and future prospects may be adversely affected.</w:t>
      </w:r>
    </w:p>
    <w:p>
      <w:pPr>
        <w:spacing w:after="0" w:line="74"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We also utilize various types of data, technology, intellectual property and services licensed or otherwise obtained from unaffiliated third parties in order to provide certain elements of our solutions. For example, we rely on cloud computing infrastructure, particularly from Amazon Web Services, or AWS, to host our platform and support our operations. We exercise limited, if any, control over these third parties, including AWS, which increases our vulnerability to problems with the services they provide for us and to security incidents or breaches affecting the data and information they hold or process on our behalf. Any errors, defects, bugs or other vulnerabilities in any third 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licensed data, technology, intellectual property and services may not continue to be available on commercially reasonable terms, or at all. Any loss of the right to use any of these services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45" w:name="page46"/>
    <w:bookmarkEnd w:id="45"/>
    <w:p>
      <w:pPr>
        <w:spacing w:after="0" w:line="261" w:lineRule="auto"/>
        <w:rPr>
          <w:sz w:val="20"/>
          <w:szCs w:val="20"/>
          <w:color w:val="auto"/>
        </w:rPr>
      </w:pPr>
      <w:r>
        <w:rPr>
          <w:rFonts w:ascii="Arial" w:cs="Arial" w:eastAsia="Arial" w:hAnsi="Arial"/>
          <w:sz w:val="16"/>
          <w:szCs w:val="16"/>
          <w:color w:val="auto"/>
        </w:rPr>
        <w:t>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spacing w:after="0" w:line="178"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b w:val="1"/>
          <w:bCs w:val="1"/>
          <w:i w:val="1"/>
          <w:iCs w:val="1"/>
          <w:color w:val="auto"/>
        </w:rPr>
        <w:t>The acquisition of Formation Nation and any future acquisitions or investments may divert our management’s attention, result in additional dilution to our stockholders or adversely affect our operating results</w:t>
      </w:r>
    </w:p>
    <w:p>
      <w:pPr>
        <w:spacing w:after="0" w:line="129"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We have in the past acquired or invested in businesses, products or technologies that we believed could complement or expand our current platform, enhance our technical capabilities or otherwise offer growth opportunities. In February 2025, we acquired Formation Nation, and we may in the future seek to acquire or invest in additional businesses, products or technologies. The risks and uncertainties we face in connection with the recent acquisition of Formation Nation or any future acquisitions or investments, whether or not they are consummated, include, but are not limited to:</w:t>
      </w:r>
    </w:p>
    <w:p>
      <w:pPr>
        <w:spacing w:after="0" w:line="78" w:lineRule="exact"/>
        <w:rPr>
          <w:sz w:val="20"/>
          <w:szCs w:val="20"/>
          <w:color w:val="auto"/>
        </w:rPr>
      </w:pPr>
    </w:p>
    <w:p>
      <w:pPr>
        <w:jc w:val="both"/>
        <w:ind w:left="740" w:right="40" w:hanging="317"/>
        <w:spacing w:after="0" w:line="266" w:lineRule="auto"/>
        <w:tabs>
          <w:tab w:leader="none" w:pos="7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acquisition may require us to incur charges or assume substantial debt or other liabilities, may cause adverse tax consequences, expose us to claims and disputes by stockholders and third parties, including intellectual property claims and disputes, or not generate sufficient financial return to offset additional costs and expenses related to the acquisition;</w:t>
      </w:r>
    </w:p>
    <w:p>
      <w:pPr>
        <w:spacing w:after="0" w:line="76" w:lineRule="exact"/>
        <w:rPr>
          <w:rFonts w:ascii="Arial" w:cs="Arial" w:eastAsia="Arial" w:hAnsi="Arial"/>
          <w:sz w:val="16"/>
          <w:szCs w:val="16"/>
          <w:color w:val="auto"/>
        </w:rPr>
      </w:pPr>
    </w:p>
    <w:p>
      <w:pPr>
        <w:ind w:left="740" w:right="200" w:hanging="317"/>
        <w:spacing w:after="0" w:line="286" w:lineRule="auto"/>
        <w:tabs>
          <w:tab w:leader="none" w:pos="7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encountering difficulties or unforeseen expenditures in integrating the business, technologies, products, personnel or operations of any acquired company, particularly if key personnel of the acquired company decide not to work for us;</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inability to retain personnel, key customers, distributors, vendors and other business partners of the acquired business;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inability to realize the financial and strategic goals or anticipated synergies of the acquisition or investment on a timely basis, if at all;</w:t>
      </w:r>
    </w:p>
    <w:p>
      <w:pPr>
        <w:spacing w:after="0" w:line="113" w:lineRule="exact"/>
        <w:rPr>
          <w:rFonts w:ascii="Arial" w:cs="Arial" w:eastAsia="Arial" w:hAnsi="Arial"/>
          <w:sz w:val="16"/>
          <w:szCs w:val="16"/>
          <w:color w:val="auto"/>
        </w:rPr>
      </w:pPr>
    </w:p>
    <w:p>
      <w:pPr>
        <w:ind w:left="740" w:right="80" w:hanging="317"/>
        <w:spacing w:after="0" w:line="304" w:lineRule="auto"/>
        <w:tabs>
          <w:tab w:leader="none" w:pos="7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incurring higher than anticipated costs to effectively integrate an acquired business, to bring an acquired company into compliance with applicable laws and regulations or due to additional compensation issued or assumed in connection with an acquisition;</w:t>
      </w:r>
    </w:p>
    <w:p>
      <w:pPr>
        <w:spacing w:after="0" w:line="33" w:lineRule="exact"/>
        <w:rPr>
          <w:rFonts w:ascii="Arial" w:cs="Arial" w:eastAsia="Arial" w:hAnsi="Arial"/>
          <w:sz w:val="16"/>
          <w:szCs w:val="16"/>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disruption to our ongoing business, diversion of resources and distraction of our management;</w:t>
      </w:r>
    </w:p>
    <w:p>
      <w:pPr>
        <w:spacing w:after="0" w:line="126" w:lineRule="exact"/>
        <w:rPr>
          <w:rFonts w:ascii="Arial" w:cs="Arial" w:eastAsia="Arial" w:hAnsi="Arial"/>
          <w:sz w:val="16"/>
          <w:szCs w:val="16"/>
          <w:color w:val="auto"/>
        </w:rPr>
      </w:pPr>
    </w:p>
    <w:p>
      <w:pPr>
        <w:ind w:left="740" w:right="80" w:hanging="317"/>
        <w:spacing w:after="0" w:line="286" w:lineRule="auto"/>
        <w:tabs>
          <w:tab w:leader="none" w:pos="7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or reductions in customer purchases for both us and the company acquired due to customer uncertainty about continuity and effectiveness of service from either company;</w:t>
      </w:r>
    </w:p>
    <w:p>
      <w:pPr>
        <w:spacing w:after="0" w:line="47" w:lineRule="exact"/>
        <w:rPr>
          <w:rFonts w:ascii="Arial" w:cs="Arial" w:eastAsia="Arial" w:hAnsi="Arial"/>
          <w:sz w:val="16"/>
          <w:szCs w:val="16"/>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challenges integrating the employees of the acquired company into our company culture;</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exposure to litigation or other claims in connection with, or inheritance of claims or litigation risk as a result of, an acquisition;</w:t>
      </w:r>
    </w:p>
    <w:p>
      <w:pPr>
        <w:spacing w:after="0" w:line="113" w:lineRule="exact"/>
        <w:rPr>
          <w:rFonts w:ascii="Arial" w:cs="Arial" w:eastAsia="Arial" w:hAnsi="Arial"/>
          <w:sz w:val="16"/>
          <w:szCs w:val="16"/>
          <w:color w:val="auto"/>
        </w:rPr>
      </w:pPr>
    </w:p>
    <w:p>
      <w:pPr>
        <w:ind w:left="740" w:right="140" w:hanging="317"/>
        <w:spacing w:after="0" w:line="304" w:lineRule="auto"/>
        <w:tabs>
          <w:tab w:leader="none" w:pos="7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potential identified or unknown security vulnerabilities in acquired products or technologies that expose us to additional security risks or delay our ability to integrate the products or technologies into our offerings;</w:t>
      </w:r>
    </w:p>
    <w:p>
      <w:pPr>
        <w:spacing w:after="0" w:line="33" w:lineRule="exact"/>
        <w:rPr>
          <w:rFonts w:ascii="Arial" w:cs="Arial" w:eastAsia="Arial" w:hAnsi="Arial"/>
          <w:sz w:val="16"/>
          <w:szCs w:val="16"/>
          <w:color w:val="auto"/>
        </w:rPr>
      </w:pPr>
    </w:p>
    <w:p>
      <w:pPr>
        <w:ind w:left="740" w:right="320" w:hanging="317"/>
        <w:spacing w:after="0" w:line="286" w:lineRule="auto"/>
        <w:tabs>
          <w:tab w:leader="none" w:pos="7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difficulty in maintaining controls, procedures and policies during the transition and integration and inability to conclude that our internal controls over financial reporting are effective;</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use of cash to pay for acquisitions or other investments would limit other potential uses for our cash;</w:t>
      </w:r>
    </w:p>
    <w:p>
      <w:pPr>
        <w:spacing w:after="0" w:line="113" w:lineRule="exact"/>
        <w:rPr>
          <w:rFonts w:ascii="Arial" w:cs="Arial" w:eastAsia="Arial" w:hAnsi="Arial"/>
          <w:sz w:val="16"/>
          <w:szCs w:val="16"/>
          <w:color w:val="auto"/>
        </w:rPr>
      </w:pPr>
    </w:p>
    <w:p>
      <w:pPr>
        <w:ind w:left="740" w:right="560" w:hanging="317"/>
        <w:spacing w:after="0" w:line="304" w:lineRule="auto"/>
        <w:tabs>
          <w:tab w:leader="none" w:pos="7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incur debt to fund any acquisitions, such debt may subject us to material restrictions on our ability to conduct our business due to new financial maintenance and other covenants; and</w:t>
      </w:r>
    </w:p>
    <w:p>
      <w:pPr>
        <w:spacing w:after="0" w:line="33" w:lineRule="exact"/>
        <w:rPr>
          <w:rFonts w:ascii="Arial" w:cs="Arial" w:eastAsia="Arial" w:hAnsi="Arial"/>
          <w:sz w:val="16"/>
          <w:szCs w:val="16"/>
          <w:color w:val="auto"/>
        </w:rPr>
      </w:pPr>
    </w:p>
    <w:p>
      <w:pPr>
        <w:ind w:left="740" w:right="160" w:hanging="317"/>
        <w:spacing w:after="0" w:line="286" w:lineRule="auto"/>
        <w:tabs>
          <w:tab w:leader="none" w:pos="7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issuance of a significant amount of equity securities in connection with any future acquisitions could dilute existing stockholders and earnings per share may decrease.</w:t>
      </w:r>
    </w:p>
    <w:p>
      <w:pPr>
        <w:spacing w:after="0" w:line="61" w:lineRule="exact"/>
        <w:rPr>
          <w:sz w:val="20"/>
          <w:szCs w:val="20"/>
          <w:color w:val="auto"/>
        </w:rPr>
      </w:pPr>
    </w:p>
    <w:p>
      <w:pPr>
        <w:ind w:firstLine="405"/>
        <w:spacing w:after="0" w:line="260" w:lineRule="auto"/>
        <w:rPr>
          <w:sz w:val="20"/>
          <w:szCs w:val="20"/>
          <w:color w:val="auto"/>
        </w:rPr>
      </w:pPr>
      <w:r>
        <w:rPr>
          <w:rFonts w:ascii="Arial" w:cs="Arial" w:eastAsia="Arial" w:hAnsi="Arial"/>
          <w:sz w:val="16"/>
          <w:szCs w:val="16"/>
          <w:color w:val="auto"/>
        </w:rPr>
        <w:t>We have in the past faced difficulties in connection with integrating some of our acquisitions and expect to face similar difficulties in the future. These difficulties can range from lost productivity to legal proceedings, and we cannot know in advance the extent of the issues that may be involved with a particular acquisition or investment. We may also decide to restructure, divest or sell businesses, products or technologies that we have acquired or invested in previously. The occurrence of any of the foregoing risks could have an adverse effect on our business, results of operations, financial condition and future prospects and could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6" w:name="page47"/>
    <w:bookmarkEnd w:id="46"/>
    <w:p>
      <w:pPr>
        <w:ind w:right="40"/>
        <w:spacing w:after="0" w:line="279" w:lineRule="auto"/>
        <w:rPr>
          <w:sz w:val="20"/>
          <w:szCs w:val="20"/>
          <w:color w:val="auto"/>
        </w:rPr>
      </w:pPr>
      <w:r>
        <w:rPr>
          <w:rFonts w:ascii="Arial" w:cs="Arial" w:eastAsia="Arial" w:hAnsi="Arial"/>
          <w:sz w:val="16"/>
          <w:szCs w:val="16"/>
          <w:b w:val="1"/>
          <w:bCs w:val="1"/>
          <w:i w:val="1"/>
          <w:iCs w:val="1"/>
          <w:color w:val="auto"/>
        </w:rPr>
        <w:t>Our focus on the long-term best interests of our company and our consideration of our stakeholders, more broadly, including our stockholders, customers, employees, and other stakeholders that we may identify from time to time, may conflict with short- or medium-term financial interests and business performance, which may negatively impact the value of our common stock</w:t>
      </w:r>
    </w:p>
    <w:p>
      <w:pPr>
        <w:spacing w:after="0" w:line="153" w:lineRule="exact"/>
        <w:rPr>
          <w:sz w:val="20"/>
          <w:szCs w:val="20"/>
          <w:color w:val="auto"/>
        </w:rPr>
      </w:pPr>
    </w:p>
    <w:p>
      <w:pPr>
        <w:ind w:right="40" w:firstLine="405"/>
        <w:spacing w:after="0" w:line="256" w:lineRule="auto"/>
        <w:rPr>
          <w:sz w:val="20"/>
          <w:szCs w:val="20"/>
          <w:color w:val="auto"/>
        </w:rPr>
      </w:pPr>
      <w:r>
        <w:rPr>
          <w:rFonts w:ascii="Arial" w:cs="Arial" w:eastAsia="Arial" w:hAnsi="Arial"/>
          <w:sz w:val="16"/>
          <w:szCs w:val="16"/>
          <w:color w:val="auto"/>
        </w:rPr>
        <w:t>We believe that focusing on the long-term best interests of our company and our consideration of our stakeholders more broadly, including our stockholders, customers, employees, partners, the communities in 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For example, our strategic execution priorities, which we believe will increase the predictability of our business, improve operational efficiencies and margins, and help us accelerate and sustain growth at scale, may result in short-term adverse impacts to our business and financial results.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communities in which we operate, enabling equitable access to legal and compliance services, investing in our relationships with our customers, partners, and employees, investing in and introducing new services, or changing our approach to working with local or national jurisdictions on laws and regulations governing our business, may not result in the long-term benefits that we expect, in which case our business, results of operations, financial condition and the trading price of our common stock could be materially adversely affected.</w:t>
      </w:r>
    </w:p>
    <w:p>
      <w:pPr>
        <w:spacing w:after="0" w:line="87" w:lineRule="exact"/>
        <w:rPr>
          <w:sz w:val="20"/>
          <w:szCs w:val="20"/>
          <w:color w:val="auto"/>
        </w:rPr>
      </w:pPr>
    </w:p>
    <w:p>
      <w:pPr>
        <w:ind w:right="140" w:firstLine="405"/>
        <w:spacing w:after="0" w:line="260" w:lineRule="auto"/>
        <w:rPr>
          <w:sz w:val="20"/>
          <w:szCs w:val="20"/>
          <w:color w:val="auto"/>
        </w:rPr>
      </w:pPr>
      <w:r>
        <w:rPr>
          <w:rFonts w:ascii="Arial" w:cs="Arial" w:eastAsia="Arial" w:hAnsi="Arial"/>
          <w:sz w:val="16"/>
          <w:szCs w:val="16"/>
          <w:color w:val="auto"/>
        </w:rPr>
        <w:t>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i w:val="1"/>
          <w:iCs w:val="1"/>
          <w:color w:val="auto"/>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spacing w:after="0" w:line="174" w:lineRule="exact"/>
        <w:rPr>
          <w:sz w:val="20"/>
          <w:szCs w:val="20"/>
          <w:color w:val="auto"/>
        </w:rPr>
      </w:pPr>
    </w:p>
    <w:p>
      <w:pPr>
        <w:ind w:firstLine="405"/>
        <w:spacing w:after="0" w:line="255" w:lineRule="auto"/>
        <w:rPr>
          <w:sz w:val="20"/>
          <w:szCs w:val="20"/>
          <w:color w:val="auto"/>
        </w:rPr>
      </w:pPr>
      <w:r>
        <w:rPr>
          <w:rFonts w:ascii="Arial" w:cs="Arial" w:eastAsia="Arial" w:hAnsi="Arial"/>
          <w:sz w:val="16"/>
          <w:szCs w:val="16"/>
          <w:color w:val="auto"/>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We have experienced, and may in the future experience, website and service disruptions, outages and other performance problems due to a variety of factors, including infrastructure maintenance, natural disasters, human or software errors, ransomware attacks, capacity constraints, denial or degradation of service, fraud, climate change and extreme weather-related events, terrorism, war, telecommunications and electrical failures, cyberattacks or other security-related incidents. In some instances, the steps we have taken to try to prevent these attacks and disruptions and mitigate their potential impact on our systems and operations may be expensive and may not be successful. In addition, dependence upon information systems (including automated systems) may further increase the risk that operational system flaws, personnel error or malfeasance (including of service providers upon which we rely), or manipulation of those systems will result in defects or efforts that are difficult to detect. We may not be able to identify the cause or causes of any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Any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In addition,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47" w:name="page48"/>
    <w:bookmarkEnd w:id="47"/>
    <w:p>
      <w:pPr>
        <w:ind w:right="40" w:firstLine="405"/>
        <w:spacing w:after="0" w:line="256" w:lineRule="auto"/>
        <w:rPr>
          <w:sz w:val="20"/>
          <w:szCs w:val="20"/>
          <w:color w:val="auto"/>
        </w:rPr>
      </w:pPr>
      <w:r>
        <w:rPr>
          <w:rFonts w:ascii="Arial" w:cs="Arial" w:eastAsia="Arial" w:hAnsi="Arial"/>
          <w:sz w:val="16"/>
          <w:szCs w:val="16"/>
          <w:color w:val="auto"/>
        </w:rPr>
        <w:t>Our operations and online services also rely on the continued functioning and accessibility of certain physical locations, including product fulfillment locations and data centers operated by AWS or other service providers. These physical locations are vulnerable to damage or interruption from natural disasters, adverse weather conditions, power losses, telecommunication failures, terrorist attacks, human errors or malfeasance, lockdown orders resulting from a public health pandemic or epidemic,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a large portion of our employees are located, is in an earthquake fault zone and because both the Los Angeles area and Frisco, Texas, where a lot of our registered agent and virtual mail operations are currently located, are subject to the increased risk of wildfires, tornadoes and power outages, we are particularly sensitive to the risk of damage to, or total destruction of, our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spacing w:after="0" w:line="19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i w:val="1"/>
          <w:iCs w:val="1"/>
          <w:color w:val="auto"/>
        </w:rPr>
        <w:t>We may from time to time become involved in litigation, arbitration or government investigation matters that are expensive and time consuming and, if resolved adversely, could harm our brand and reputation, business, results of operations, financial condition or future prospects</w:t>
      </w:r>
    </w:p>
    <w:p>
      <w:pPr>
        <w:spacing w:after="0" w:line="14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We are susceptible to various legal claims, lawsuits, arbitration, regulatory action or other proceedings, including those related to UPL, patent,</w:t>
      </w:r>
    </w:p>
    <w:p>
      <w:pPr>
        <w:spacing w:after="0" w:line="3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trademark, trade secret and other intellectual property matters, taxes, labor and employment, competition and antitrust, privacy, data use, data protection, data security, network security, wiretapping, consumer protection and product liability, unfair business practices, breach of contract and other matters. We have been and may in the future become subject to various claims which, if resolved adversely, could have a material adverse effect on our financial position, results of operations, or cash flows. We anticipate that we will continue to be a target for such lawsuits in the future.</w:t>
      </w:r>
    </w:p>
    <w:p>
      <w:pPr>
        <w:spacing w:after="0" w:line="68"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The plaintiffs in these actions generally seek monetary damages, penalties, and/or injunctive relief. We cannot predict the outcome of such proceedings or the amount of time and expense that will be required to resolve such proceedings. If such claims are made against us, there can be no assurances that favorable final outcomes will be obtained; if such claims were to be determined adversely to our interests, or if we were forced to settle such matters for a significant amount, such resolutions or settlements may result in changes to or discontinuance of some of our services, potential liabilities or additional costs. Defending these claims is also costly and can impose a significant burden on management and employees, and we may receive unfavorable preliminary or interim rulings in the course of litigation. Any litigation to which we are currently or may in the future be a party may result in an onerous or unfavorable judgment that may not be reversed upon appeal, or we may decide to settle lawsuits on unfavorable terms.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spacing w:after="0" w:line="74" w:lineRule="exact"/>
        <w:rPr>
          <w:sz w:val="20"/>
          <w:szCs w:val="20"/>
          <w:color w:val="auto"/>
        </w:rPr>
      </w:pPr>
    </w:p>
    <w:p>
      <w:pPr>
        <w:ind w:firstLine="405"/>
        <w:spacing w:after="0" w:line="262" w:lineRule="auto"/>
        <w:rPr>
          <w:sz w:val="20"/>
          <w:szCs w:val="20"/>
          <w:color w:val="auto"/>
        </w:rPr>
      </w:pPr>
      <w:r>
        <w:rPr>
          <w:rFonts w:ascii="Arial" w:cs="Arial" w:eastAsia="Arial" w:hAnsi="Arial"/>
          <w:sz w:val="16"/>
          <w:szCs w:val="16"/>
          <w:color w:val="auto"/>
        </w:rPr>
        <w:t>We also may encounter future claims. For example, our U.S. subsidiary, LZ Legal Services, LLC, is licensed as an alternative business structure, which allows corporate entities to become licensed providers of reserved legal activities in Arizona. As a result, LZ Legal Services, LLC may be susceptible to potential claims from clients, such as breach of contract, product liability, negligence or other claims. Any such claims could result in reputational damage or an adverse effect on our results of operations. The professional liability insurance held by LZ Legal Services, LLC and limiting its liability in accordance with engagement letters with clients may not insure or protect against all potential claims or sufficiently indemnify us or the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w:t>
      </w:r>
    </w:p>
    <w:p>
      <w:pPr>
        <w:spacing w:after="0" w:line="176"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b w:val="1"/>
          <w:bCs w:val="1"/>
          <w:i w:val="1"/>
          <w:iCs w:val="1"/>
          <w:color w:val="auto"/>
        </w:rPr>
        <w:t>We are subject to risks related to accepting credit and debit card payments that may harm our business or expose us to additional costs and liabilities</w:t>
      </w:r>
    </w:p>
    <w:p>
      <w:pPr>
        <w:spacing w:after="0" w:line="155" w:lineRule="exact"/>
        <w:rPr>
          <w:sz w:val="20"/>
          <w:szCs w:val="20"/>
          <w:color w:val="auto"/>
        </w:rPr>
      </w:pPr>
    </w:p>
    <w:p>
      <w:pPr>
        <w:ind w:right="40" w:firstLine="405"/>
        <w:spacing w:after="0" w:line="260" w:lineRule="auto"/>
        <w:rPr>
          <w:sz w:val="20"/>
          <w:szCs w:val="20"/>
          <w:color w:val="auto"/>
        </w:rPr>
      </w:pPr>
      <w:r>
        <w:rPr>
          <w:rFonts w:ascii="Arial" w:cs="Arial" w:eastAsia="Arial" w:hAnsi="Arial"/>
          <w:sz w:val="16"/>
          <w:szCs w:val="16"/>
          <w:color w:val="auto"/>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Acceptance and processing of credit and debit cards requires that we pay interchange and other fees. In addition, we rely on third parties to provide payment processing services, including the processing of our credit and debit card transactions, and to provide payment collection services. To the extent there are increases in payment processing fees, material changes in the payment ecosystem, such as large re-issuances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8" w:name="page49"/>
    <w:bookmarkEnd w:id="48"/>
    <w:p>
      <w:pPr>
        <w:spacing w:after="0" w:line="262" w:lineRule="auto"/>
        <w:rPr>
          <w:sz w:val="20"/>
          <w:szCs w:val="20"/>
          <w:color w:val="auto"/>
        </w:rPr>
      </w:pPr>
      <w:r>
        <w:rPr>
          <w:rFonts w:ascii="Arial" w:cs="Arial" w:eastAsia="Arial" w:hAnsi="Arial"/>
          <w:sz w:val="16"/>
          <w:szCs w:val="16"/>
          <w:color w:val="auto"/>
        </w:rPr>
        <w:t>of payment cards, delays in receiving payments from payment processors, loss of payment partners and/or disruptions or failures in our payment processing systems, including products we use to update payment information, our revenue, operating expenses and results of operation could be adversely impacted.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spacing w:after="0" w:line="265" w:lineRule="exact"/>
        <w:rPr>
          <w:sz w:val="20"/>
          <w:szCs w:val="20"/>
          <w:color w:val="auto"/>
        </w:rPr>
      </w:pPr>
    </w:p>
    <w:p>
      <w:pPr>
        <w:ind w:right="20" w:firstLine="405"/>
        <w:spacing w:after="0" w:line="271" w:lineRule="auto"/>
        <w:rPr>
          <w:sz w:val="20"/>
          <w:szCs w:val="20"/>
          <w:color w:val="auto"/>
        </w:rPr>
      </w:pPr>
      <w:r>
        <w:rPr>
          <w:rFonts w:ascii="Arial" w:cs="Arial" w:eastAsia="Arial" w:hAnsi="Arial"/>
          <w:sz w:val="16"/>
          <w:szCs w:val="16"/>
          <w:color w:val="auto"/>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Financial Condition, Indebtedness and Capital Requirements</w:t>
      </w:r>
    </w:p>
    <w:p>
      <w:pPr>
        <w:spacing w:after="0" w:line="22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Our results of operations may not immediately reflect downturns or upturns in sales because we recognize revenue from our customers over the term of their paid subscriptions with us</w:t>
      </w:r>
    </w:p>
    <w:p>
      <w:pPr>
        <w:spacing w:after="0" w:line="129" w:lineRule="exact"/>
        <w:rPr>
          <w:sz w:val="20"/>
          <w:szCs w:val="20"/>
          <w:color w:val="auto"/>
        </w:rPr>
      </w:pPr>
    </w:p>
    <w:p>
      <w:pPr>
        <w:ind w:firstLine="405"/>
        <w:spacing w:after="0" w:line="257" w:lineRule="auto"/>
        <w:rPr>
          <w:sz w:val="20"/>
          <w:szCs w:val="20"/>
          <w:color w:val="auto"/>
        </w:rPr>
      </w:pPr>
      <w:r>
        <w:rPr>
          <w:rFonts w:ascii="Arial" w:cs="Arial" w:eastAsia="Arial" w:hAnsi="Arial"/>
          <w:sz w:val="16"/>
          <w:szCs w:val="16"/>
          <w:color w:val="auto"/>
        </w:rPr>
        <w:t>We recognize revenue from paid subscriptions to our services over the respective term of the subscription period. For example, after a short introductory trial period, if any, subscribers can make a subscription commitment, with the upcoming subscription fee paid upon subscribing. As a result, much of our revenue is generated from the recognition of deferred revenue relating to subscriptions entered into during previous quarters. Consequently, shortfalls in demand for our services or declines in new or renewed subscriptions in any one quarter have in the past had, and may again in the future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b w:val="1"/>
          <w:bCs w:val="1"/>
          <w:i w:val="1"/>
          <w:iCs w:val="1"/>
          <w:color w:val="auto"/>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spacing w:after="0" w:line="166" w:lineRule="exact"/>
        <w:rPr>
          <w:sz w:val="20"/>
          <w:szCs w:val="20"/>
          <w:color w:val="auto"/>
        </w:rPr>
      </w:pPr>
    </w:p>
    <w:p>
      <w:pPr>
        <w:ind w:right="100" w:firstLine="405"/>
        <w:spacing w:after="0" w:line="257" w:lineRule="auto"/>
        <w:rPr>
          <w:sz w:val="20"/>
          <w:szCs w:val="20"/>
          <w:color w:val="auto"/>
        </w:rPr>
      </w:pPr>
      <w:r>
        <w:rPr>
          <w:rFonts w:ascii="Arial" w:cs="Arial" w:eastAsia="Arial" w:hAnsi="Arial"/>
          <w:sz w:val="16"/>
          <w:szCs w:val="16"/>
          <w:color w:val="auto"/>
        </w:rPr>
        <w:t>We track certain financial and operating metrics, including key business metrics such as number of transactions, number of subscription units and average revenue per subscription unit, with internal company data, systems and tools that are not independently verified by any third-party.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and we may be required to revise or cease reporting such metrics or figures. While the numbers we report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spacing w:after="0" w:line="84" w:lineRule="exact"/>
        <w:rPr>
          <w:sz w:val="20"/>
          <w:szCs w:val="20"/>
          <w:color w:val="auto"/>
        </w:rPr>
      </w:pPr>
    </w:p>
    <w:p>
      <w:pPr>
        <w:ind w:right="200" w:firstLine="405"/>
        <w:spacing w:after="0" w:line="265" w:lineRule="auto"/>
        <w:rPr>
          <w:sz w:val="20"/>
          <w:szCs w:val="20"/>
          <w:color w:val="auto"/>
        </w:rPr>
      </w:pPr>
      <w:r>
        <w:rPr>
          <w:rFonts w:ascii="Arial" w:cs="Arial" w:eastAsia="Arial" w:hAnsi="Arial"/>
          <w:sz w:val="16"/>
          <w:szCs w:val="16"/>
          <w:color w:val="auto"/>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investors do not perceive our operating metrics to be accurate, or if we discover material inaccuracies in our metrics, our reputation may be harmed, and our business, results of operations, financial condition and future prospects could be adversely affected.</w:t>
      </w:r>
    </w:p>
    <w:p>
      <w:pPr>
        <w:spacing w:after="0" w:line="175"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b w:val="1"/>
          <w:bCs w:val="1"/>
          <w:i w:val="1"/>
          <w:iCs w:val="1"/>
          <w:color w:val="auto"/>
        </w:rPr>
        <w:t>We have in the past identified material weaknesses in our internal control over financial reporting, and if we are unable to maintain effective internal control over financial reporting in the future, investors may lose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t>confidence in the accuracy and completeness of our financial reports and the market price of our common stock may decline</w:t>
      </w:r>
    </w:p>
    <w:p>
      <w:pPr>
        <w:spacing w:after="0" w:line="219" w:lineRule="exact"/>
        <w:rPr>
          <w:sz w:val="20"/>
          <w:szCs w:val="20"/>
          <w:color w:val="auto"/>
        </w:rPr>
      </w:pPr>
    </w:p>
    <w:p>
      <w:pPr>
        <w:ind w:right="20" w:firstLine="405"/>
        <w:spacing w:after="0" w:line="271" w:lineRule="auto"/>
        <w:rPr>
          <w:sz w:val="20"/>
          <w:szCs w:val="20"/>
          <w:color w:val="auto"/>
        </w:rPr>
      </w:pPr>
      <w:r>
        <w:rPr>
          <w:rFonts w:ascii="Arial" w:cs="Arial" w:eastAsia="Arial" w:hAnsi="Arial"/>
          <w:sz w:val="16"/>
          <w:szCs w:val="16"/>
          <w:color w:val="auto"/>
        </w:rPr>
        <w:t>We are required to maintain internal control over financial reporting and to report any material weaknesses in such internal control. On an annual basis, we are required to furnish a report by management on the effectiveness of our internal control over financial reporting pursuant to Section 404 of the Sarbanes-Oxley Act and our independent registered public accounting firm is required to attest to the effectiveness of our internal control over financial reporting.</w:t>
      </w:r>
    </w:p>
    <w:p>
      <w:pPr>
        <w:spacing w:after="0" w:line="60"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Compiling the system and processing documentation necessary to perform the evaluation needed to comply with Section 404 is costly and challenging. Our compliance with Section 404 requires that we incur substantial accounting expense and expend significant management efforts. We have hired and may need to continue to hire additional accounting and financial staff with appropriate public company experience and technical accounting knowledge and compile the system and process documentation necessary to maintain effective internal control over financial reporting.</w:t>
      </w:r>
    </w:p>
    <w:p>
      <w:pPr>
        <w:spacing w:after="0" w:line="78" w:lineRule="exact"/>
        <w:rPr>
          <w:sz w:val="20"/>
          <w:szCs w:val="20"/>
          <w:color w:val="auto"/>
        </w:rPr>
      </w:pPr>
    </w:p>
    <w:p>
      <w:pPr>
        <w:ind w:right="80" w:firstLine="405"/>
        <w:spacing w:after="0" w:line="256" w:lineRule="auto"/>
        <w:rPr>
          <w:sz w:val="20"/>
          <w:szCs w:val="20"/>
          <w:color w:val="auto"/>
        </w:rPr>
      </w:pPr>
      <w:r>
        <w:rPr>
          <w:rFonts w:ascii="Arial" w:cs="Arial" w:eastAsia="Arial" w:hAnsi="Arial"/>
          <w:sz w:val="16"/>
          <w:szCs w:val="16"/>
          <w:color w:val="auto"/>
        </w:rPr>
        <w:t>We have found material weaknesses in our internal control over financial reporting in the past and our prior material weakness related to our income tax provision resulted in the restatement of our unaudited condensed consolidated financial statements for the quarters and year-to-date periods ended March 31, 2022, June 30, 2022 and September 30, 2022. Although we remediated our material weaknesses and management concluded that our internal control over financial reporting was effective as of December 31, 2024,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In addition, any future material weaknesses could result in the loss of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maintain effective control systems required of public companies could also restrict our future access to the capital markets.</w:t>
      </w:r>
    </w:p>
    <w:p>
      <w:pPr>
        <w:spacing w:after="0" w:line="186" w:lineRule="exact"/>
        <w:rPr>
          <w:sz w:val="20"/>
          <w:szCs w:val="20"/>
          <w:color w:val="auto"/>
        </w:rPr>
      </w:pPr>
    </w:p>
    <w:p>
      <w:pPr>
        <w:jc w:val="both"/>
        <w:ind w:right="300"/>
        <w:spacing w:after="0" w:line="279" w:lineRule="auto"/>
        <w:rPr>
          <w:sz w:val="20"/>
          <w:szCs w:val="20"/>
          <w:color w:val="auto"/>
        </w:rPr>
      </w:pPr>
      <w:r>
        <w:rPr>
          <w:rFonts w:ascii="Arial" w:cs="Arial" w:eastAsia="Arial" w:hAnsi="Arial"/>
          <w:sz w:val="16"/>
          <w:szCs w:val="16"/>
          <w:b w:val="1"/>
          <w:bCs w:val="1"/>
          <w:i w:val="1"/>
          <w:iCs w:val="1"/>
          <w:color w:val="auto"/>
        </w:rPr>
        <w:t>The agreement governing our revolving credit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spacing w:after="0" w:line="166"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The revolving facility that we entered into on July 2, 2021, or the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spacing w:after="0" w:line="65" w:lineRule="exact"/>
        <w:rPr>
          <w:sz w:val="20"/>
          <w:szCs w:val="20"/>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incur additional indebtedness and guarantee indebtedness;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create or incur liens;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pay dividends and distribute or repurchase capital stock;</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merge, liquidate and make asset sales;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lines of business;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our fiscal year;</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incur restrictions on our subsidiaries’ ability to make distributions and create liens;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modify our organizational documents;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make investments, loans and advances; and</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enter into certain transactions with affiliates.</w:t>
      </w:r>
    </w:p>
    <w:p>
      <w:pPr>
        <w:spacing w:after="0" w:line="113" w:lineRule="exact"/>
        <w:rPr>
          <w:sz w:val="20"/>
          <w:szCs w:val="20"/>
          <w:color w:val="auto"/>
        </w:rPr>
      </w:pPr>
    </w:p>
    <w:p>
      <w:pPr>
        <w:ind w:right="20" w:firstLine="405"/>
        <w:spacing w:after="0" w:line="261" w:lineRule="auto"/>
        <w:rPr>
          <w:sz w:val="20"/>
          <w:szCs w:val="20"/>
          <w:color w:val="auto"/>
        </w:rPr>
      </w:pPr>
      <w:r>
        <w:rPr>
          <w:rFonts w:ascii="Arial" w:cs="Arial" w:eastAsia="Arial" w:hAnsi="Arial"/>
          <w:sz w:val="16"/>
          <w:szCs w:val="16"/>
          <w:color w:val="auto"/>
        </w:rPr>
        <w:t>The 2021 Revolving Facility also contains a financial covenant that requires us to maintain a total net first lien leverage ratio not to exceed 4.50:1.00 on the last day of any fiscal quarter during which our 2021 Revolving Facility usage exceeds 35% of the 2021 Revolving Facility capacity. As a result of the restrictions described above, we may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50" w:name="page51"/>
    <w:bookmarkEnd w:id="50"/>
    <w:p>
      <w:pPr>
        <w:ind w:firstLine="405"/>
        <w:spacing w:after="0" w:line="258" w:lineRule="auto"/>
        <w:rPr>
          <w:sz w:val="20"/>
          <w:szCs w:val="20"/>
          <w:color w:val="auto"/>
        </w:rPr>
      </w:pPr>
      <w:r>
        <w:rPr>
          <w:rFonts w:ascii="Arial" w:cs="Arial" w:eastAsia="Arial" w:hAnsi="Arial"/>
          <w:sz w:val="16"/>
          <w:szCs w:val="16"/>
          <w:color w:val="auto"/>
        </w:rPr>
        <w:t>Our ability to comply with the covenants and restrictions contained in the 2021 Revolving Facility may be affected by economic, financial and industry 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Our failure to comply with the restrictive covenants and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and could also trigger cross-default provisions in other contracts, potentially resulting in serious consequences to our business, results of operations, financial condition and future prospects, including bankruptcy or insolvency. Even if the 2021 Revolving Facility is terminated, any additional debt that we incur in the future could subject us to similar or additional covenants.</w:t>
      </w:r>
    </w:p>
    <w:p>
      <w:pPr>
        <w:spacing w:after="0" w:line="83" w:lineRule="exact"/>
        <w:rPr>
          <w:sz w:val="20"/>
          <w:szCs w:val="20"/>
          <w:color w:val="auto"/>
        </w:rPr>
      </w:pPr>
    </w:p>
    <w:p>
      <w:pPr>
        <w:jc w:val="both"/>
        <w:ind w:right="60" w:firstLine="405"/>
        <w:spacing w:after="0" w:line="266" w:lineRule="auto"/>
        <w:rPr>
          <w:sz w:val="20"/>
          <w:szCs w:val="20"/>
          <w:color w:val="auto"/>
        </w:rPr>
      </w:pPr>
      <w:r>
        <w:rPr>
          <w:rFonts w:ascii="Arial" w:cs="Arial" w:eastAsia="Arial" w:hAnsi="Arial"/>
          <w:sz w:val="16"/>
          <w:szCs w:val="16"/>
          <w:color w:val="auto"/>
        </w:rPr>
        <w:t>In addition, 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fluctuations in interest rates</w:t>
      </w:r>
    </w:p>
    <w:p>
      <w:pPr>
        <w:spacing w:after="0" w:line="219"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Any borrowings under the 2021 Revolving Facility will be subject to variable rates of interest and expose us to interest rate risk. Sharp changes in interest rates could adversely affect us if amounts are outstanding under the 2021 Revolving Facility. Further, if future rates based upon SOFR are higher or more volatile than USD LIBOR rates as historically determined, we may experience potential increases in interest rates on any variable rate debt, which could adversely impact our interest expense, results of operations and cash flows.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NOL carryforwards may be limited</w:t>
      </w:r>
    </w:p>
    <w:p>
      <w:pPr>
        <w:spacing w:after="0" w:line="233" w:lineRule="exact"/>
        <w:rPr>
          <w:sz w:val="20"/>
          <w:szCs w:val="20"/>
          <w:color w:val="auto"/>
        </w:rPr>
      </w:pPr>
    </w:p>
    <w:p>
      <w:pPr>
        <w:ind w:right="20" w:firstLine="405"/>
        <w:spacing w:after="0" w:line="255" w:lineRule="auto"/>
        <w:rPr>
          <w:sz w:val="20"/>
          <w:szCs w:val="20"/>
          <w:color w:val="auto"/>
        </w:rPr>
      </w:pPr>
      <w:r>
        <w:rPr>
          <w:rFonts w:ascii="Arial" w:cs="Arial" w:eastAsia="Arial" w:hAnsi="Arial"/>
          <w:sz w:val="16"/>
          <w:szCs w:val="16"/>
          <w:color w:val="auto"/>
        </w:rPr>
        <w:t>Unused U.S. federal net operating losses, or NOLs, for taxable years beginning before January 1, 2018, may be carried forward for 20 years to offset future taxable income, if any, until such unused NOLs expire. Under the 2017 Tax Cuts and Jobs Act, or the Tax Act, as modified by the Coronavirus Aid, Relief, and Economic Security Act, or the CARES Act, U.S. federal NOLs incurred in taxable years beginning after December 31, 2017, can be carried forward indefinitely and are limited to 80% of taxable income. In addition, under Section 382 of the Internal Revenue Code of 1986, as amended,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post-change income or taxes may be limited. We have completed a Section 382 study and have determined that none of our NOLs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 For example, California imposed limits on the usability of California NOLs to offset taxable income and certain business credits to offset California tax liabilities in tax years beginning after 2023 and before 2027.</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 or tax liability may have an adverse effect on our results of operations</w:t>
      </w:r>
    </w:p>
    <w:p>
      <w:pPr>
        <w:spacing w:after="0" w:line="219" w:lineRule="exact"/>
        <w:rPr>
          <w:sz w:val="20"/>
          <w:szCs w:val="20"/>
          <w:color w:val="auto"/>
        </w:rPr>
      </w:pPr>
    </w:p>
    <w:p>
      <w:pPr>
        <w:ind w:right="160" w:firstLine="405"/>
        <w:spacing w:after="0" w:line="265" w:lineRule="auto"/>
        <w:rPr>
          <w:sz w:val="20"/>
          <w:szCs w:val="20"/>
          <w:color w:val="auto"/>
        </w:rPr>
      </w:pPr>
      <w:r>
        <w:rPr>
          <w:rFonts w:ascii="Arial" w:cs="Arial" w:eastAsia="Arial" w:hAnsi="Arial"/>
          <w:sz w:val="16"/>
          <w:szCs w:val="16"/>
          <w:color w:val="auto"/>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affect our financial results in the period or periods in which such outcome is determined.</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51" w:name="page52"/>
    <w:bookmarkEnd w:id="51"/>
    <w:p>
      <w:pPr>
        <w:ind w:left="720" w:hanging="297"/>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13" w:lineRule="exact"/>
        <w:rPr>
          <w:rFonts w:ascii="Arial" w:cs="Arial" w:eastAsia="Arial" w:hAnsi="Arial"/>
          <w:sz w:val="16"/>
          <w:szCs w:val="16"/>
          <w:color w:val="auto"/>
        </w:rPr>
      </w:pPr>
    </w:p>
    <w:p>
      <w:pPr>
        <w:ind w:left="740" w:right="240" w:hanging="317"/>
        <w:spacing w:after="0" w:line="304" w:lineRule="auto"/>
        <w:tabs>
          <w:tab w:leader="none" w:pos="7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 including the Inflation Reduction Act of 2022, or the IRA, and the Tax Act;</w:t>
      </w:r>
    </w:p>
    <w:p>
      <w:pPr>
        <w:spacing w:after="0" w:line="33" w:lineRule="exact"/>
        <w:rPr>
          <w:rFonts w:ascii="Arial" w:cs="Arial" w:eastAsia="Arial" w:hAnsi="Arial"/>
          <w:sz w:val="16"/>
          <w:szCs w:val="16"/>
          <w:color w:val="auto"/>
        </w:rPr>
      </w:pPr>
    </w:p>
    <w:p>
      <w:pPr>
        <w:ind w:left="740" w:right="60" w:hanging="317"/>
        <w:spacing w:after="0" w:line="304" w:lineRule="auto"/>
        <w:tabs>
          <w:tab w:leader="none" w:pos="7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3" w:lineRule="exact"/>
        <w:rPr>
          <w:rFonts w:ascii="Arial" w:cs="Arial" w:eastAsia="Arial" w:hAnsi="Arial"/>
          <w:sz w:val="16"/>
          <w:szCs w:val="16"/>
          <w:color w:val="auto"/>
        </w:rPr>
      </w:pPr>
    </w:p>
    <w:p>
      <w:pPr>
        <w:ind w:left="720" w:hanging="297"/>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outcome of current and future tax audits, examinations, or administrative appeals; and</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effects of acquisitions.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Any of these developments could adversely affect our results of operations.</w:t>
      </w:r>
    </w:p>
    <w:p>
      <w:pPr>
        <w:spacing w:after="0" w:line="223"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29" w:lineRule="exact"/>
        <w:rPr>
          <w:sz w:val="20"/>
          <w:szCs w:val="20"/>
          <w:color w:val="auto"/>
        </w:rPr>
      </w:pPr>
    </w:p>
    <w:p>
      <w:pPr>
        <w:ind w:right="40" w:firstLine="405"/>
        <w:spacing w:after="0" w:line="258" w:lineRule="auto"/>
        <w:rPr>
          <w:sz w:val="20"/>
          <w:szCs w:val="20"/>
          <w:color w:val="auto"/>
        </w:rPr>
      </w:pPr>
      <w:r>
        <w:rPr>
          <w:rFonts w:ascii="Arial" w:cs="Arial" w:eastAsia="Arial" w:hAnsi="Arial"/>
          <w:sz w:val="16"/>
          <w:szCs w:val="16"/>
          <w:color w:val="auto"/>
        </w:rPr>
        <w:t>New tax laws, statutes, rules, regulations or ordinances could be enacted at any time. Tax reform remains a legislative priority for the U.S. government and certain legislation has already been enacted. While there is current uncertainty regarding what changes will eventually be enacted, such new laws may affect our operating results and financial conditions. Further, existing tax laws, statutes, rules, regulations or ordinances could be interpreted differently, changed, modified, or repealed at any time. Any such enactment, interpretation, change, modification, or repeal could adversely affect us, possibly with retroactive effect. For example, the IRA imposes, among other rules, a 15% minimum tax on the book income of certain large corporations and a 1% excise tax on certain corporate stock repurchases. The imposition of the excise tax could increase the cost to us of making repurchases of our stock and cause us to reduce the number of our shares repurchased pursuant to our stock repurchase program. In addition, for certain research and experimental expenses incurred in taxable years beginning after December 31, 2021, the Tax Act requires the capitalization and amortization of such expenses over five years if incurred in the U.S. and fifteen years if incurred outside the U.S., rather than deducting such expenses currently.</w:t>
      </w:r>
    </w:p>
    <w:p>
      <w:pPr>
        <w:spacing w:after="0" w:line="69" w:lineRule="exact"/>
        <w:rPr>
          <w:sz w:val="20"/>
          <w:szCs w:val="20"/>
          <w:color w:val="auto"/>
        </w:rPr>
      </w:pPr>
    </w:p>
    <w:p>
      <w:pPr>
        <w:ind w:right="40" w:firstLine="405"/>
        <w:spacing w:after="0" w:line="271" w:lineRule="auto"/>
        <w:rPr>
          <w:sz w:val="20"/>
          <w:szCs w:val="20"/>
          <w:color w:val="auto"/>
        </w:rPr>
      </w:pPr>
      <w:r>
        <w:rPr>
          <w:rFonts w:ascii="Arial" w:cs="Arial" w:eastAsia="Arial" w:hAnsi="Arial"/>
          <w:sz w:val="16"/>
          <w:szCs w:val="16"/>
          <w:color w:val="auto"/>
        </w:rPr>
        <w:t>In addition, changes in the tax laws of foreign jurisdictions could arise as a result of the global implementation of the Inclusive Framework on Base Erosion and Profit Shifting and Pillar Two Model Rules, announced by The Organization for Economic Cooperation and Development (OECD). This change, or any other changes in foreign tax laws, if enacted, could increase our tax obligations in the countries where we do business or require us to change the manner in which we operate our business.</w:t>
      </w:r>
    </w:p>
    <w:p>
      <w:pPr>
        <w:spacing w:after="0" w:line="60" w:lineRule="exact"/>
        <w:rPr>
          <w:sz w:val="20"/>
          <w:szCs w:val="20"/>
          <w:color w:val="auto"/>
        </w:rPr>
      </w:pPr>
    </w:p>
    <w:p>
      <w:pPr>
        <w:jc w:val="both"/>
        <w:ind w:right="380" w:firstLine="405"/>
        <w:spacing w:after="0" w:line="275" w:lineRule="auto"/>
        <w:rPr>
          <w:sz w:val="20"/>
          <w:szCs w:val="20"/>
          <w:color w:val="auto"/>
        </w:rPr>
      </w:pPr>
      <w:r>
        <w:rPr>
          <w:rFonts w:ascii="Arial" w:cs="Arial" w:eastAsia="Arial" w:hAnsi="Arial"/>
          <w:sz w:val="16"/>
          <w:szCs w:val="16"/>
          <w:color w:val="auto"/>
        </w:rPr>
        <w:t>Changes in corporate tax rates, the realization of net deferred tax assets, the taxation of foreign earnings and the deductibility of expenses, could potentially have a material impact on the value of our deferred tax assets, could result in significant one-time charges, and could increase our future tax expense.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Legal, Compliance and Regulatory Matters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services subject us to complex and evolving U.S. and foreign laws and regulations</w:t>
      </w:r>
    </w:p>
    <w:p>
      <w:pPr>
        <w:spacing w:after="0" w:line="219" w:lineRule="exact"/>
        <w:rPr>
          <w:sz w:val="20"/>
          <w:szCs w:val="20"/>
          <w:color w:val="auto"/>
        </w:rPr>
      </w:pPr>
    </w:p>
    <w:p>
      <w:pPr>
        <w:ind w:right="40" w:firstLine="405"/>
        <w:spacing w:after="0" w:line="259" w:lineRule="auto"/>
        <w:rPr>
          <w:sz w:val="20"/>
          <w:szCs w:val="20"/>
          <w:color w:val="auto"/>
        </w:rPr>
      </w:pPr>
      <w:r>
        <w:rPr>
          <w:rFonts w:ascii="Arial" w:cs="Arial" w:eastAsia="Arial" w:hAnsi="Arial"/>
          <w:sz w:val="16"/>
          <w:szCs w:val="16"/>
          <w:color w:val="auto"/>
        </w:rPr>
        <w:t>Our business involves providing services that meet the legal and other needs of our customers and, as a result, we are subject to a variety of complex and evolving government laws, rules and regulations, including but not limited to, laws and regulations related to labor, advertising, sales and marketing, deceptive trade practices, our subscription offerings and related billing, renewal and cancellation practices, virtual mail, legal document processing services, registered agent services, our legal plans, electronic funds transfer, consumer protection, real estate, e-commerce, promotions, intellectual property (e.g., ownership, examination, registration and infringement), postal, anti-bribery and anti-corruption, insurance, foreign exchange controls and cash repatriation restrictions, anti-competition, environmental, health and safety, and other regulated activities. In recent years, there has been significant new and changing regulations in many of these areas and we expect the heightened focus by the government on many of these areas to continue. In addition, as we expand our products and services and evolve our business models, we may become subject to additional government regulation or increased regulatory scrutiny.</w:t>
      </w:r>
    </w:p>
    <w:p>
      <w:pPr>
        <w:spacing w:after="0" w:line="72"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The scope of the federal, state and local laws and regulations to which we are subject is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frequently evolving, and challenges to, changes in, or new interpretations of, such laws and regulations could restrict the types of products and services that we can offer or the prices we can charge or require us to significantly change the ways we currently structure our business and services. For instance, in March 2025, the Financial Crimes Enforcement Network (FinCEN) issued an interim final rule removing the requirement for U.S. companies to file a beneficial ownership information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52" w:name="page53"/>
    <w:bookmarkEnd w:id="52"/>
    <w:p>
      <w:pPr>
        <w:ind w:right="120"/>
        <w:spacing w:after="0" w:line="265" w:lineRule="auto"/>
        <w:rPr>
          <w:sz w:val="20"/>
          <w:szCs w:val="20"/>
          <w:color w:val="auto"/>
        </w:rPr>
      </w:pPr>
      <w:r>
        <w:rPr>
          <w:rFonts w:ascii="Arial" w:cs="Arial" w:eastAsia="Arial" w:hAnsi="Arial"/>
          <w:sz w:val="16"/>
          <w:szCs w:val="16"/>
          <w:color w:val="auto"/>
        </w:rPr>
        <w:t>report under the Corporate Transparency Act, which was first adopted in September 2022. The laws and regulations to which we are subject could also make it more difficult for us to convert our transactional customers to subscribers or attract new subscribers to grow our subscription services. We dedicate significant management time and expense to dealing with these issues and we expect that these issues will continue to be a significant focus as we expand into other services and jurisdictions.</w:t>
      </w:r>
    </w:p>
    <w:p>
      <w:pPr>
        <w:spacing w:after="0" w:line="78"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spacing w:after="0" w:line="178" w:lineRule="exact"/>
        <w:rPr>
          <w:sz w:val="20"/>
          <w:szCs w:val="20"/>
          <w:color w:val="auto"/>
        </w:rPr>
      </w:pPr>
    </w:p>
    <w:p>
      <w:pPr>
        <w:ind w:right="580"/>
        <w:spacing w:after="0" w:line="311" w:lineRule="auto"/>
        <w:rPr>
          <w:sz w:val="20"/>
          <w:szCs w:val="20"/>
          <w:color w:val="auto"/>
        </w:rPr>
      </w:pPr>
      <w:r>
        <w:rPr>
          <w:rFonts w:ascii="Arial" w:cs="Arial" w:eastAsia="Arial" w:hAnsi="Arial"/>
          <w:sz w:val="16"/>
          <w:szCs w:val="16"/>
          <w:b w:val="1"/>
          <w:bCs w:val="1"/>
          <w:i w:val="1"/>
          <w:iCs w:val="1"/>
          <w:color w:val="auto"/>
        </w:rPr>
        <w:t>Our Arizona subsidiary, which is licensed as an ABS, may not insulate us from claims of the unauthorized practice of law and is subject to restrictions under Arizona Code of Judicial Administration</w:t>
      </w:r>
    </w:p>
    <w:p>
      <w:pPr>
        <w:spacing w:after="0" w:line="129"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 Further, in the U.S., we are generally unable to hire attorneys as employees to provide legal advice directly to our customer, because we do not meet certain regulatory requirements, such as being exclusively owned by licensed attorneys. We are currently unable to acquire a license to practice law in most U.S. states, and laws, regulations and professional responsibility rules impose limitations on business transactions between attorneys and persons who are not licensed attorneys, including those related to the ethics of attorney fee-splitting and CPL.</w:t>
      </w:r>
    </w:p>
    <w:p>
      <w:pPr>
        <w:spacing w:after="0" w:line="82" w:lineRule="exact"/>
        <w:rPr>
          <w:sz w:val="20"/>
          <w:szCs w:val="20"/>
          <w:color w:val="auto"/>
        </w:rPr>
      </w:pPr>
    </w:p>
    <w:p>
      <w:pPr>
        <w:ind w:right="60" w:firstLine="405"/>
        <w:spacing w:after="0" w:line="258" w:lineRule="auto"/>
        <w:rPr>
          <w:sz w:val="20"/>
          <w:szCs w:val="20"/>
          <w:color w:val="auto"/>
        </w:rPr>
      </w:pPr>
      <w:r>
        <w:rPr>
          <w:rFonts w:ascii="Arial" w:cs="Arial" w:eastAsia="Arial" w:hAnsi="Arial"/>
          <w:sz w:val="16"/>
          <w:szCs w:val="16"/>
          <w:color w:val="auto"/>
        </w:rPr>
        <w:t>However, Arizona currently permits non-lawyers to co-own law firms and other legal service operations. In September 2021, we received our license to operate our Arizona ABS, which employs and contracts with licensed attorneys to provide limited scope legal services to U.S.-based consumers who purchase such services on our websites. Our U.S. subsidiary, LZ Legal Services, LLC, which holds the license to operate the Arizona ABS,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CPL or UPL. The professional liability insurance held by our U.S. subsidiary and limiting its liability in accordance with its engagement letters with clients, may not insure or protect against all potential claims or sufficiently indemnify us or our U.S. subsidiary for all liability that may be incurred. Any liability, inclusive of the costs and expenses that may be incurred in defending any such claims, that exceeds our insurance coverage could have a material adverse effect on our business, results of operations, financial condition, or future prospects.</w:t>
      </w:r>
    </w:p>
    <w:p>
      <w:pPr>
        <w:spacing w:after="0" w:line="69"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In addition, under Section 7-209 of the Arizona Code of Judicial Administration, or ACJA, there are restrictions on holding an interest of 10% or more in the issued share capital of a licensed ABS or the parent company of a licensed ABS. As our U.S. subsidiary is a licensed ABS for the purposes of the ACJA, these restrictions apply to any holder(s) of 10% or more of our common stock. Each “authorized person”, as defined in ACJA 702-9, including the members of our board of directors, could be required to file an ABS Authorized Person application with the Arizona Supreme Court when determined to be seeking a restricted interest. The Arizona Supreme Court may attach conditions to any authorization granted in respect to holding of a restricted interest.</w:t>
      </w:r>
    </w:p>
    <w:p>
      <w:pPr>
        <w:spacing w:after="0" w:line="64"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U.S. subsidiary’s licensed ABS status in the event any such contravention occurs. Any suspension or revocation of our U.S. subsidiary’s licensed ABS status would have a serious detrimental impact on our business, and, in such circumstances, we would seek to collaborate with the Arizona Supreme Court to minimize any resultant business disruption.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3" w:name="page54"/>
    <w:bookmarkEnd w:id="53"/>
    <w:p>
      <w:pPr>
        <w:ind w:right="800"/>
        <w:spacing w:after="0" w:line="294" w:lineRule="auto"/>
        <w:rPr>
          <w:sz w:val="20"/>
          <w:szCs w:val="20"/>
          <w:color w:val="auto"/>
        </w:rPr>
      </w:pPr>
      <w:r>
        <w:rPr>
          <w:rFonts w:ascii="Arial" w:cs="Arial" w:eastAsia="Arial" w:hAnsi="Arial"/>
          <w:sz w:val="16"/>
          <w:szCs w:val="16"/>
          <w:b w:val="1"/>
          <w:bCs w:val="1"/>
          <w:i w:val="1"/>
          <w:iCs w:val="1"/>
          <w:color w:val="auto"/>
        </w:rPr>
        <w:t>If the independent professionals who participate in our or our partners' networks, or otherwise work with LegalZoom as a consultant or contractor, are characterized as employees, we would be subject to employment and withholding liabilities and regulatory risks</w:t>
      </w:r>
    </w:p>
    <w:p>
      <w:pPr>
        <w:spacing w:after="0" w:line="155" w:lineRule="exact"/>
        <w:rPr>
          <w:sz w:val="20"/>
          <w:szCs w:val="20"/>
          <w:color w:val="auto"/>
        </w:rPr>
      </w:pPr>
    </w:p>
    <w:p>
      <w:pPr>
        <w:ind w:right="20" w:firstLine="405"/>
        <w:spacing w:after="0" w:line="255" w:lineRule="auto"/>
        <w:rPr>
          <w:sz w:val="20"/>
          <w:szCs w:val="20"/>
          <w:color w:val="auto"/>
        </w:rPr>
      </w:pPr>
      <w:r>
        <w:rPr>
          <w:rFonts w:ascii="Arial" w:cs="Arial" w:eastAsia="Arial" w:hAnsi="Arial"/>
          <w:sz w:val="16"/>
          <w:szCs w:val="16"/>
          <w:color w:val="auto"/>
        </w:rPr>
        <w:t>We structure our relationships with the independent attorneys and independent accountants who participate in our and our partners' networks in a manner that we believe results in an independent contractor relationship, not an employee relationship. On the other hand, some of our tax offerings and our intellectual property offerings are currently fulfilled by our or our subsidiaries’ own employee accountants, tax professionals, lawyers and fulfillment staff. We also use contractors, temporary employees and/or consultants as part of our operations.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and accountants who participate in our and our partners' networks of these relationships, or the other contractors and consultants used by us. If such regulatory authorities or state, federal or foreign courts were to determine that these attorneys, accountants or other contractors and consultants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individuals are our employees could have a material adverse effect on our business, results of operations, financial condition and future prospects. It is also possible that we could face claims of joint employment from the independent professionals who participate in our partner networks or from individuals working as a consultant, temporary employee, or contractor, if they were to pursue employment claims against LegalZoom. If a joint employment relationship is found to exist, joint liability for any successful claims would also likely exist.</w:t>
      </w:r>
    </w:p>
    <w:p>
      <w:pPr>
        <w:spacing w:after="0" w:line="202"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b w:val="1"/>
          <w:bCs w:val="1"/>
          <w:i w:val="1"/>
          <w:iCs w:val="1"/>
          <w:color w:val="auto"/>
        </w:rPr>
        <w:t>Compliance with U.S. and foreign privacy and data security requirements could result in additional costs and liabilities to us or inhibit our ability to collect and store data, and the failure to comply with such requirements could subject us to significant fines and penalties, which could adversely affect our business, financial condition and reputation</w:t>
      </w:r>
    </w:p>
    <w:p>
      <w:pPr>
        <w:spacing w:after="0" w:line="174" w:lineRule="exact"/>
        <w:rPr>
          <w:sz w:val="20"/>
          <w:szCs w:val="20"/>
          <w:color w:val="auto"/>
        </w:rPr>
      </w:pPr>
    </w:p>
    <w:p>
      <w:pPr>
        <w:ind w:firstLine="405"/>
        <w:spacing w:after="0" w:line="256" w:lineRule="auto"/>
        <w:rPr>
          <w:sz w:val="20"/>
          <w:szCs w:val="20"/>
          <w:color w:val="auto"/>
        </w:rPr>
      </w:pPr>
      <w:r>
        <w:rPr>
          <w:rFonts w:ascii="Arial" w:cs="Arial" w:eastAsia="Arial" w:hAnsi="Arial"/>
          <w:sz w:val="16"/>
          <w:szCs w:val="16"/>
          <w:color w:val="auto"/>
        </w:rPr>
        <w:t>In the ordinary course of business, we collect and otherwise process information from and about our customers and others, which include personal information and other data. As a result, aspects of our business are subject to laws, rules, regulations and other obligations (such as contracts and privacy notices) relating to privacy and the collection, use and security of personal information. In the United States, federal, state and local governments have enacted or introduced comprehensive data privacy laws and regulations, including the California Consumer Privacy Act of 2018. Many other U.S. states have enacted, or have proposed enacting, similar comprehensive privacy laws that impose certain obligations on covered businesses, including providing specific disclosures in privacy notices, obtaining consumer consent and affording residents with certain rights concerning their personal data. The exercise of these rights may impact our business and ability to provide our products and services. These state laws allow for statutory fines for noncompliance. Outside the U.S., an increasing number of laws, regulations and industry standards govern data privacy and security. For example, we are also subject to the European Union’s General Data Protection Regulation, or GDPR, with respect to some portions of activities. In addition, we are subject to the terms of our privacy policies and obligations to third-parties related to privacy, data protection and information security.</w:t>
      </w:r>
    </w:p>
    <w:p>
      <w:pPr>
        <w:spacing w:after="0" w:line="89" w:lineRule="exact"/>
        <w:rPr>
          <w:sz w:val="20"/>
          <w:szCs w:val="20"/>
          <w:color w:val="auto"/>
        </w:rPr>
      </w:pPr>
    </w:p>
    <w:p>
      <w:pPr>
        <w:ind w:right="100" w:firstLine="405"/>
        <w:spacing w:after="0" w:line="275" w:lineRule="auto"/>
        <w:rPr>
          <w:sz w:val="20"/>
          <w:szCs w:val="20"/>
          <w:color w:val="auto"/>
        </w:rPr>
      </w:pPr>
      <w:r>
        <w:rPr>
          <w:rFonts w:ascii="Arial" w:cs="Arial" w:eastAsia="Arial" w:hAnsi="Arial"/>
          <w:sz w:val="16"/>
          <w:szCs w:val="16"/>
          <w:color w:val="auto"/>
        </w:rPr>
        <w:t>We publish privacy policies, marketing materials and other statements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56" w:lineRule="exact"/>
        <w:rPr>
          <w:sz w:val="20"/>
          <w:szCs w:val="20"/>
          <w:color w:val="auto"/>
        </w:rPr>
      </w:pPr>
    </w:p>
    <w:p>
      <w:pPr>
        <w:ind w:right="120" w:firstLine="405"/>
        <w:spacing w:after="0" w:line="258" w:lineRule="auto"/>
        <w:rPr>
          <w:sz w:val="20"/>
          <w:szCs w:val="20"/>
          <w:color w:val="auto"/>
        </w:rPr>
      </w:pPr>
      <w:r>
        <w:rPr>
          <w:rFonts w:ascii="Arial" w:cs="Arial" w:eastAsia="Arial" w:hAnsi="Arial"/>
          <w:sz w:val="16"/>
          <w:szCs w:val="16"/>
          <w:color w:val="auto"/>
        </w:rPr>
        <w:t>Any actual or perceived failure by us or third parties working on our behalf to comply with applicable privacy and data security laws, rules and regulations or related contractual or other obligations, or any perceived privacy rights violation, could lead to investigations, claims, and proceedings by governmental entities and private parties, damages for contract breaches, additional reporting obligations and other significant costs, penalties, and other liabilities, as well as harm to our reputation and market position. In addition, the global regulatory framework for privacy and data security issues is rapidly evolving and privacy and data security laws have been and may in the future be enacted by other U.S. states and countries in which we do business. As a result, interpretation of applicable privacy and data security laws, rules and regulations is ongoing, may not be fully determined at this time and may conflict across jurisdictions. In our efforts to meet the various data privacy obligations that apply to us, we have made and continue to make certain operational changes to our products and business practices. Preparing for and complying with these obligations requires significant time and resources and may necessitate further changes to our information technologies, systems,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54" w:name="page55"/>
    <w:bookmarkEnd w:id="54"/>
    <w:p>
      <w:pPr>
        <w:ind w:right="380"/>
        <w:spacing w:after="0" w:line="286" w:lineRule="auto"/>
        <w:rPr>
          <w:sz w:val="20"/>
          <w:szCs w:val="20"/>
          <w:color w:val="auto"/>
        </w:rPr>
      </w:pPr>
      <w:r>
        <w:rPr>
          <w:rFonts w:ascii="Arial" w:cs="Arial" w:eastAsia="Arial" w:hAnsi="Arial"/>
          <w:sz w:val="16"/>
          <w:szCs w:val="16"/>
          <w:color w:val="auto"/>
        </w:rPr>
        <w:t>and practices and to those of our customers, and of any third parties that process personal information on our behalf. In addition, these obligations may require us to change our business model.</w:t>
      </w:r>
    </w:p>
    <w:p>
      <w:pPr>
        <w:spacing w:after="0" w:line="61" w:lineRule="exact"/>
        <w:rPr>
          <w:sz w:val="20"/>
          <w:szCs w:val="20"/>
          <w:color w:val="auto"/>
        </w:rPr>
      </w:pPr>
    </w:p>
    <w:p>
      <w:pPr>
        <w:ind w:right="20" w:firstLine="405"/>
        <w:spacing w:after="0" w:line="257" w:lineRule="auto"/>
        <w:rPr>
          <w:sz w:val="20"/>
          <w:szCs w:val="20"/>
          <w:color w:val="auto"/>
        </w:rPr>
      </w:pPr>
      <w:r>
        <w:rPr>
          <w:rFonts w:ascii="Arial" w:cs="Arial" w:eastAsia="Arial" w:hAnsi="Arial"/>
          <w:sz w:val="16"/>
          <w:szCs w:val="16"/>
          <w:color w:val="auto"/>
        </w:rPr>
        <w:t>Further, 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the GDPR generally prohibits the transfer of personal information to countries outside of the European Economic Area that the European Commission does not consider to provide an adequate level of privacy and data security, such as the U.S., absent appropriate safeguards. In addition, certain countries outside Europe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spacing w:after="0" w:line="381" w:lineRule="exact"/>
        <w:rPr>
          <w:sz w:val="20"/>
          <w:szCs w:val="20"/>
          <w:color w:val="auto"/>
        </w:rPr>
      </w:pPr>
    </w:p>
    <w:p>
      <w:pPr>
        <w:ind w:right="460"/>
        <w:spacing w:after="0" w:line="268" w:lineRule="auto"/>
        <w:rPr>
          <w:sz w:val="20"/>
          <w:szCs w:val="20"/>
          <w:color w:val="auto"/>
        </w:rPr>
      </w:pPr>
      <w:r>
        <w:rPr>
          <w:rFonts w:ascii="Arial" w:cs="Arial" w:eastAsia="Arial" w:hAnsi="Arial"/>
          <w:sz w:val="16"/>
          <w:szCs w:val="16"/>
          <w:b w:val="1"/>
          <w:bCs w:val="1"/>
          <w:i w:val="1"/>
          <w:iCs w:val="1"/>
          <w:color w:val="auto"/>
        </w:rPr>
        <w:t>Breaches and other types of security incidents of our data, networks or systems, or those of the third parties with whom we work,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spacing w:after="0" w:line="175"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We collect, use, store, transmit and otherwise process data and information about our customers, employees and others, some of which are sensitive, personal and/or confidential. Any actual or perceived breach of our security measures or those of the third parties with whom we work could adversely affect our business, operations and future prospects. Circumvention of our security measures or those of our service providers may result in access, misappropriation, deletion, alteration, publication, modification or other compromise of our information or information security systems, which could cause interruptions in our business and operations, fraud or loss to third 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spacing w:after="0" w:line="69" w:lineRule="exact"/>
        <w:rPr>
          <w:sz w:val="20"/>
          <w:szCs w:val="20"/>
          <w:color w:val="auto"/>
        </w:rPr>
      </w:pPr>
    </w:p>
    <w:p>
      <w:pPr>
        <w:ind w:right="80" w:firstLine="405"/>
        <w:spacing w:after="0" w:line="258" w:lineRule="auto"/>
        <w:rPr>
          <w:sz w:val="20"/>
          <w:szCs w:val="20"/>
          <w:color w:val="auto"/>
        </w:rPr>
      </w:pPr>
      <w:r>
        <w:rPr>
          <w:rFonts w:ascii="Arial" w:cs="Arial" w:eastAsia="Arial" w:hAnsi="Arial"/>
          <w:sz w:val="16"/>
          <w:szCs w:val="16"/>
          <w:color w:val="auto"/>
        </w:rPr>
        <w:t>Our internal information systems, cloud-based computing services, and those of our current and any future service providers and third parties with whom we work are vulnerable to a variety of evolving threats. Cyberattacks and other malicious internet-based activity, such as computer malware, hacking and phishing attempts, continue to increase. In addition to traditional computer “hackers,” sophisticated nation-state and nation-state supported actors now engage in similar attacks (including advanced persistent threat intrusions). Other threats include malicious code (such as viruses, worms and ransomware), social engineering attacks (such as through deep fakes and phishing attacks, cyber extortion, personnel error or malfeasance (including theft and misuse), malware, denial-of-service attacks, supply-chain attacks, software bugs, information systems malfunctions and failures, data loss, and other similar threats are evolving. In particular, severe ransomware attacks are becoming increasingly prevalent and can lead to significant interruptions in our operations, ability to provide our products and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74"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We have adopted a flexible-first policy for non-onsite roles, which enables flexibility to work remotely and collaborate in offices. This policy, which results in a predominantly remote workforce, poses additional data security risks to our information technology systems and data, as our personnel work from home and utilize network connections outside our premises. Additionally, future or past business transactions, acquisitions or integrations, including our recent acquisition of Formation Nation, could expose us to additional cybersecurity risks and vulnerabilities, as our systems could be negatively affected by vulnerabilities present in acquired or integrated entities’ systems and technologies. Any of the previously identified or similar threats could cause a security breach or other interruption. A security breach or other interruption could result in unauthorized, unlawful, or accidental acquisition, modification, destruction, loss, alteration, encryption, disclosure of, or access to our sensitive information.</w:t>
      </w:r>
    </w:p>
    <w:p>
      <w:pPr>
        <w:spacing w:after="0" w:line="82" w:lineRule="exact"/>
        <w:rPr>
          <w:sz w:val="20"/>
          <w:szCs w:val="20"/>
          <w:color w:val="auto"/>
        </w:rPr>
      </w:pPr>
    </w:p>
    <w:p>
      <w:pPr>
        <w:jc w:val="both"/>
        <w:ind w:right="100" w:firstLine="405"/>
        <w:spacing w:after="0" w:line="275" w:lineRule="auto"/>
        <w:rPr>
          <w:sz w:val="20"/>
          <w:szCs w:val="20"/>
          <w:color w:val="auto"/>
        </w:rPr>
      </w:pPr>
      <w:r>
        <w:rPr>
          <w:rFonts w:ascii="Arial" w:cs="Arial" w:eastAsia="Arial" w:hAnsi="Arial"/>
          <w:sz w:val="16"/>
          <w:szCs w:val="16"/>
          <w:color w:val="auto"/>
        </w:rPr>
        <w:t>We have in the past and may in the future expend significant resources or modify our business activities to try to protect against security breaches. In addition, certain data privacy and security obligations have required and may in the future require us to implement and maintain specific security measures, industry-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55" w:name="page56"/>
    <w:bookmarkEnd w:id="55"/>
    <w:p>
      <w:pPr>
        <w:ind w:right="60"/>
        <w:spacing w:after="0" w:line="259" w:lineRule="auto"/>
        <w:rPr>
          <w:sz w:val="20"/>
          <w:szCs w:val="20"/>
          <w:color w:val="auto"/>
        </w:rPr>
      </w:pPr>
      <w:r>
        <w:rPr>
          <w:rFonts w:ascii="Arial" w:cs="Arial" w:eastAsia="Arial" w:hAnsi="Arial"/>
          <w:sz w:val="16"/>
          <w:szCs w:val="16"/>
          <w:color w:val="auto"/>
        </w:rPr>
        <w:t>standard or reasonable security measures to protect our information technology systems and sensitive information, including contractually. We cannot guarantee that our security measures to protect customer information and prevent data loss and other security breaches will be sufficient to protect against unauthorized access to, or other compromise of, personal information, or confidential, proprietary or otherwise sensitive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for extended periods of time, which can substantially increase the potential for a material adverse impact resulting from the breach.</w:t>
      </w:r>
    </w:p>
    <w:p>
      <w:pPr>
        <w:spacing w:after="0" w:line="72" w:lineRule="exact"/>
        <w:rPr>
          <w:sz w:val="20"/>
          <w:szCs w:val="20"/>
          <w:color w:val="auto"/>
        </w:rPr>
      </w:pPr>
    </w:p>
    <w:p>
      <w:pPr>
        <w:ind w:right="160" w:firstLine="405"/>
        <w:spacing w:after="0" w:line="265" w:lineRule="auto"/>
        <w:rPr>
          <w:sz w:val="20"/>
          <w:szCs w:val="20"/>
          <w:color w:val="auto"/>
        </w:rPr>
      </w:pPr>
      <w:r>
        <w:rPr>
          <w:rFonts w:ascii="Arial" w:cs="Arial" w:eastAsia="Arial" w:hAnsi="Arial"/>
          <w:sz w:val="16"/>
          <w:szCs w:val="16"/>
          <w:color w:val="auto"/>
        </w:rPr>
        <w:t>Like many companies, we rely on service providers to operate critical business systems to process sensitive information in a variety of contexts, including, without limitation, providers of cloud-based infrastructure, employee email, customer service and other functions. We may share or receive sensitive information with or from third parties. Our ability to monitor these third parties’ information security practices is limited, and these third parties may not have adequate information security measures in place, which could lead to a breach in our information.</w:t>
      </w:r>
    </w:p>
    <w:p>
      <w:pPr>
        <w:spacing w:after="0" w:line="78" w:lineRule="exact"/>
        <w:rPr>
          <w:sz w:val="20"/>
          <w:szCs w:val="20"/>
          <w:color w:val="auto"/>
        </w:rPr>
      </w:pPr>
    </w:p>
    <w:p>
      <w:pPr>
        <w:ind w:right="80" w:firstLine="405"/>
        <w:spacing w:after="0" w:line="266" w:lineRule="auto"/>
        <w:rPr>
          <w:sz w:val="20"/>
          <w:szCs w:val="20"/>
          <w:color w:val="auto"/>
        </w:rPr>
      </w:pPr>
      <w:r>
        <w:rPr>
          <w:rFonts w:ascii="Arial" w:cs="Arial" w:eastAsia="Arial" w:hAnsi="Arial"/>
          <w:sz w:val="16"/>
          <w:szCs w:val="16"/>
          <w:color w:val="auto"/>
        </w:rPr>
        <w:t>If we, or third parties with whom we work, experience or are perceived to have experienced (in the past or future) a security breach, we may experience adverse consequences. While we may be entitled to damages if our service providers fail to satisfy their privacy or security-related obligations to us, any award or other recovery may be insufficient to cover our damages.</w:t>
      </w:r>
    </w:p>
    <w:p>
      <w:pPr>
        <w:spacing w:after="0" w:line="77" w:lineRule="exact"/>
        <w:rPr>
          <w:sz w:val="20"/>
          <w:szCs w:val="20"/>
          <w:color w:val="auto"/>
        </w:rPr>
      </w:pPr>
    </w:p>
    <w:p>
      <w:pPr>
        <w:ind w:firstLine="405"/>
        <w:spacing w:after="0" w:line="260" w:lineRule="auto"/>
        <w:rPr>
          <w:sz w:val="20"/>
          <w:szCs w:val="20"/>
          <w:color w:val="auto"/>
        </w:rPr>
      </w:pPr>
      <w:r>
        <w:rPr>
          <w:rFonts w:ascii="Arial" w:cs="Arial" w:eastAsia="Arial" w:hAnsi="Arial"/>
          <w:sz w:val="16"/>
          <w:szCs w:val="16"/>
          <w:color w:val="auto"/>
        </w:rPr>
        <w:t>We implement and maintain security measures designed to protect against security breaches and other compromise. However, there can be no assurance these measures will be effective. For example, we take steps designed to detect, mitigate and remediate vulnerabilities in our information systems (such as our hardware and software, including of third parties upon which we rely). We may not, however, detect and remediate all such vulnerabilities on a timely and effective basis. We may experience delays in developing and deploying remedial measures designed to address any such identified vulnerabilities. Vulnerabilities could be exploited and result in a security incident.</w:t>
      </w:r>
    </w:p>
    <w:p>
      <w:pPr>
        <w:spacing w:after="0" w:line="83" w:lineRule="exact"/>
        <w:rPr>
          <w:sz w:val="20"/>
          <w:szCs w:val="20"/>
          <w:color w:val="auto"/>
        </w:rPr>
      </w:pPr>
    </w:p>
    <w:p>
      <w:pPr>
        <w:ind w:right="140" w:firstLine="405"/>
        <w:spacing w:after="0" w:line="275" w:lineRule="auto"/>
        <w:rPr>
          <w:sz w:val="20"/>
          <w:szCs w:val="20"/>
          <w:color w:val="auto"/>
        </w:rPr>
      </w:pPr>
      <w:r>
        <w:rPr>
          <w:rFonts w:ascii="Arial" w:cs="Arial" w:eastAsia="Arial" w:hAnsi="Arial"/>
          <w:sz w:val="16"/>
          <w:szCs w:val="16"/>
          <w:color w:val="auto"/>
        </w:rPr>
        <w:t>We may expend significant resources or modify our business activities to try to protect against security incidents. Certain data privacy and security obligations may require us to implement and maintain specific security measures or industry-standard or reasonable security measures designed to protect our information technology systems and information.</w:t>
      </w:r>
    </w:p>
    <w:p>
      <w:pPr>
        <w:spacing w:after="0" w:line="56" w:lineRule="exact"/>
        <w:rPr>
          <w:sz w:val="20"/>
          <w:szCs w:val="20"/>
          <w:color w:val="auto"/>
        </w:rPr>
      </w:pPr>
    </w:p>
    <w:p>
      <w:pPr>
        <w:ind w:right="60" w:firstLine="405"/>
        <w:spacing w:after="0" w:line="258" w:lineRule="auto"/>
        <w:rPr>
          <w:sz w:val="20"/>
          <w:szCs w:val="20"/>
          <w:color w:val="auto"/>
        </w:rPr>
      </w:pPr>
      <w:r>
        <w:rPr>
          <w:rFonts w:ascii="Arial" w:cs="Arial" w:eastAsia="Arial" w:hAnsi="Arial"/>
          <w:sz w:val="16"/>
          <w:szCs w:val="16"/>
          <w:color w:val="auto"/>
        </w:rPr>
        <w:t>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(such as unauthorized access to customer information) for which we may have been or were legally required to notify individuals, customers, regulators, the media and others. Data breach notification disclosures are costly, time consuming, and could lead to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spacing w:after="0" w:line="28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spacing w:after="0" w:line="84" w:lineRule="exact"/>
        <w:rPr>
          <w:sz w:val="20"/>
          <w:szCs w:val="20"/>
          <w:color w:val="auto"/>
        </w:rPr>
      </w:pPr>
    </w:p>
    <w:p>
      <w:pPr>
        <w:ind w:right="300" w:firstLine="405"/>
        <w:spacing w:after="0" w:line="266"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Risks Relating to Intellectual Property</w:t>
      </w:r>
    </w:p>
    <w:p>
      <w:pPr>
        <w:spacing w:after="0" w:line="223"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b w:val="1"/>
          <w:bCs w:val="1"/>
          <w:i w:val="1"/>
          <w:iCs w:val="1"/>
          <w:color w:val="auto"/>
        </w:rPr>
        <w:t>Our use of open source software could negatively affect our proprietary technologies and our ability to offer and sell subscriptions to our products and could subject us to possible litigation</w:t>
      </w:r>
    </w:p>
    <w:p>
      <w:pPr>
        <w:spacing w:after="0" w:line="1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6"/>
          <w:szCs w:val="16"/>
          <w:color w:val="auto"/>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spacing w:after="0" w:line="202"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b w:val="1"/>
          <w:bCs w:val="1"/>
          <w:i w:val="1"/>
          <w:iCs w:val="1"/>
          <w:color w:val="auto"/>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spacing w:after="0" w:line="155"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We rely and expect to continue to rely on confidentiality and license agreements with our employees, consultants and third parties, and protection and enforcement of our intellectual property rights, including in our trademarks, copyrights, trade secrets and domain names. Third parties may knowingly or unknowingly infringe on or challenge our proprietary rights, and pending and future trademark or other intellectual property applications may not be approved and if approved, may be inadequate to prevent third parties from circumventing such intellectual property rights.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Ownership of Our Common Stock</w:t>
      </w:r>
    </w:p>
    <w:p>
      <w:pPr>
        <w:spacing w:after="0" w:line="237"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regardless of our operating performance, resulting in substantial losses for our investors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market price of our common stock may fluctuate significantly in response to numerous factors, many of which are beyond our control, including:</w:t>
      </w:r>
    </w:p>
    <w:p>
      <w:pPr>
        <w:spacing w:after="0" w:line="127" w:lineRule="exact"/>
        <w:rPr>
          <w:sz w:val="20"/>
          <w:szCs w:val="20"/>
          <w:color w:val="auto"/>
        </w:rPr>
      </w:pPr>
    </w:p>
    <w:p>
      <w:pPr>
        <w:ind w:left="720" w:hanging="297"/>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results of operations;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effectively and successfully integrate the operations of Formation Nation into our existing business;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successfully implement our strategic execution priorities;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operating and financial projections we may provide to the public, any changes in these projections or our failure to meet these projections;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7" w:name="page58"/>
    <w:bookmarkEnd w:id="57"/>
    <w:p>
      <w:pPr>
        <w:ind w:left="720" w:hanging="297"/>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or loss of customers;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fluctuations in product sales mix;</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our pricing strategy or those of our competitors;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involvement in any litigation;</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those of our competitors;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of technological innovations or new services offered by us or our competitors;</w:t>
      </w:r>
    </w:p>
    <w:p>
      <w:pPr>
        <w:spacing w:after="0" w:line="126" w:lineRule="exact"/>
        <w:rPr>
          <w:rFonts w:ascii="Arial" w:cs="Arial" w:eastAsia="Arial" w:hAnsi="Arial"/>
          <w:sz w:val="16"/>
          <w:szCs w:val="16"/>
          <w:color w:val="auto"/>
        </w:rPr>
      </w:pPr>
    </w:p>
    <w:p>
      <w:pPr>
        <w:ind w:left="740" w:right="940" w:hanging="317"/>
        <w:spacing w:after="0" w:line="286" w:lineRule="auto"/>
        <w:tabs>
          <w:tab w:leader="none" w:pos="7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or capital-raising activities or commitments;</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113" w:lineRule="exact"/>
        <w:rPr>
          <w:rFonts w:ascii="Arial" w:cs="Arial" w:eastAsia="Arial" w:hAnsi="Arial"/>
          <w:sz w:val="16"/>
          <w:szCs w:val="16"/>
          <w:color w:val="auto"/>
        </w:rPr>
      </w:pPr>
    </w:p>
    <w:p>
      <w:pPr>
        <w:ind w:left="740" w:right="400" w:hanging="317"/>
        <w:spacing w:after="0" w:line="286" w:lineRule="auto"/>
        <w:tabs>
          <w:tab w:leader="none" w:pos="7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actions of securities analysts who initiate or maintain coverage of us, changes in financial estimates by any securities analysts who follow our company, or our failure to meet these estimates or investor expectations;</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13" w:lineRule="exact"/>
        <w:rPr>
          <w:rFonts w:ascii="Arial" w:cs="Arial" w:eastAsia="Arial" w:hAnsi="Arial"/>
          <w:sz w:val="16"/>
          <w:szCs w:val="16"/>
          <w:color w:val="auto"/>
        </w:rPr>
      </w:pPr>
    </w:p>
    <w:p>
      <w:pPr>
        <w:ind w:left="740" w:right="100" w:hanging="317"/>
        <w:spacing w:after="0" w:line="265" w:lineRule="auto"/>
        <w:tabs>
          <w:tab w:leader="none" w:pos="7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spacing w:after="0" w:line="78" w:lineRule="exact"/>
        <w:rPr>
          <w:rFonts w:ascii="Arial" w:cs="Arial" w:eastAsia="Arial" w:hAnsi="Arial"/>
          <w:sz w:val="16"/>
          <w:szCs w:val="16"/>
          <w:color w:val="auto"/>
        </w:rPr>
      </w:pPr>
    </w:p>
    <w:p>
      <w:pPr>
        <w:ind w:left="740" w:right="160" w:hanging="317"/>
        <w:spacing w:after="0" w:line="286" w:lineRule="auto"/>
        <w:tabs>
          <w:tab w:leader="none" w:pos="7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additional shares of our common stock or other securities being sold into the market by us or our existing stockholders or the anticipation of such sales;</w:t>
      </w:r>
    </w:p>
    <w:p>
      <w:pPr>
        <w:spacing w:after="0" w:line="47" w:lineRule="exact"/>
        <w:rPr>
          <w:rFonts w:ascii="Arial" w:cs="Arial" w:eastAsia="Arial" w:hAnsi="Arial"/>
          <w:sz w:val="16"/>
          <w:szCs w:val="16"/>
          <w:color w:val="auto"/>
        </w:rPr>
      </w:pPr>
    </w:p>
    <w:p>
      <w:pPr>
        <w:ind w:left="720" w:hanging="297"/>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26" w:lineRule="exact"/>
        <w:rPr>
          <w:rFonts w:ascii="Arial" w:cs="Arial" w:eastAsia="Arial" w:hAnsi="Arial"/>
          <w:sz w:val="16"/>
          <w:szCs w:val="16"/>
          <w:color w:val="auto"/>
        </w:rPr>
      </w:pPr>
    </w:p>
    <w:p>
      <w:pPr>
        <w:ind w:left="740" w:right="220" w:hanging="317"/>
        <w:spacing w:after="0" w:line="286" w:lineRule="auto"/>
        <w:tabs>
          <w:tab w:leader="none" w:pos="7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macroeconomic, political, regulatory and market conditions, such as those related to recessionary fears, tariffs, inflation and/or elevated interest rates; and</w:t>
      </w:r>
    </w:p>
    <w:p>
      <w:pPr>
        <w:spacing w:after="0" w:line="61" w:lineRule="exact"/>
        <w:rPr>
          <w:rFonts w:ascii="Arial" w:cs="Arial" w:eastAsia="Arial" w:hAnsi="Arial"/>
          <w:sz w:val="16"/>
          <w:szCs w:val="16"/>
          <w:color w:val="auto"/>
        </w:rPr>
      </w:pPr>
    </w:p>
    <w:p>
      <w:pPr>
        <w:ind w:left="740" w:hanging="317"/>
        <w:spacing w:after="0" w:line="286" w:lineRule="auto"/>
        <w:tabs>
          <w:tab w:leader="none" w:pos="7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a public health pandemic or epidemic, bank failures, or responses to these events.</w:t>
      </w:r>
    </w:p>
    <w:p>
      <w:pPr>
        <w:spacing w:after="0" w:line="48" w:lineRule="exact"/>
        <w:rPr>
          <w:sz w:val="20"/>
          <w:szCs w:val="20"/>
          <w:color w:val="auto"/>
        </w:rPr>
      </w:pPr>
    </w:p>
    <w:p>
      <w:pPr>
        <w:jc w:val="both"/>
        <w:ind w:right="60" w:firstLine="405"/>
        <w:spacing w:after="0" w:line="275" w:lineRule="auto"/>
        <w:rPr>
          <w:sz w:val="20"/>
          <w:szCs w:val="20"/>
          <w:color w:val="auto"/>
        </w:rPr>
      </w:pPr>
      <w:r>
        <w:rPr>
          <w:rFonts w:ascii="Arial" w:cs="Arial" w:eastAsia="Arial" w:hAnsi="Arial"/>
          <w:sz w:val="16"/>
          <w:szCs w:val="16"/>
          <w:color w:val="auto"/>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spacing w:after="0" w:line="180"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b w:val="1"/>
          <w:bCs w:val="1"/>
          <w:i w:val="1"/>
          <w:iCs w:val="1"/>
          <w:color w:val="auto"/>
        </w:rPr>
        <w:t>A significant portion of our total outstanding shares may be sold into the market in the near future, which could cause the market price of our common stock to drop significantly, even if our business is performing well</w:t>
      </w:r>
    </w:p>
    <w:p>
      <w:pPr>
        <w:spacing w:after="0" w:line="141" w:lineRule="exact"/>
        <w:rPr>
          <w:sz w:val="20"/>
          <w:szCs w:val="20"/>
          <w:color w:val="auto"/>
        </w:rPr>
      </w:pPr>
    </w:p>
    <w:p>
      <w:pPr>
        <w:ind w:right="40" w:firstLine="405"/>
        <w:spacing w:after="0" w:line="259"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At March 31, 2025, holders of approximately 65 million shares of our common stock are entitled to rights pursuant to an investors’ rights agreement, subject to some conditions, to require us to file registration statements covering their shares or to include their shares in registration statements that we may file for ourselves or other stockholders. If one or more of these holders of our common stock sells a large number of shares by exercising their registration rights, it has in the past and may in the future adversely affect the market price for our common stock. In addition, if we file a registration statement for the purposes of selling additional shares to raise capital and are required to include shares held by these holders pursuant to the exercise of their registration rights, our ability to raise capital may be impaired.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58" w:name="page59"/>
    <w:bookmarkEnd w:id="58"/>
    <w:p>
      <w:pPr>
        <w:spacing w:after="0" w:line="294" w:lineRule="auto"/>
        <w:rPr>
          <w:sz w:val="20"/>
          <w:szCs w:val="20"/>
          <w:color w:val="auto"/>
        </w:rPr>
      </w:pPr>
      <w:r>
        <w:rPr>
          <w:rFonts w:ascii="Arial" w:cs="Arial" w:eastAsia="Arial" w:hAnsi="Arial"/>
          <w:sz w:val="16"/>
          <w:szCs w:val="16"/>
          <w:b w:val="1"/>
          <w:bCs w:val="1"/>
          <w:i w:val="1"/>
          <w:iCs w:val="1"/>
          <w:color w:val="auto"/>
        </w:rPr>
        <w:t>Concentration of ownership of our common stock among our existing executive officers, directors and other affiliates may prevent new investors from influencing significant corporate decisions</w:t>
      </w:r>
    </w:p>
    <w:p>
      <w:pPr>
        <w:spacing w:after="0" w:line="155"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Based upon shares of our common stock outstanding as of March 31, 2025, our executive officers, directors and other affiliates, in the aggregate, own shares, directly or indirectly, representing approximately 20% of our outstanding common stock. If our executive officers, directors and affiliates acted together, they may be able to significantly influence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spacing w:after="0" w:line="68"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In addition, FPLZ I, L.P., FPLZ II, L.P. and their affiliated investment entities, or FP, may have influence over management and control over matters requiring stockholder approval, including the annual election of directors and significant corporate transactions. Pursuant to a director nomination agreement previously entered into with FP, we will have the obligation to support the nomination of, and to cause our board of directors to include in the slate of nominees recommended to our stockholders for election, a number of designees equal to at least: (i) two individuals for so long as FP continuously beneficially owns shares of common stock representing at least 50% of the shares of common stock owned by FP immediately following our IPO and (ii) one individual for so long as FP continuously beneficially owns shares of common stock representing at least 25%, but less than 50% of the shares of common stock, owned by FP immediately following the completion of our IPO.</w:t>
      </w:r>
    </w:p>
    <w:p>
      <w:pPr>
        <w:spacing w:after="0" w:line="19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i w:val="1"/>
          <w:iCs w:val="1"/>
          <w:color w:val="auto"/>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spacing w:after="0" w:line="155" w:lineRule="exact"/>
        <w:rPr>
          <w:sz w:val="20"/>
          <w:szCs w:val="20"/>
          <w:color w:val="auto"/>
        </w:rPr>
      </w:pPr>
    </w:p>
    <w:p>
      <w:pPr>
        <w:ind w:right="20" w:firstLine="405"/>
        <w:spacing w:after="0" w:line="261" w:lineRule="auto"/>
        <w:rPr>
          <w:sz w:val="20"/>
          <w:szCs w:val="20"/>
          <w:color w:val="auto"/>
        </w:rPr>
      </w:pPr>
      <w:r>
        <w:rPr>
          <w:rFonts w:ascii="Arial" w:cs="Arial" w:eastAsia="Arial" w:hAnsi="Arial"/>
          <w:sz w:val="16"/>
          <w:szCs w:val="16"/>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68" w:lineRule="exact"/>
        <w:rPr>
          <w:sz w:val="20"/>
          <w:szCs w:val="20"/>
          <w:color w:val="auto"/>
        </w:rPr>
      </w:pPr>
    </w:p>
    <w:p>
      <w:pPr>
        <w:ind w:left="720" w:hanging="297"/>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 classified board of directors such that not all members of the board are elected at one time;</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allow the authorized number of our directors to be changed only by resolution of our board of directors;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 the manner in which stockholders can remove directors from the board;</w:t>
      </w:r>
    </w:p>
    <w:p>
      <w:pPr>
        <w:spacing w:after="0" w:line="113" w:lineRule="exact"/>
        <w:rPr>
          <w:rFonts w:ascii="Arial" w:cs="Arial" w:eastAsia="Arial" w:hAnsi="Arial"/>
          <w:sz w:val="16"/>
          <w:szCs w:val="16"/>
          <w:color w:val="auto"/>
        </w:rPr>
      </w:pPr>
    </w:p>
    <w:p>
      <w:pPr>
        <w:ind w:left="740" w:right="260" w:hanging="317"/>
        <w:spacing w:after="0" w:line="304" w:lineRule="auto"/>
        <w:tabs>
          <w:tab w:leader="none" w:pos="7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advance notice requirements for stockholder proposals that can be acted on at stockholder meetings and nominations to our board of directors;</w:t>
      </w:r>
    </w:p>
    <w:p>
      <w:pPr>
        <w:spacing w:after="0" w:line="33" w:lineRule="exact"/>
        <w:rPr>
          <w:rFonts w:ascii="Arial" w:cs="Arial" w:eastAsia="Arial" w:hAnsi="Arial"/>
          <w:sz w:val="16"/>
          <w:szCs w:val="16"/>
          <w:color w:val="auto"/>
        </w:rPr>
      </w:pPr>
    </w:p>
    <w:p>
      <w:pPr>
        <w:ind w:left="720" w:hanging="297"/>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 who may call stockholder meetings;</w:t>
      </w:r>
    </w:p>
    <w:p>
      <w:pPr>
        <w:spacing w:after="0" w:line="126" w:lineRule="exact"/>
        <w:rPr>
          <w:rFonts w:ascii="Arial" w:cs="Arial" w:eastAsia="Arial" w:hAnsi="Arial"/>
          <w:sz w:val="16"/>
          <w:szCs w:val="16"/>
          <w:color w:val="auto"/>
        </w:rPr>
      </w:pPr>
    </w:p>
    <w:p>
      <w:pPr>
        <w:jc w:val="both"/>
        <w:ind w:left="740" w:right="20" w:hanging="317"/>
        <w:spacing w:after="0" w:line="275" w:lineRule="auto"/>
        <w:tabs>
          <w:tab w:leader="none" w:pos="7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56" w:lineRule="exact"/>
        <w:rPr>
          <w:rFonts w:ascii="Arial" w:cs="Arial" w:eastAsia="Arial" w:hAnsi="Arial"/>
          <w:sz w:val="16"/>
          <w:szCs w:val="16"/>
          <w:color w:val="auto"/>
        </w:rPr>
      </w:pPr>
    </w:p>
    <w:p>
      <w:pPr>
        <w:ind w:left="740" w:right="260" w:hanging="317"/>
        <w:spacing w:after="0" w:line="286" w:lineRule="auto"/>
        <w:tabs>
          <w:tab w:leader="none" w:pos="7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the approval of the holders of at least 66 2/3% of the votes that all our stockholders would be entitled to cast to amend or repeal certain provisions of our charter or bylaws.</w:t>
      </w:r>
    </w:p>
    <w:p>
      <w:pPr>
        <w:spacing w:after="0" w:line="61"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3" w:right="379" w:bottom="1440" w:gutter="0" w:footer="0" w:header="0"/>
        </w:sectPr>
      </w:pPr>
    </w:p>
    <w:bookmarkStart w:id="59" w:name="page60"/>
    <w:bookmarkEnd w:id="59"/>
    <w:p>
      <w:pPr>
        <w:ind w:right="100"/>
        <w:spacing w:after="0" w:line="294"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doctrine of “corporate opportunity” will not apply with respect to certain stockholders</w:t>
      </w:r>
    </w:p>
    <w:p>
      <w:pPr>
        <w:spacing w:after="0" w:line="155" w:lineRule="exact"/>
        <w:rPr>
          <w:sz w:val="20"/>
          <w:szCs w:val="20"/>
          <w:color w:val="auto"/>
        </w:rPr>
      </w:pPr>
    </w:p>
    <w:p>
      <w:pPr>
        <w:ind w:right="80" w:firstLine="405"/>
        <w:spacing w:after="0" w:line="255"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spacing w:after="0" w:line="397"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74"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certain claims or causes of actions under Delaware statutory or common law.</w:t>
      </w:r>
    </w:p>
    <w:p>
      <w:pPr>
        <w:spacing w:after="0" w:line="65"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The provisions would not apply to suits brought to enforce a duty or liability created by the Securities Exchange Act of 1934, as amended. Furthermore, Section 22 of the Securities Act of 1933, as amended,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w:t>
      </w:r>
    </w:p>
    <w:p>
      <w:pPr>
        <w:spacing w:after="0" w:line="82" w:lineRule="exact"/>
        <w:rPr>
          <w:sz w:val="20"/>
          <w:szCs w:val="20"/>
          <w:color w:val="auto"/>
        </w:rPr>
      </w:pPr>
    </w:p>
    <w:p>
      <w:pPr>
        <w:ind w:right="260" w:firstLine="405"/>
        <w:spacing w:after="0" w:line="260" w:lineRule="auto"/>
        <w:rPr>
          <w:sz w:val="20"/>
          <w:szCs w:val="20"/>
          <w:color w:val="auto"/>
        </w:rPr>
      </w:pPr>
      <w:r>
        <w:rPr>
          <w:rFonts w:ascii="Arial" w:cs="Arial" w:eastAsia="Arial" w:hAnsi="Arial"/>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3" w:lineRule="exact"/>
        <w:rPr>
          <w:sz w:val="20"/>
          <w:szCs w:val="20"/>
          <w:color w:val="auto"/>
        </w:rPr>
      </w:pPr>
    </w:p>
    <w:p>
      <w:pPr>
        <w:ind w:right="260" w:firstLine="405"/>
        <w:spacing w:after="0" w:line="265"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Item 2. Unregistered Sales of Equity Securities, Use of Proceeds, and Issuer Purchases of Equity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Purchases of Equity Securities</w:t>
      </w:r>
    </w:p>
    <w:p>
      <w:pPr>
        <w:spacing w:after="0" w:line="125" w:lineRule="exact"/>
        <w:rPr>
          <w:sz w:val="20"/>
          <w:szCs w:val="20"/>
          <w:color w:val="auto"/>
        </w:rPr>
      </w:pPr>
    </w:p>
    <w:p>
      <w:pPr>
        <w:ind w:right="80" w:firstLine="405"/>
        <w:spacing w:after="0" w:line="261" w:lineRule="auto"/>
        <w:rPr>
          <w:sz w:val="20"/>
          <w:szCs w:val="20"/>
          <w:color w:val="auto"/>
        </w:rPr>
      </w:pPr>
      <w:r>
        <w:rPr>
          <w:rFonts w:ascii="Arial" w:cs="Arial" w:eastAsia="Arial" w:hAnsi="Arial"/>
          <w:sz w:val="16"/>
          <w:szCs w:val="16"/>
          <w:color w:val="auto"/>
        </w:rPr>
        <w:t>In October 2023, our board of directors approved a new stock repurchase program authorizing us to repurchase up to $100.0 million of our common stock, with no fixed expiration. In May 2024 and November 2024, our board of directors approved increases of $75.0 million and $40.0 million, respectively, in the stock repurchase program, bringing the aggregate amount authorized to $215.0 million. Stock repurchases under this program may be made through any manner, including in open market transactions (including pursuant to Rule 10b5-1 plans), through accelerated stock repurchase agreements, or in privately negotiated transactions with third parties, and in such amounts as management deems appropriate. This program does not obligate us to acquire any particular amount of common stock and may be modified, suspended or terminated at any time at the discretion of our board of directors.</w:t>
      </w:r>
    </w:p>
    <w:p>
      <w:pPr>
        <w:spacing w:after="0" w:line="68" w:lineRule="exact"/>
        <w:rPr>
          <w:sz w:val="20"/>
          <w:szCs w:val="20"/>
          <w:color w:val="auto"/>
        </w:rPr>
      </w:pPr>
    </w:p>
    <w:p>
      <w:pPr>
        <w:ind w:firstLine="405"/>
        <w:spacing w:after="0" w:line="304" w:lineRule="auto"/>
        <w:rPr>
          <w:sz w:val="20"/>
          <w:szCs w:val="20"/>
          <w:color w:val="auto"/>
        </w:rPr>
      </w:pPr>
      <w:r>
        <w:rPr>
          <w:rFonts w:ascii="Arial" w:cs="Arial" w:eastAsia="Arial" w:hAnsi="Arial"/>
          <w:sz w:val="16"/>
          <w:szCs w:val="16"/>
          <w:color w:val="auto"/>
        </w:rPr>
        <w:t>We did not purchase any shares of our common stock in the three months ended March 31, 2025 and we had approximately $50.0 million in remaining aggregate repurchase authorization as of March 31, 2025.</w:t>
      </w:r>
    </w:p>
    <w:p>
      <w:pPr>
        <w:spacing w:after="0" w:line="33" w:lineRule="exact"/>
        <w:rPr>
          <w:sz w:val="20"/>
          <w:szCs w:val="20"/>
          <w:color w:val="auto"/>
        </w:rPr>
      </w:pPr>
    </w:p>
    <w:p>
      <w:pPr>
        <w:ind w:right="100" w:firstLine="405"/>
        <w:spacing w:after="0" w:line="275" w:lineRule="auto"/>
        <w:rPr>
          <w:sz w:val="20"/>
          <w:szCs w:val="20"/>
          <w:color w:val="auto"/>
        </w:rPr>
      </w:pPr>
      <w:r>
        <w:rPr>
          <w:rFonts w:ascii="Arial" w:cs="Arial" w:eastAsia="Arial" w:hAnsi="Arial"/>
          <w:sz w:val="16"/>
          <w:szCs w:val="16"/>
          <w:color w:val="auto"/>
        </w:rPr>
        <w:t>Subsequent to March 31, 2025, in May 2025, our board of directors approved a $100.0 million increase in our stock repurchase program, bringing the aggregate amount authorized to $315.0 million. As of the date of this filing, approximately $150.0 million remained available for future repurchases of our common stock under the stock repurchase program.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21" w:lineRule="exact"/>
        <w:rPr>
          <w:sz w:val="20"/>
          <w:szCs w:val="20"/>
          <w:color w:val="auto"/>
        </w:rPr>
      </w:pPr>
    </w:p>
    <w:p>
      <w:pPr>
        <w:jc w:val="center"/>
        <w:ind w:right="998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exhibits listed below are filed or furnished as part of this Quarterly Report: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80" w:type="dxa"/>
            <w:vAlign w:val="bottom"/>
            <w:gridSpan w:val="14"/>
            <w:vMerge w:val="restart"/>
          </w:tcPr>
          <w:p>
            <w:pPr>
              <w:jc w:val="center"/>
              <w:ind w:right="38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2"/>
        </w:trPr>
        <w:tc>
          <w:tcPr>
            <w:tcW w:w="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80" w:type="dxa"/>
            <w:vAlign w:val="bottom"/>
            <w:gridSpan w:val="1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20" w:type="dxa"/>
            <w:vAlign w:val="bottom"/>
            <w:tcBorders>
              <w:top w:val="single" w:sz="8" w:color="auto"/>
            </w:tcBorders>
            <w:gridSpan w:val="4"/>
          </w:tcPr>
          <w:p>
            <w:pPr>
              <w:jc w:val="right"/>
              <w:ind w:right="260"/>
              <w:spacing w:after="0" w:line="155" w:lineRule="exact"/>
              <w:rPr>
                <w:sz w:val="20"/>
                <w:szCs w:val="20"/>
                <w:color w:val="auto"/>
              </w:rPr>
            </w:pPr>
            <w:r>
              <w:rPr>
                <w:rFonts w:ascii="Arial" w:cs="Arial" w:eastAsia="Arial" w:hAnsi="Arial"/>
                <w:sz w:val="16"/>
                <w:szCs w:val="16"/>
                <w:color w:val="auto"/>
              </w:rPr>
              <w:t>2.1</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840" w:type="dxa"/>
            <w:vAlign w:val="bottom"/>
            <w:tcBorders>
              <w:top w:val="single" w:sz="8" w:color="auto"/>
            </w:tcBorders>
            <w:gridSpan w:val="15"/>
          </w:tcPr>
          <w:p>
            <w:pPr>
              <w:spacing w:after="0" w:line="155" w:lineRule="exact"/>
              <w:rPr>
                <w:sz w:val="20"/>
                <w:szCs w:val="20"/>
                <w:color w:val="auto"/>
              </w:rPr>
            </w:pPr>
            <w:r>
              <w:rPr>
                <w:rFonts w:ascii="Arial" w:cs="Arial" w:eastAsia="Arial" w:hAnsi="Arial"/>
                <w:sz w:val="16"/>
                <w:szCs w:val="16"/>
                <w:color w:val="auto"/>
              </w:rPr>
              <w:t>Stock Purchase Agreement, dated February 10, 2025, by and among LegalZoom.com, Inc., Formation Nation Inc., Cort</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40" w:type="dxa"/>
            <w:vAlign w:val="bottom"/>
            <w:gridSpan w:val="15"/>
          </w:tcPr>
          <w:p>
            <w:pPr>
              <w:spacing w:after="0" w:line="162" w:lineRule="exact"/>
              <w:rPr>
                <w:sz w:val="20"/>
                <w:szCs w:val="20"/>
                <w:color w:val="auto"/>
              </w:rPr>
            </w:pPr>
            <w:r>
              <w:rPr>
                <w:rFonts w:ascii="Arial" w:cs="Arial" w:eastAsia="Arial" w:hAnsi="Arial"/>
                <w:sz w:val="16"/>
                <w:szCs w:val="16"/>
                <w:color w:val="auto"/>
              </w:rPr>
              <w:t>Christie, in his individual capacity for the purposes of certain sections thereof, and in his capacity as representative of the</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15"/>
          </w:tcPr>
          <w:p>
            <w:pPr>
              <w:spacing w:after="0" w:line="175" w:lineRule="exact"/>
              <w:rPr>
                <w:rFonts w:ascii="Arial" w:cs="Arial" w:eastAsia="Arial" w:hAnsi="Arial"/>
                <w:sz w:val="16"/>
                <w:szCs w:val="16"/>
                <w:color w:val="auto"/>
              </w:rPr>
            </w:pPr>
            <w:hyperlink r:id="rId81">
              <w:r>
                <w:rPr>
                  <w:rFonts w:ascii="Arial" w:cs="Arial" w:eastAsia="Arial" w:hAnsi="Arial"/>
                  <w:sz w:val="16"/>
                  <w:szCs w:val="16"/>
                  <w:color w:val="auto"/>
                </w:rPr>
                <w:t>stockholders, and the stockholders of Formation Nation Inc. included on the signature pages thereto (</w:t>
              </w:r>
              <w:r>
                <w:rPr>
                  <w:rFonts w:ascii="Arial" w:cs="Arial" w:eastAsia="Arial" w:hAnsi="Arial"/>
                  <w:sz w:val="16"/>
                  <w:szCs w:val="16"/>
                  <w:color w:val="0000FF"/>
                </w:rPr>
                <w:t>incorporated by</w:t>
              </w:r>
            </w:hyperlink>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60" w:type="dxa"/>
            <w:vAlign w:val="bottom"/>
            <w:gridSpan w:val="9"/>
          </w:tcPr>
          <w:p>
            <w:pPr>
              <w:spacing w:after="0" w:line="142" w:lineRule="exact"/>
              <w:rPr>
                <w:rFonts w:ascii="Arial" w:cs="Arial" w:eastAsia="Arial" w:hAnsi="Arial"/>
                <w:sz w:val="16"/>
                <w:szCs w:val="16"/>
                <w:color w:val="0000FF"/>
              </w:rPr>
            </w:pPr>
            <w:hyperlink r:id="rId81">
              <w:r>
                <w:rPr>
                  <w:rFonts w:ascii="Arial" w:cs="Arial" w:eastAsia="Arial" w:hAnsi="Arial"/>
                  <w:sz w:val="16"/>
                  <w:szCs w:val="16"/>
                  <w:color w:val="0000FF"/>
                </w:rPr>
                <w:t>reference to Exhibit 2.1 to the Company’s Current Report on Form 8-K filed with the SEC on February</w:t>
              </w:r>
            </w:hyperlink>
          </w:p>
        </w:tc>
        <w:tc>
          <w:tcPr>
            <w:tcW w:w="1120" w:type="dxa"/>
            <w:vAlign w:val="bottom"/>
            <w:tcBorders>
              <w:top w:val="single" w:sz="8" w:color="0000FF"/>
            </w:tcBorders>
            <w:gridSpan w:val="2"/>
          </w:tcPr>
          <w:p>
            <w:pPr>
              <w:jc w:val="right"/>
              <w:ind w:right="340"/>
              <w:spacing w:after="0" w:line="142" w:lineRule="exact"/>
              <w:rPr>
                <w:rFonts w:ascii="Arial" w:cs="Arial" w:eastAsia="Arial" w:hAnsi="Arial"/>
                <w:sz w:val="16"/>
                <w:szCs w:val="16"/>
                <w:color w:val="0000FF"/>
              </w:rPr>
            </w:pPr>
            <w:hyperlink r:id="rId81">
              <w:r>
                <w:rPr>
                  <w:rFonts w:ascii="Arial" w:cs="Arial" w:eastAsia="Arial" w:hAnsi="Arial"/>
                  <w:sz w:val="16"/>
                  <w:szCs w:val="16"/>
                  <w:color w:val="0000FF"/>
                </w:rPr>
                <w:t>10, 2025</w:t>
              </w:r>
              <w:r>
                <w:rPr>
                  <w:rFonts w:ascii="Arial" w:cs="Arial" w:eastAsia="Arial" w:hAnsi="Arial"/>
                  <w:sz w:val="16"/>
                  <w:szCs w:val="16"/>
                  <w:color w:val="000000"/>
                </w:rPr>
                <w:t>).</w:t>
              </w:r>
            </w:hyperlink>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gridSpan w:val="15"/>
          </w:tcPr>
          <w:p>
            <w:pPr>
              <w:spacing w:after="0"/>
              <w:rPr>
                <w:rFonts w:ascii="Arial" w:cs="Arial" w:eastAsia="Arial" w:hAnsi="Arial"/>
                <w:sz w:val="16"/>
                <w:szCs w:val="16"/>
                <w:color w:val="auto"/>
              </w:rPr>
            </w:pPr>
            <w:hyperlink r:id="rId82">
              <w:r>
                <w:rPr>
                  <w:rFonts w:ascii="Arial" w:cs="Arial" w:eastAsia="Arial" w:hAnsi="Arial"/>
                  <w:sz w:val="16"/>
                  <w:szCs w:val="16"/>
                  <w:color w:val="auto"/>
                </w:rPr>
                <w:t xml:space="preserve">Amended and Restated Certificate of Incorporation of LegalZoom.com, Inc. </w:t>
              </w:r>
              <w:r>
                <w:rPr>
                  <w:rFonts w:ascii="Arial" w:cs="Arial" w:eastAsia="Arial" w:hAnsi="Arial"/>
                  <w:sz w:val="16"/>
                  <w:szCs w:val="16"/>
                  <w:color w:val="0000FF"/>
                </w:rPr>
                <w:t>(incorporated by reference to Exhibit 3.1 to the</w:t>
              </w:r>
            </w:hyperlink>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gridSpan w:val="5"/>
          </w:tcPr>
          <w:p>
            <w:pPr>
              <w:spacing w:after="0" w:line="169" w:lineRule="exact"/>
              <w:rPr>
                <w:rFonts w:ascii="Arial" w:cs="Arial" w:eastAsia="Arial" w:hAnsi="Arial"/>
                <w:sz w:val="16"/>
                <w:szCs w:val="16"/>
                <w:color w:val="0000FF"/>
              </w:rPr>
            </w:pPr>
            <w:hyperlink r:id="rId82">
              <w:r>
                <w:rPr>
                  <w:rFonts w:ascii="Arial" w:cs="Arial" w:eastAsia="Arial" w:hAnsi="Arial"/>
                  <w:sz w:val="16"/>
                  <w:szCs w:val="16"/>
                  <w:color w:val="0000FF"/>
                </w:rPr>
                <w:t>Company’s Current Report on Form 8-K filed with the SEC on July 2, 2021)</w:t>
              </w:r>
              <w:r>
                <w:rPr>
                  <w:rFonts w:ascii="Arial" w:cs="Arial" w:eastAsia="Arial" w:hAnsi="Arial"/>
                  <w:sz w:val="16"/>
                  <w:szCs w:val="16"/>
                  <w:color w:val="000000"/>
                </w:rPr>
                <w:t>.</w:t>
              </w:r>
            </w:hyperlink>
          </w:p>
        </w:tc>
        <w:tc>
          <w:tcPr>
            <w:tcW w:w="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360" w:type="dxa"/>
            <w:vAlign w:val="bottom"/>
            <w:tcBorders>
              <w:top w:val="single" w:sz="8" w:color="0000FF"/>
            </w:tcBorders>
            <w:gridSpan w:val="4"/>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5"/>
          </w:tcPr>
          <w:p>
            <w:pPr>
              <w:spacing w:after="0"/>
              <w:rPr>
                <w:rFonts w:ascii="Arial" w:cs="Arial" w:eastAsia="Arial" w:hAnsi="Arial"/>
                <w:sz w:val="16"/>
                <w:szCs w:val="16"/>
                <w:color w:val="auto"/>
              </w:rPr>
            </w:pPr>
            <w:hyperlink r:id="rId83">
              <w:r>
                <w:rPr>
                  <w:rFonts w:ascii="Arial" w:cs="Arial" w:eastAsia="Arial" w:hAnsi="Arial"/>
                  <w:sz w:val="16"/>
                  <w:szCs w:val="16"/>
                  <w:color w:val="auto"/>
                </w:rPr>
                <w:t>Amended and Restated Bylaws of LegalZoom.com, Inc. (</w:t>
              </w:r>
              <w:r>
                <w:rPr>
                  <w:rFonts w:ascii="Arial" w:cs="Arial" w:eastAsia="Arial" w:hAnsi="Arial"/>
                  <w:sz w:val="16"/>
                  <w:szCs w:val="16"/>
                  <w:color w:val="0000FF"/>
                </w:rPr>
                <w:t>incorporated by reference to</w:t>
              </w:r>
              <w:r>
                <w:rPr>
                  <w:rFonts w:ascii="Arial" w:cs="Arial" w:eastAsia="Arial" w:hAnsi="Arial"/>
                  <w:sz w:val="16"/>
                  <w:szCs w:val="16"/>
                  <w:color w:val="auto"/>
                </w:rPr>
                <w:t xml:space="preserve"> </w:t>
              </w:r>
              <w:r>
                <w:rPr>
                  <w:rFonts w:ascii="Arial" w:cs="Arial" w:eastAsia="Arial" w:hAnsi="Arial"/>
                  <w:sz w:val="16"/>
                  <w:szCs w:val="16"/>
                  <w:color w:val="0000FF"/>
                  <w:highlight w:val="white"/>
                </w:rPr>
                <w:t>Exhibit 3.1 to the Company’s Current</w:t>
              </w:r>
            </w:hyperlink>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tcBorders>
              <w:bottom w:val="single" w:sz="8" w:color="0000FF"/>
            </w:tcBorders>
            <w:gridSpan w:val="2"/>
          </w:tcPr>
          <w:p>
            <w:pPr>
              <w:spacing w:after="0" w:line="142" w:lineRule="exact"/>
              <w:rPr>
                <w:rFonts w:ascii="Arial" w:cs="Arial" w:eastAsia="Arial" w:hAnsi="Arial"/>
                <w:sz w:val="16"/>
                <w:szCs w:val="16"/>
                <w:color w:val="0000FF"/>
                <w:highlight w:val="white"/>
              </w:rPr>
            </w:pPr>
            <w:hyperlink r:id="rId83">
              <w:r>
                <w:rPr>
                  <w:rFonts w:ascii="Arial" w:cs="Arial" w:eastAsia="Arial" w:hAnsi="Arial"/>
                  <w:sz w:val="16"/>
                  <w:szCs w:val="16"/>
                  <w:color w:val="0000FF"/>
                  <w:highlight w:val="white"/>
                </w:rPr>
                <w:t>Report on Form 8-K filed with the SEC on November 6, 2024</w:t>
              </w:r>
            </w:hyperlink>
          </w:p>
        </w:tc>
        <w:tc>
          <w:tcPr>
            <w:tcW w:w="1040" w:type="dxa"/>
            <w:vAlign w:val="bottom"/>
            <w:tcBorders>
              <w:top w:val="single" w:sz="8" w:color="0000FF"/>
            </w:tcBorders>
            <w:gridSpan w:val="2"/>
          </w:tcPr>
          <w:p>
            <w:pPr>
              <w:jc w:val="center"/>
              <w:ind w:right="920"/>
              <w:spacing w:after="0" w:line="142" w:lineRule="exact"/>
              <w:rPr>
                <w:rFonts w:ascii="Arial" w:cs="Arial" w:eastAsia="Arial" w:hAnsi="Arial"/>
                <w:sz w:val="16"/>
                <w:szCs w:val="16"/>
                <w:color w:val="auto"/>
                <w:w w:val="81"/>
              </w:rPr>
            </w:pPr>
            <w:hyperlink r:id="rId83">
              <w:r>
                <w:rPr>
                  <w:rFonts w:ascii="Arial" w:cs="Arial" w:eastAsia="Arial" w:hAnsi="Arial"/>
                  <w:sz w:val="16"/>
                  <w:szCs w:val="16"/>
                  <w:color w:val="auto"/>
                  <w:w w:val="81"/>
                </w:rPr>
                <w:t>).</w:t>
              </w:r>
            </w:hyperlink>
          </w:p>
        </w:tc>
        <w:tc>
          <w:tcPr>
            <w:tcW w:w="60" w:type="dxa"/>
            <w:vAlign w:val="bottom"/>
            <w:tcBorders>
              <w:top w:val="single" w:sz="8" w:color="0000FF"/>
            </w:tcBorders>
            <w:gridSpan w:val="2"/>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tcBorders>
              <w:top w:val="single" w:sz="8" w:color="0000FF"/>
            </w:tcBorders>
            <w:gridSpan w:val="4"/>
          </w:tcPr>
          <w:p>
            <w:pPr>
              <w:spacing w:after="0"/>
              <w:rPr>
                <w:sz w:val="12"/>
                <w:szCs w:val="12"/>
                <w:color w:val="auto"/>
              </w:rPr>
            </w:pPr>
          </w:p>
        </w:tc>
        <w:tc>
          <w:tcPr>
            <w:tcW w:w="260" w:type="dxa"/>
            <w:vAlign w:val="bottom"/>
            <w:tcBorders>
              <w:top w:val="single" w:sz="8" w:color="0000FF"/>
            </w:tcBorders>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0" w:type="dxa"/>
            <w:vAlign w:val="bottom"/>
            <w:gridSpan w:val="2"/>
          </w:tcPr>
          <w:p>
            <w:pPr>
              <w:spacing w:after="0"/>
              <w:rPr>
                <w:sz w:val="17"/>
                <w:szCs w:val="17"/>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gridSpan w:val="15"/>
          </w:tcPr>
          <w:p>
            <w:pPr>
              <w:spacing w:after="0"/>
              <w:rPr>
                <w:sz w:val="20"/>
                <w:szCs w:val="20"/>
                <w:color w:val="auto"/>
              </w:rPr>
            </w:pPr>
            <w:r>
              <w:rPr>
                <w:rFonts w:ascii="Arial" w:cs="Arial" w:eastAsia="Arial" w:hAnsi="Arial"/>
                <w:sz w:val="16"/>
                <w:szCs w:val="16"/>
                <w:color w:val="0000FF"/>
              </w:rPr>
              <w:t>Certification of Chief Executive Officer pursuant to Rule 13a-14(a)/15d-14(a)</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gridSpan w:val="2"/>
          </w:tcPr>
          <w:p>
            <w:pPr>
              <w:spacing w:after="0"/>
              <w:rPr>
                <w:sz w:val="18"/>
                <w:szCs w:val="18"/>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r>
              <w:rPr>
                <w:rFonts w:ascii="Arial" w:cs="Arial" w:eastAsia="Arial" w:hAnsi="Arial"/>
                <w:sz w:val="16"/>
                <w:szCs w:val="16"/>
                <w:color w:val="000000"/>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5"/>
          </w:tcPr>
          <w:p>
            <w:pPr>
              <w:spacing w:after="0"/>
              <w:rPr>
                <w:sz w:val="20"/>
                <w:szCs w:val="20"/>
                <w:color w:val="auto"/>
              </w:rPr>
            </w:pPr>
            <w:r>
              <w:rPr>
                <w:rFonts w:ascii="Arial" w:cs="Arial" w:eastAsia="Arial" w:hAnsi="Arial"/>
                <w:sz w:val="16"/>
                <w:szCs w:val="16"/>
                <w:color w:val="0000FF"/>
              </w:rPr>
              <w:t>Certification of Chief Financial Officer pursuant to Rule 13a-14(a)/15d-14(a)</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0" w:type="dxa"/>
            <w:vAlign w:val="bottom"/>
            <w:tcBorders>
              <w:righ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4"/>
          </w:tcPr>
          <w:p>
            <w:pPr>
              <w:jc w:val="center"/>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5"/>
          </w:tcPr>
          <w:p>
            <w:pPr>
              <w:spacing w:after="0"/>
              <w:rPr>
                <w:sz w:val="20"/>
                <w:szCs w:val="20"/>
                <w:color w:val="auto"/>
              </w:rPr>
            </w:pPr>
            <w:r>
              <w:rPr>
                <w:rFonts w:ascii="Arial" w:cs="Arial" w:eastAsia="Arial" w:hAnsi="Arial"/>
                <w:sz w:val="16"/>
                <w:szCs w:val="16"/>
                <w:color w:val="0000FF"/>
              </w:rPr>
              <w:t>Certification of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6"/>
                <w:szCs w:val="16"/>
                <w:color w:val="0000FF"/>
              </w:rPr>
              <w:t>2002</w:t>
            </w:r>
            <w:r>
              <w:rPr>
                <w:rFonts w:ascii="Arial" w:cs="Arial" w:eastAsia="Arial" w:hAnsi="Arial"/>
                <w:sz w:val="16"/>
                <w:szCs w:val="16"/>
                <w:color w:val="000000"/>
              </w:rPr>
              <w:t>.</w:t>
            </w:r>
          </w:p>
        </w:tc>
        <w:tc>
          <w:tcPr>
            <w:tcW w:w="10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920" w:right="1560" w:hanging="642"/>
        <w:spacing w:after="0" w:line="253"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following financial statements from our Quarterly Report on Form 10-Q for the three months ended March 31, 2025 were formatted in Inline XBRL: (i) Condensed Consolidated Balance Sheets, (ii) Condensed Consolidated Statements of Operations, (iii) Condensed Consolidated Statements of Comprehensive Loss, (iv) Condensed Consolidated Statement of Stockholders’ Equity, (v) Condensed Consolidated Statements of Cash Flows.</w:t>
      </w:r>
    </w:p>
    <w:p>
      <w:pPr>
        <w:spacing w:after="0" w:line="7"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in Inline XBRL and contained in Exhibit 101).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61" w:name="page62"/>
    <w:bookmarkEnd w:id="61"/>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62" w:name="page63"/>
    <w:bookmarkEnd w:id="62"/>
    <w:p>
      <w:pPr>
        <w:ind w:left="5420"/>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right="560" w:firstLine="405"/>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3"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3840" w:type="dxa"/>
            <w:vAlign w:val="bottom"/>
          </w:tcPr>
          <w:p>
            <w:pPr>
              <w:spacing w:after="0"/>
              <w:rPr>
                <w:sz w:val="19"/>
                <w:szCs w:val="19"/>
                <w:color w:val="auto"/>
              </w:rPr>
            </w:pPr>
          </w:p>
        </w:tc>
        <w:tc>
          <w:tcPr>
            <w:tcW w:w="7160" w:type="dxa"/>
            <w:vAlign w:val="bottom"/>
            <w:gridSpan w:val="2"/>
          </w:tcPr>
          <w:p>
            <w:pPr>
              <w:ind w:left="2540"/>
              <w:spacing w:after="0"/>
              <w:rPr>
                <w:sz w:val="20"/>
                <w:szCs w:val="20"/>
                <w:color w:val="auto"/>
              </w:rPr>
            </w:pPr>
            <w:r>
              <w:rPr>
                <w:rFonts w:ascii="Arial" w:cs="Arial" w:eastAsia="Arial" w:hAnsi="Arial"/>
                <w:sz w:val="16"/>
                <w:szCs w:val="16"/>
                <w:b w:val="1"/>
                <w:bCs w:val="1"/>
                <w:color w:val="auto"/>
              </w:rPr>
              <w:t>LegalZoom.com, Inc.</w:t>
            </w:r>
          </w:p>
        </w:tc>
      </w:tr>
      <w:tr>
        <w:trPr>
          <w:trHeight w:val="384"/>
        </w:trPr>
        <w:tc>
          <w:tcPr>
            <w:tcW w:w="3840" w:type="dxa"/>
            <w:vAlign w:val="bottom"/>
          </w:tcPr>
          <w:p>
            <w:pPr>
              <w:spacing w:after="0"/>
              <w:rPr>
                <w:sz w:val="20"/>
                <w:szCs w:val="20"/>
                <w:color w:val="auto"/>
              </w:rPr>
            </w:pPr>
            <w:r>
              <w:rPr>
                <w:rFonts w:ascii="Arial" w:cs="Arial" w:eastAsia="Arial" w:hAnsi="Arial"/>
                <w:sz w:val="16"/>
                <w:szCs w:val="16"/>
                <w:color w:val="auto"/>
              </w:rPr>
              <w:t>Date: May 8, 2025</w:t>
            </w:r>
          </w:p>
        </w:tc>
        <w:tc>
          <w:tcPr>
            <w:tcW w:w="3060" w:type="dxa"/>
            <w:vAlign w:val="bottom"/>
          </w:tcPr>
          <w:p>
            <w:pPr>
              <w:ind w:left="2540"/>
              <w:spacing w:after="0"/>
              <w:rPr>
                <w:sz w:val="20"/>
                <w:szCs w:val="20"/>
                <w:color w:val="auto"/>
              </w:rPr>
            </w:pPr>
            <w:r>
              <w:rPr>
                <w:rFonts w:ascii="Arial" w:cs="Arial" w:eastAsia="Arial" w:hAnsi="Arial"/>
                <w:sz w:val="16"/>
                <w:szCs w:val="16"/>
                <w:color w:val="auto"/>
              </w:rPr>
              <w:t>By:</w:t>
            </w: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Jeffrey Stibel</w:t>
            </w:r>
          </w:p>
        </w:tc>
      </w:tr>
      <w:tr>
        <w:trPr>
          <w:trHeight w:val="209"/>
        </w:trPr>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Jeffrey Stibel</w:t>
            </w:r>
          </w:p>
        </w:tc>
      </w:tr>
      <w:tr>
        <w:trPr>
          <w:trHeight w:val="215"/>
        </w:trPr>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216"/>
        </w:trPr>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r>
      <w:tr>
        <w:trPr>
          <w:trHeight w:val="473"/>
        </w:trPr>
        <w:tc>
          <w:tcPr>
            <w:tcW w:w="3840" w:type="dxa"/>
            <w:vAlign w:val="bottom"/>
          </w:tcPr>
          <w:p>
            <w:pPr>
              <w:spacing w:after="0"/>
              <w:rPr>
                <w:sz w:val="20"/>
                <w:szCs w:val="20"/>
                <w:color w:val="auto"/>
              </w:rPr>
            </w:pPr>
            <w:r>
              <w:rPr>
                <w:rFonts w:ascii="Arial" w:cs="Arial" w:eastAsia="Arial" w:hAnsi="Arial"/>
                <w:sz w:val="16"/>
                <w:szCs w:val="16"/>
                <w:color w:val="auto"/>
              </w:rPr>
              <w:t>Date: May 8, 2025</w:t>
            </w:r>
          </w:p>
        </w:tc>
        <w:tc>
          <w:tcPr>
            <w:tcW w:w="306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Noel Watson</w:t>
            </w:r>
          </w:p>
        </w:tc>
      </w:tr>
      <w:tr>
        <w:trPr>
          <w:trHeight w:val="209"/>
        </w:trPr>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Noel Watson</w:t>
            </w:r>
          </w:p>
        </w:tc>
      </w:tr>
      <w:tr>
        <w:trPr>
          <w:trHeight w:val="215"/>
        </w:trPr>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16"/>
        </w:trPr>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115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Jeffrey Stibel, certify that:</w:t>
      </w:r>
    </w:p>
    <w:p>
      <w:pPr>
        <w:spacing w:after="0" w:line="221"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Form 10-Q of LegalZoom.com, Inc.</w:t>
      </w:r>
    </w:p>
    <w:p>
      <w:pPr>
        <w:spacing w:after="0" w:line="234" w:lineRule="exact"/>
        <w:rPr>
          <w:rFonts w:ascii="Arial" w:cs="Arial" w:eastAsia="Arial" w:hAnsi="Arial"/>
          <w:sz w:val="16"/>
          <w:szCs w:val="16"/>
          <w:color w:val="auto"/>
        </w:rPr>
      </w:pPr>
    </w:p>
    <w:p>
      <w:pPr>
        <w:jc w:val="both"/>
        <w:ind w:left="500" w:right="280" w:hanging="492"/>
        <w:spacing w:after="0" w:line="266" w:lineRule="auto"/>
        <w:tabs>
          <w:tab w:leader="none" w:pos="4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500" w:right="420" w:hanging="492"/>
        <w:spacing w:after="0" w:line="286" w:lineRule="auto"/>
        <w:tabs>
          <w:tab w:leader="none" w:pos="4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500" w:right="20" w:hanging="492"/>
        <w:spacing w:after="0" w:line="266" w:lineRule="auto"/>
        <w:tabs>
          <w:tab w:leader="none" w:pos="4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980" w:right="80" w:hanging="486"/>
        <w:spacing w:after="0" w:line="266" w:lineRule="auto"/>
        <w:tabs>
          <w:tab w:leader="none" w:pos="962"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980" w:right="480" w:hanging="486"/>
        <w:spacing w:after="0" w:line="275" w:lineRule="auto"/>
        <w:tabs>
          <w:tab w:leader="none" w:pos="962"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980" w:right="500" w:hanging="486"/>
        <w:spacing w:after="0" w:line="286" w:lineRule="auto"/>
        <w:tabs>
          <w:tab w:leader="none" w:pos="953"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980" w:right="200" w:hanging="486"/>
        <w:spacing w:after="0" w:line="275" w:lineRule="auto"/>
        <w:tabs>
          <w:tab w:leader="none" w:pos="962"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500" w:right="360" w:hanging="492"/>
        <w:spacing w:after="0" w:line="286" w:lineRule="auto"/>
        <w:tabs>
          <w:tab w:leader="none" w:pos="4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980" w:right="140" w:hanging="486"/>
        <w:spacing w:after="0" w:line="286" w:lineRule="auto"/>
        <w:tabs>
          <w:tab w:leader="none" w:pos="962"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980" w:right="80" w:hanging="486"/>
        <w:spacing w:after="0" w:line="286" w:lineRule="auto"/>
        <w:tabs>
          <w:tab w:leader="none" w:pos="962"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LegalZoom.com, Inc.</w:t>
      </w:r>
    </w:p>
    <w:p>
      <w:pPr>
        <w:spacing w:after="0" w:line="302" w:lineRule="exact"/>
        <w:rPr>
          <w:sz w:val="20"/>
          <w:szCs w:val="20"/>
          <w:color w:val="auto"/>
        </w:rPr>
      </w:pPr>
    </w:p>
    <w:p>
      <w:pPr>
        <w:ind w:left="20"/>
        <w:spacing w:after="0"/>
        <w:tabs>
          <w:tab w:leader="none" w:pos="5380" w:val="left"/>
          <w:tab w:leader="none" w:pos="7940" w:val="left"/>
        </w:tabs>
        <w:rPr>
          <w:sz w:val="20"/>
          <w:szCs w:val="20"/>
          <w:color w:val="auto"/>
        </w:rPr>
      </w:pPr>
      <w:r>
        <w:rPr>
          <w:rFonts w:ascii="Arial" w:cs="Arial" w:eastAsia="Arial" w:hAnsi="Arial"/>
          <w:sz w:val="16"/>
          <w:szCs w:val="16"/>
          <w:color w:val="auto"/>
        </w:rPr>
        <w:t>Date: May 8,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Jeffrey Stibel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20955</wp:posOffset>
            </wp:positionV>
            <wp:extent cx="34118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Jeffrey Stibel</w:t>
      </w:r>
    </w:p>
    <w:p>
      <w:pPr>
        <w:spacing w:after="0" w:line="39"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Chief Executive Officer</w:t>
      </w:r>
    </w:p>
    <w:p>
      <w:pPr>
        <w:sectPr>
          <w:pgSz w:w="11900" w:h="16838" w:orient="portrait"/>
          <w:cols w:equalWidth="0" w:num="1">
            <w:col w:w="11240"/>
          </w:cols>
          <w:pgMar w:left="320" w:top="93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Noel Watson, certify that:</w:t>
      </w:r>
    </w:p>
    <w:p>
      <w:pPr>
        <w:spacing w:after="0" w:line="221"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Form 10-Q of LegalZoom.com, Inc.</w:t>
      </w:r>
    </w:p>
    <w:p>
      <w:pPr>
        <w:spacing w:after="0" w:line="234" w:lineRule="exact"/>
        <w:rPr>
          <w:rFonts w:ascii="Arial" w:cs="Arial" w:eastAsia="Arial" w:hAnsi="Arial"/>
          <w:sz w:val="16"/>
          <w:szCs w:val="16"/>
          <w:color w:val="auto"/>
        </w:rPr>
      </w:pPr>
    </w:p>
    <w:p>
      <w:pPr>
        <w:jc w:val="both"/>
        <w:ind w:left="500" w:right="280" w:hanging="492"/>
        <w:spacing w:after="0" w:line="266" w:lineRule="auto"/>
        <w:tabs>
          <w:tab w:leader="none" w:pos="48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500" w:right="420" w:hanging="492"/>
        <w:spacing w:after="0" w:line="286" w:lineRule="auto"/>
        <w:tabs>
          <w:tab w:leader="none" w:pos="48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500" w:right="20" w:hanging="492"/>
        <w:spacing w:after="0" w:line="266" w:lineRule="auto"/>
        <w:tabs>
          <w:tab w:leader="none" w:pos="48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980" w:right="80" w:hanging="486"/>
        <w:spacing w:after="0" w:line="266" w:lineRule="auto"/>
        <w:tabs>
          <w:tab w:leader="none" w:pos="962"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980" w:right="480" w:hanging="486"/>
        <w:spacing w:after="0" w:line="275" w:lineRule="auto"/>
        <w:tabs>
          <w:tab w:leader="none" w:pos="962"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980" w:right="500" w:hanging="486"/>
        <w:spacing w:after="0" w:line="286" w:lineRule="auto"/>
        <w:tabs>
          <w:tab w:leader="none" w:pos="953"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980" w:right="200" w:hanging="486"/>
        <w:spacing w:after="0" w:line="275" w:lineRule="auto"/>
        <w:tabs>
          <w:tab w:leader="none" w:pos="962"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500" w:right="640" w:hanging="492"/>
        <w:spacing w:after="0" w:line="286" w:lineRule="auto"/>
        <w:tabs>
          <w:tab w:leader="none" w:pos="19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980" w:right="140" w:hanging="486"/>
        <w:spacing w:after="0" w:line="286" w:lineRule="auto"/>
        <w:tabs>
          <w:tab w:leader="none" w:pos="962"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980" w:right="80" w:hanging="486"/>
        <w:spacing w:after="0" w:line="286" w:lineRule="auto"/>
        <w:tabs>
          <w:tab w:leader="none" w:pos="962"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LegalZoom.com, Inc.</w:t>
      </w:r>
    </w:p>
    <w:p>
      <w:pPr>
        <w:spacing w:after="0" w:line="302" w:lineRule="exact"/>
        <w:rPr>
          <w:sz w:val="20"/>
          <w:szCs w:val="20"/>
          <w:color w:val="auto"/>
        </w:rPr>
      </w:pPr>
    </w:p>
    <w:p>
      <w:pPr>
        <w:ind w:left="360"/>
        <w:spacing w:after="0"/>
        <w:tabs>
          <w:tab w:leader="none" w:pos="5320" w:val="left"/>
          <w:tab w:leader="none" w:pos="7640" w:val="left"/>
        </w:tabs>
        <w:rPr>
          <w:sz w:val="20"/>
          <w:szCs w:val="20"/>
          <w:color w:val="auto"/>
        </w:rPr>
      </w:pPr>
      <w:r>
        <w:rPr>
          <w:rFonts w:ascii="Arial" w:cs="Arial" w:eastAsia="Arial" w:hAnsi="Arial"/>
          <w:sz w:val="16"/>
          <w:szCs w:val="16"/>
          <w:color w:val="auto"/>
        </w:rPr>
        <w:t>Date: May 8,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20955</wp:posOffset>
            </wp:positionV>
            <wp:extent cx="31629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Noel Watson</w:t>
      </w:r>
    </w:p>
    <w:p>
      <w:pPr>
        <w:spacing w:after="0" w:line="39"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Chief Financial Officer</w:t>
      </w:r>
    </w:p>
    <w:p>
      <w:pPr>
        <w:sectPr>
          <w:pgSz w:w="11900" w:h="16838" w:orient="portrait"/>
          <w:cols w:equalWidth="0" w:num="1">
            <w:col w:w="11240"/>
          </w:cols>
          <w:pgMar w:left="320" w:top="93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235" w:lineRule="exact"/>
        <w:rPr>
          <w:sz w:val="20"/>
          <w:szCs w:val="20"/>
          <w:color w:val="auto"/>
        </w:rPr>
      </w:pPr>
    </w:p>
    <w:p>
      <w:pPr>
        <w:jc w:val="both"/>
        <w:ind w:right="340"/>
        <w:spacing w:after="0" w:line="275"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Jeffrey Stibel, Chief Executive Officer of LegalZoom.com, Inc. (the “Company”), and Noel Watson, Chief Financial Officer of the Company, each hereby certifies that, to the best of his knowledge:</w:t>
      </w:r>
    </w:p>
    <w:p>
      <w:pPr>
        <w:spacing w:after="0" w:line="164" w:lineRule="exact"/>
        <w:rPr>
          <w:sz w:val="20"/>
          <w:szCs w:val="20"/>
          <w:color w:val="auto"/>
        </w:rPr>
      </w:pPr>
    </w:p>
    <w:p>
      <w:pPr>
        <w:ind w:left="500" w:right="480" w:hanging="492"/>
        <w:spacing w:after="0" w:line="286" w:lineRule="auto"/>
        <w:tabs>
          <w:tab w:leader="none" w:pos="52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March 31, 2025, to which this Certification is attached as Exhibit 32.1 (the “Periodic Report”), fully complies with the requirements of Section 13(a) or Section 15(d) of the Exchange Act; and</w:t>
      </w:r>
    </w:p>
    <w:p>
      <w:pPr>
        <w:spacing w:after="0" w:line="169" w:lineRule="exact"/>
        <w:rPr>
          <w:rFonts w:ascii="Arial" w:cs="Arial" w:eastAsia="Arial" w:hAnsi="Arial"/>
          <w:sz w:val="16"/>
          <w:szCs w:val="16"/>
          <w:color w:val="auto"/>
        </w:rPr>
      </w:pPr>
    </w:p>
    <w:p>
      <w:pPr>
        <w:ind w:left="500" w:right="620" w:hanging="492"/>
        <w:spacing w:after="0" w:line="286" w:lineRule="auto"/>
        <w:tabs>
          <w:tab w:leader="none" w:pos="48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have set their hands hereto as of the 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May 2025.</w:t>
      </w:r>
    </w:p>
    <w:p>
      <w:pPr>
        <w:spacing w:after="0" w:line="214"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LegalZoom.com, Inc.</w:t>
      </w:r>
    </w:p>
    <w:p>
      <w:pPr>
        <w:spacing w:after="0" w:line="289" w:lineRule="exact"/>
        <w:rPr>
          <w:sz w:val="20"/>
          <w:szCs w:val="20"/>
          <w:color w:val="auto"/>
        </w:rPr>
      </w:pPr>
    </w:p>
    <w:p>
      <w:pPr>
        <w:ind w:left="20"/>
        <w:spacing w:after="0"/>
        <w:tabs>
          <w:tab w:leader="none" w:pos="5380" w:val="left"/>
          <w:tab w:leader="none" w:pos="7940" w:val="left"/>
        </w:tabs>
        <w:rPr>
          <w:sz w:val="20"/>
          <w:szCs w:val="20"/>
          <w:color w:val="auto"/>
        </w:rPr>
      </w:pPr>
      <w:r>
        <w:rPr>
          <w:rFonts w:ascii="Arial" w:cs="Arial" w:eastAsia="Arial" w:hAnsi="Arial"/>
          <w:sz w:val="16"/>
          <w:szCs w:val="16"/>
          <w:color w:val="auto"/>
        </w:rPr>
        <w:t>Date: May 8,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Jeffrey Stibel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20955</wp:posOffset>
            </wp:positionV>
            <wp:extent cx="34118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Jeffrey Stibel</w:t>
      </w:r>
    </w:p>
    <w:p>
      <w:pPr>
        <w:spacing w:after="0" w:line="39"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5800"/>
        <w:spacing w:after="0"/>
        <w:rPr>
          <w:sz w:val="20"/>
          <w:szCs w:val="20"/>
          <w:color w:val="auto"/>
        </w:rPr>
      </w:pPr>
      <w:r>
        <w:rPr>
          <w:rFonts w:ascii="Arial" w:cs="Arial" w:eastAsia="Arial" w:hAnsi="Arial"/>
          <w:sz w:val="16"/>
          <w:szCs w:val="16"/>
          <w:i w:val="1"/>
          <w:iCs w:val="1"/>
          <w:color w:val="auto"/>
        </w:rPr>
        <w:t>(Principal Executive Officer)</w:t>
      </w:r>
    </w:p>
    <w:p>
      <w:pPr>
        <w:spacing w:after="0" w:line="295" w:lineRule="exact"/>
        <w:rPr>
          <w:sz w:val="20"/>
          <w:szCs w:val="20"/>
          <w:color w:val="auto"/>
        </w:rPr>
      </w:pPr>
    </w:p>
    <w:p>
      <w:pPr>
        <w:ind w:left="20"/>
        <w:spacing w:after="0"/>
        <w:tabs>
          <w:tab w:leader="none" w:pos="5380" w:val="left"/>
          <w:tab w:leader="none" w:pos="7940" w:val="left"/>
        </w:tabs>
        <w:rPr>
          <w:sz w:val="20"/>
          <w:szCs w:val="20"/>
          <w:color w:val="auto"/>
        </w:rPr>
      </w:pPr>
      <w:r>
        <w:rPr>
          <w:rFonts w:ascii="Arial" w:cs="Arial" w:eastAsia="Arial" w:hAnsi="Arial"/>
          <w:sz w:val="16"/>
          <w:szCs w:val="16"/>
          <w:color w:val="auto"/>
        </w:rPr>
        <w:t>Date: May 8,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20955</wp:posOffset>
            </wp:positionV>
            <wp:extent cx="34118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Noel Watson</w:t>
      </w:r>
    </w:p>
    <w:p>
      <w:pPr>
        <w:spacing w:after="0" w:line="39"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left="5800"/>
        <w:spacing w:after="0"/>
        <w:rPr>
          <w:sz w:val="20"/>
          <w:szCs w:val="20"/>
          <w:color w:val="auto"/>
        </w:rPr>
      </w:pPr>
      <w:r>
        <w:rPr>
          <w:rFonts w:ascii="Arial" w:cs="Arial" w:eastAsia="Arial" w:hAnsi="Arial"/>
          <w:sz w:val="16"/>
          <w:szCs w:val="16"/>
          <w:i w:val="1"/>
          <w:iCs w:val="1"/>
          <w:color w:val="auto"/>
        </w:rPr>
        <w:t>(Principal Financial Officer)</w:t>
      </w:r>
    </w:p>
    <w:p>
      <w:pPr>
        <w:spacing w:after="0" w:line="324"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2"/>
    </w:lvl>
  </w:abstractNum>
  <w:abstractNum w:abstractNumId="11">
    <w:nsid w:val="62BBD95A"/>
    <w:multiLevelType w:val="hybridMultilevel"/>
    <w:lvl w:ilvl="0">
      <w:lvlJc w:val="left"/>
      <w:lvlText w:val="(%1)"/>
      <w:numFmt w:val="lowerRoman"/>
      <w:start w:val="2"/>
    </w:lvl>
  </w:abstractNum>
  <w:abstractNum w:abstractNumId="12">
    <w:nsid w:val="436C6125"/>
    <w:multiLevelType w:val="hybridMultilevel"/>
    <w:lvl w:ilvl="0">
      <w:lvlJc w:val="left"/>
      <w:lvlText w:val="(%1)"/>
      <w:numFmt w:val="lowerRoman"/>
      <w:start w:val="3"/>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0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81" Type="http://schemas.openxmlformats.org/officeDocument/2006/relationships/hyperlink" Target="https://www.sec.gov/Archives/edgar/data/1286139/000128613925000014/ex21spafinal.htm" TargetMode="External"/><Relationship Id="rId82" Type="http://schemas.openxmlformats.org/officeDocument/2006/relationships/hyperlink" Target="https://www.sec.gov/Archives/edgar/data/0001286139/000119312521207613/d65054dex31.htm" TargetMode="External"/><Relationship Id="rId83" Type="http://schemas.openxmlformats.org/officeDocument/2006/relationships/hyperlink" Target="https://www.sec.gov/Archives/edgar/data/1286139/000128613924000115/ex-31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2025-05-08T15:53:39Z</dcterms:created>
  <dcterms:modified xsi:type="dcterms:W3CDTF">2025-05-08T15:53:39Z</dcterms:modified>
</cp:coreProperties>
</file>