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Watson Noel Bertram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954 VILLA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LEGALZOOM.COM,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LZ</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Operating Officer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MOUNTAIN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84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82,501</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2,056,847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05/18/2026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15,000</w:t>
            </w:r>
            <w:r>
              <w:rPr>
                <w:rFonts w:ascii="Times New Roman" w:cs="Times New Roman" w:eastAsia="Times New Roman" w:hAnsi="Times New Roman"/>
                <w:sz w:val="22"/>
                <w:szCs w:val="22"/>
                <w:color w:val="008000"/>
                <w:vertAlign w:val="superscript"/>
              </w:rPr>
              <w:t>(3)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6.4517</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2,041,847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9"/>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withholding of shares of the Issuer's common stock upon the vesting of restricted stock units in order to satisfy the Reporting Person's tax withholding obligations.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2,000 shares acquired pursuant to the Issuer's employee stock purchase plan on May 15,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20, 2025.</w:t>
      </w:r>
    </w:p>
    <w:p>
      <w:pPr>
        <w:spacing w:after="0" w:line="50" w:lineRule="exact"/>
        <w:rPr>
          <w:rFonts w:ascii="Times New Roman" w:cs="Times New Roman" w:eastAsia="Times New Roman" w:hAnsi="Times New Roman"/>
          <w:sz w:val="13"/>
          <w:szCs w:val="13"/>
          <w:color w:val="008000"/>
        </w:rPr>
      </w:pPr>
    </w:p>
    <w:p>
      <w:pPr>
        <w:jc w:val="both"/>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$6.055 to $6.590,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Michelle Sparks,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Noel Bertram</w:t>
      </w:r>
      <w:r>
        <w:rPr>
          <w:sz w:val="20"/>
          <w:szCs w:val="20"/>
          <w:color w:val="auto"/>
        </w:rPr>
        <w:tab/>
      </w: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Watson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7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9081" TargetMode="External"/><Relationship Id="rId14" Type="http://schemas.openxmlformats.org/officeDocument/2006/relationships/hyperlink" Target="http://www.sec.gov/cgi-bin/browse-edgar?action=getcompany&amp;CIK=0001286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2026-05-19T15:50:29Z</dcterms:created>
  <dcterms:modified xsi:type="dcterms:W3CDTF">2026-05-19T15:50:29Z</dcterms:modified>
</cp:coreProperties>
</file>