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192b6c8a1a840ef9bcdc0117640117d_7">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 xml:space="preserve">FORM 10-K </w:t>
      </w:r>
    </w:p>
    <w:p>
      <w:pPr>
        <w:pStyle w:val="TextBody"/>
        <w:bidi w:val="0"/>
        <w:spacing w:lineRule="auto" w:line="288" w:before="0" w:after="120"/>
        <w:ind w:left="0" w:right="0" w:firstLine="90"/>
        <w:jc w:val="left"/>
        <w:rPr>
          <w:rFonts w:ascii="Work Sans;sans-serif" w:hAnsi="Work Sans;sans-serif"/>
          <w:b/>
          <w:color w:val="000000"/>
          <w:sz w:val="18"/>
        </w:rPr>
      </w:pPr>
      <w:r>
        <w:rPr>
          <w:rFonts w:ascii="Work Sans;sans-serif" w:hAnsi="Work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ANNUAL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For the fiscal year ended December 31, 2023</w:t>
      </w:r>
    </w:p>
    <w:p>
      <w:pPr>
        <w:pStyle w:val="TextBody"/>
        <w:bidi w:val="0"/>
        <w:spacing w:lineRule="auto" w:line="288" w:before="0" w:after="120"/>
        <w:ind w:left="0" w:right="0" w:firstLine="720"/>
        <w:jc w:val="left"/>
        <w:rPr>
          <w:rFonts w:ascii="Work Sans;sans-serif" w:hAnsi="Work Sans;sans-serif"/>
          <w:b/>
          <w:color w:val="000000"/>
          <w:sz w:val="18"/>
        </w:rPr>
      </w:pPr>
      <w:r>
        <w:rPr>
          <w:rFonts w:ascii="Work Sans;sans-serif" w:hAnsi="Work Sans;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Work Sans;sans-serif" w:hAnsi="Work Sans;sans-serif"/>
                <w:b/>
                <w:color w:val="000000"/>
                <w:sz w:val="18"/>
              </w:rPr>
            </w:pPr>
            <w:r>
              <w:rPr>
                <w:rFonts w:ascii="Work Sans;sans-serif" w:hAnsi="Work Sans;sans-serif"/>
                <w:b/>
                <w:color w:val="000000"/>
                <w:sz w:val="18"/>
              </w:rPr>
              <w:t>TRANSITION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 xml:space="preserve">For the transition period from   to </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Commission file number 001-35618</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8"/>
              </w:rPr>
            </w:pPr>
            <w:r>
              <w:rPr>
                <w:rFonts w:ascii="Work Sans;sans-serif" w:hAnsi="Work Sans;sans-serif"/>
                <w:b/>
                <w:color w:val="000000"/>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(I.R.S. Employer Identification No.)</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8"/>
              </w:rPr>
            </w:pPr>
            <w:r>
              <w:rPr>
                <w:rFonts w:ascii="Open Sans;sans-serif" w:hAnsi="Open Sans;sans-serif"/>
                <w:b/>
                <w:color w:val="000000"/>
                <w:sz w:val="18"/>
              </w:rPr>
              <w:t>101 North Brand Boulevard,</w:t>
            </w:r>
          </w:p>
          <w:p>
            <w:pPr>
              <w:pStyle w:val="TableContents"/>
              <w:bidi w:val="0"/>
              <w:spacing w:lineRule="auto" w:line="240" w:before="0" w:after="0"/>
              <w:jc w:val="center"/>
              <w:rPr/>
            </w:pPr>
            <w:r>
              <w:rPr>
                <w:rFonts w:ascii="Open Sans;sans-serif" w:hAnsi="Open Sans;sans-serif"/>
                <w:b/>
                <w:color w:val="000000"/>
                <w:sz w:val="18"/>
              </w:rPr>
              <w:t>11</w:t>
            </w:r>
            <w:r>
              <w:rPr>
                <w:rFonts w:ascii="Open Sans;sans-serif" w:hAnsi="Open Sans;sans-serif"/>
                <w:b/>
                <w:color w:val="000000"/>
                <w:sz w:val="12"/>
              </w:rPr>
              <w:t>th</w:t>
            </w:r>
            <w:r>
              <w:rPr>
                <w:color w:val="000000"/>
              </w:rPr>
              <w:t xml:space="preserve"> </w:t>
            </w:r>
            <w:r>
              <w:rPr>
                <w:rFonts w:ascii="Open Sans;sans-serif" w:hAnsi="Open Sans;sans-serif"/>
                <w:b/>
                <w:color w:val="000000"/>
                <w:sz w:val="18"/>
              </w:rPr>
              <w:t>Floor, Glendale, California 91203</w:t>
            </w:r>
          </w:p>
          <w:p>
            <w:pPr>
              <w:pStyle w:val="TableContents"/>
              <w:bidi w:val="0"/>
              <w:spacing w:before="0" w:after="0"/>
              <w:jc w:val="center"/>
              <w:rPr/>
            </w:pPr>
            <w:r>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(Address of Principal Executive Offices, including Zip code)</w:t>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(323) 962-8600</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Registrant's telephone number, including area code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10063" w:type="dxa"/>
        <w:jc w:val="left"/>
        <w:tblInd w:w="0" w:type="dxa"/>
        <w:tblLayout w:type="fixed"/>
        <w:tblCellMar>
          <w:top w:w="28" w:type="dxa"/>
          <w:left w:w="28" w:type="dxa"/>
          <w:bottom w:w="28" w:type="dxa"/>
          <w:right w:w="28" w:type="dxa"/>
        </w:tblCellMar>
      </w:tblPr>
      <w:tblGrid>
        <w:gridCol w:w="1481"/>
        <w:gridCol w:w="1303"/>
        <w:gridCol w:w="1311"/>
        <w:gridCol w:w="589"/>
        <w:gridCol w:w="589"/>
        <w:gridCol w:w="591"/>
        <w:gridCol w:w="1229"/>
        <w:gridCol w:w="1229"/>
        <w:gridCol w:w="1741"/>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Title of each class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Trading Symbol(s)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Name of each exchange on which registered</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Common Stock, par value $0.001 per share</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LZ</w:t>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The Nasdaq Global Select Market</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12(g) of the Act: None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a well-known seasoned issuer, as defined in Rule 405 of the Securities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accelerated filer,” “accelerated filer,” “smaller reporting company” and “emerging growth company” in Rule 12b-2 of the Exchange Act:</w:t>
      </w:r>
    </w:p>
    <w:tbl>
      <w:tblPr>
        <w:tblW w:w="5548"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64"/>
        <w:gridCol w:w="864"/>
        <w:gridCol w:w="867"/>
        <w:gridCol w:w="140"/>
        <w:gridCol w:w="140"/>
        <w:gridCol w:w="20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 shell company (as defined in Rule 12b-2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aggregate market value of voting stock held by non-affiliates of the Registrant on June 30, 2023, based on the closing price of $12.08 for shares of the Registrant’s common stock as reported by the Nasdaq Global Select Market, was approximately $1.4 billion. The determination of affiliate status for purposes of calculating the aggregate market value of our voting stock held by non-affiliates is not necessarily a conclusive determination for other purposes.</w:t>
      </w:r>
    </w:p>
    <w:p>
      <w:pPr>
        <w:pStyle w:val="TextBody"/>
        <w:bidi w:val="0"/>
        <w:spacing w:lineRule="auto" w:line="288" w:before="120" w:after="120"/>
        <w:jc w:val="left"/>
        <w:rPr/>
      </w:pPr>
      <w:r>
        <w:rPr>
          <w:rFonts w:ascii="Work Sans;sans-serif" w:hAnsi="Work Sans;sans-serif"/>
          <w:b w:val="false"/>
          <w:color w:val="000000"/>
          <w:sz w:val="18"/>
        </w:rPr>
        <w:t>The registrant had outstanding 187,933,295 shares of common stock as of February 16, 2024</w:t>
      </w:r>
      <w:r>
        <w:rPr>
          <w:rFonts w:ascii="Work Sans;sans-serif" w:hAnsi="Work Sans;sans-serif"/>
          <w:b w:val="false"/>
          <w:color w:val="000000"/>
          <w:sz w:val="18"/>
          <w:shd w:fill="FFFFFF" w:val="clear"/>
        </w:rPr>
        <w:t>.</w:t>
      </w:r>
    </w:p>
    <w:p>
      <w:pPr>
        <w:pStyle w:val="TextBody"/>
        <w:bidi w:val="0"/>
        <w:spacing w:lineRule="auto" w:line="288" w:before="200" w:after="120"/>
        <w:jc w:val="center"/>
        <w:rPr>
          <w:rFonts w:ascii="Work Sans;sans-serif" w:hAnsi="Work Sans;sans-serif"/>
          <w:b w:val="false"/>
          <w:color w:val="000000"/>
          <w:sz w:val="18"/>
        </w:rPr>
      </w:pPr>
      <w:r>
        <w:rPr>
          <w:rFonts w:ascii="Work Sans;sans-serif" w:hAnsi="Work Sans;sans-serif"/>
          <w:b w:val="false"/>
          <w:color w:val="000000"/>
          <w:sz w:val="18"/>
        </w:rPr>
        <w:t>DOCUMENTS INCORPORATED BY REFERENCE</w:t>
      </w:r>
    </w:p>
    <w:p>
      <w:pPr>
        <w:pStyle w:val="TextBody"/>
        <w:bidi w:val="0"/>
        <w:spacing w:lineRule="auto" w:line="288" w:before="200" w:after="120"/>
        <w:jc w:val="left"/>
        <w:rPr>
          <w:rFonts w:ascii="Work Sans;sans-serif" w:hAnsi="Work Sans;sans-serif"/>
          <w:b w:val="false"/>
          <w:color w:val="000000"/>
          <w:sz w:val="18"/>
        </w:rPr>
      </w:pPr>
      <w:r>
        <w:rPr>
          <w:rFonts w:ascii="Work Sans;sans-serif" w:hAnsi="Work Sans;sans-serif"/>
          <w:b w:val="false"/>
          <w:color w:val="000000"/>
          <w:sz w:val="18"/>
        </w:rPr>
        <w:t>Portions of the Registrant’s Definitive Proxy Statement relating to its 2024 Annual Meeting of Stockholders are incorporated by reference into Part III of this Annual Report on Form 10-K to the extent stated herein. The Definitive Proxy Statement will be filed with the SEC within 120 days of the Registrant’s fiscal year ended December 31,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192b6c8a1a840ef9bcdc0117640117d_7">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0"/>
        <w:gridCol w:w="268"/>
        <w:gridCol w:w="269"/>
        <w:gridCol w:w="2959"/>
        <w:gridCol w:w="2898"/>
        <w:gridCol w:w="2902"/>
        <w:gridCol w:w="171"/>
        <w:gridCol w:w="171"/>
        <w:gridCol w:w="247"/>
      </w:tblGrid>
      <w:tr>
        <w:trPr/>
        <w:tc>
          <w:tcPr>
            <w:tcW w:w="3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6">
              <w:r>
                <w:rPr>
                  <w:rStyle w:val="InternetLink"/>
                  <w:rFonts w:ascii="Work Sans;sans-serif" w:hAnsi="Work Sans;sans-serif"/>
                  <w:b/>
                  <w:color w:val="0000FF"/>
                  <w:sz w:val="18"/>
                  <w:u w:val="single"/>
                </w:rPr>
                <w:t>Part 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9">
              <w:r>
                <w:rPr>
                  <w:rStyle w:val="InternetLink"/>
                  <w:rFonts w:ascii="Work Sans;sans-serif" w:hAnsi="Work Sans;sans-serif"/>
                  <w:b w:val="false"/>
                  <w:color w:val="0000FF"/>
                  <w:sz w:val="18"/>
                  <w:u w:val="single"/>
                </w:rPr>
                <w:t>Item 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19">
              <w:r>
                <w:rPr>
                  <w:rStyle w:val="InternetLink"/>
                  <w:rFonts w:ascii="Work Sans;sans-serif" w:hAnsi="Work Sans;sans-serif"/>
                  <w:b w:val="false"/>
                  <w:color w:val="0000FF"/>
                  <w:sz w:val="18"/>
                  <w:u w:val="single"/>
                </w:rPr>
                <w:t>Business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9">
              <w:r>
                <w:rPr>
                  <w:rStyle w:val="InternetLink"/>
                  <w:rFonts w:ascii="Work Sans;sans-serif" w:hAnsi="Work Sans;sans-serif"/>
                  <w:b w:val="false"/>
                  <w:color w:val="0000FF"/>
                  <w:sz w:val="18"/>
                  <w:u w:val="single"/>
                </w:rPr>
                <w:t>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2">
              <w:r>
                <w:rPr>
                  <w:rStyle w:val="InternetLink"/>
                  <w:rFonts w:ascii="Work Sans;sans-serif" w:hAnsi="Work Sans;sans-serif"/>
                  <w:b w:val="false"/>
                  <w:color w:val="0000FF"/>
                  <w:sz w:val="18"/>
                  <w:u w:val="single"/>
                </w:rPr>
                <w:t>Item 1A.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2">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2">
              <w:r>
                <w:rPr>
                  <w:rStyle w:val="InternetLink"/>
                  <w:rFonts w:ascii="Work Sans;sans-serif" w:hAnsi="Work Sans;sans-serif"/>
                  <w:b w:val="false"/>
                  <w:color w:val="0000FF"/>
                  <w:sz w:val="18"/>
                  <w:u w:val="single"/>
                </w:rPr>
                <w:t>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5">
              <w:r>
                <w:rPr>
                  <w:rStyle w:val="InternetLink"/>
                  <w:rFonts w:ascii="Work Sans;sans-serif" w:hAnsi="Work Sans;sans-serif"/>
                  <w:b w:val="false"/>
                  <w:color w:val="0000FF"/>
                  <w:sz w:val="18"/>
                  <w:u w:val="single"/>
                </w:rPr>
                <w:t>Item 1B.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5">
              <w:r>
                <w:rPr>
                  <w:rStyle w:val="InternetLink"/>
                  <w:rFonts w:ascii="Work Sans;sans-serif" w:hAnsi="Work Sans;sans-serif"/>
                  <w:b w:val="false"/>
                  <w:color w:val="0000FF"/>
                  <w:sz w:val="18"/>
                  <w:u w:val="single"/>
                </w:rPr>
                <w:t xml:space="preserve">Unresolved Staff Comments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5">
              <w:r>
                <w:rPr>
                  <w:rStyle w:val="InternetLink"/>
                  <w:rFonts w:ascii="Work Sans;sans-serif" w:hAnsi="Work Sans;sans-serif"/>
                  <w:b w:val="false"/>
                  <w:color w:val="0000FF"/>
                  <w:sz w:val="18"/>
                  <w:u w:val="single"/>
                </w:rPr>
                <w:t>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549755814746">
              <w:r>
                <w:rPr>
                  <w:rStyle w:val="InternetLink"/>
                  <w:rFonts w:ascii="Work Sans;sans-serif" w:hAnsi="Work Sans;sans-serif"/>
                  <w:b w:val="false"/>
                  <w:color w:val="0000FF"/>
                  <w:sz w:val="18"/>
                  <w:u w:val="single"/>
                </w:rPr>
                <w:t>Item 1C.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549755814746">
              <w:r>
                <w:rPr>
                  <w:rStyle w:val="InternetLink"/>
                  <w:rFonts w:ascii="Work Sans;sans-serif" w:hAnsi="Work Sans;sans-serif"/>
                  <w:b w:val="false"/>
                  <w:color w:val="0000FF"/>
                  <w:sz w:val="18"/>
                  <w:u w:val="single"/>
                </w:rPr>
                <w:t>Cybersecurity</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92b6c8a1a840ef9bcdc0117640117d_549755814746">
              <w:r>
                <w:rPr>
                  <w:rStyle w:val="InternetLink"/>
                  <w:rFonts w:ascii="Work Sans;sans-serif" w:hAnsi="Work Sans;sans-serif"/>
                  <w:b w:val="false"/>
                  <w:color w:val="0000FF"/>
                  <w:sz w:val="18"/>
                  <w:u w:val="single"/>
                </w:rPr>
                <w:t>30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8">
              <w:r>
                <w:rPr>
                  <w:rStyle w:val="InternetLink"/>
                  <w:rFonts w:ascii="Work Sans;sans-serif" w:hAnsi="Work Sans;sans-serif"/>
                  <w:b w:val="false"/>
                  <w:color w:val="0000FF"/>
                  <w:sz w:val="18"/>
                  <w:u w:val="single"/>
                </w:rPr>
                <w:t>Item 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8">
              <w:r>
                <w:rPr>
                  <w:rStyle w:val="InternetLink"/>
                  <w:rFonts w:ascii="Work Sans;sans-serif" w:hAnsi="Work Sans;sans-serif"/>
                  <w:b w:val="false"/>
                  <w:color w:val="0000FF"/>
                  <w:sz w:val="18"/>
                  <w:u w:val="single"/>
                </w:rPr>
                <w:t>Properties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8">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31">
              <w:r>
                <w:rPr>
                  <w:rStyle w:val="InternetLink"/>
                  <w:rFonts w:ascii="Work Sans;sans-serif" w:hAnsi="Work Sans;sans-serif"/>
                  <w:b w:val="false"/>
                  <w:color w:val="0000FF"/>
                  <w:sz w:val="18"/>
                  <w:u w:val="single"/>
                </w:rPr>
                <w:t>Item 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31">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31">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34">
              <w:r>
                <w:rPr>
                  <w:rStyle w:val="InternetLink"/>
                  <w:rFonts w:ascii="Work Sans;sans-serif" w:hAnsi="Work Sans;sans-serif"/>
                  <w:b w:val="false"/>
                  <w:color w:val="0000FF"/>
                  <w:sz w:val="18"/>
                  <w:u w:val="single"/>
                </w:rPr>
                <w:t>Item 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34">
              <w:r>
                <w:rPr>
                  <w:rStyle w:val="InternetLink"/>
                  <w:rFonts w:ascii="Work Sans;sans-serif" w:hAnsi="Work Sans;sans-serif"/>
                  <w:b w:val="false"/>
                  <w:color w:val="0000FF"/>
                  <w:sz w:val="18"/>
                  <w:u w:val="single"/>
                </w:rPr>
                <w:t xml:space="preserve">Mine Safety Disclosures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34">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37">
              <w:r>
                <w:rPr>
                  <w:rStyle w:val="InternetLink"/>
                  <w:rFonts w:ascii="Work Sans;sans-serif" w:hAnsi="Work Sans;sans-serif"/>
                  <w:b/>
                  <w:color w:val="0000FF"/>
                  <w:sz w:val="18"/>
                  <w:u w:val="single"/>
                </w:rPr>
                <w:t>Part 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40">
              <w:r>
                <w:rPr>
                  <w:rStyle w:val="InternetLink"/>
                  <w:rFonts w:ascii="Work Sans;sans-serif" w:hAnsi="Work Sans;sans-serif"/>
                  <w:b w:val="false"/>
                  <w:color w:val="0000FF"/>
                  <w:sz w:val="18"/>
                  <w:u w:val="single"/>
                </w:rPr>
                <w:t>Item 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0192b6c8a1a840ef9bcdc0117640117d_40">
              <w:r>
                <w:rPr>
                  <w:rStyle w:val="InternetLink"/>
                  <w:rFonts w:ascii="Work Sans;sans-serif" w:hAnsi="Work Sans;sans-serif"/>
                  <w:b w:val="false"/>
                  <w:color w:val="0000FF"/>
                  <w:sz w:val="18"/>
                  <w:u w:val="single"/>
                </w:rPr>
                <w:t>Market for Registrant's Common Equity, Related Stockholder Matters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40">
              <w:r>
                <w:rPr>
                  <w:rStyle w:val="InternetLink"/>
                  <w:rFonts w:ascii="Work Sans;sans-serif" w:hAnsi="Work Sans;sans-serif"/>
                  <w:b w:val="false"/>
                  <w:color w:val="0000FF"/>
                  <w:sz w:val="18"/>
                  <w:u w:val="single"/>
                </w:rPr>
                <w:t>32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43">
              <w:r>
                <w:rPr>
                  <w:rStyle w:val="InternetLink"/>
                  <w:rFonts w:ascii="Work Sans;sans-serif" w:hAnsi="Work Sans;sans-serif"/>
                  <w:b w:val="false"/>
                  <w:color w:val="0000FF"/>
                  <w:sz w:val="18"/>
                  <w:u w:val="single"/>
                </w:rPr>
                <w:t>Item 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ork Sans;sans-serif" w:hAnsi="Work Sans;sans-serif"/>
                <w:b w:val="false"/>
                <w:color w:val="000000"/>
                <w:sz w:val="18"/>
              </w:rPr>
              <w:t>[</w:t>
            </w:r>
            <w:hyperlink w:anchor="i0192b6c8a1a840ef9bcdc0117640117d_43">
              <w:r>
                <w:rPr>
                  <w:rStyle w:val="InternetLink"/>
                  <w:rFonts w:ascii="Work Sans;sans-serif" w:hAnsi="Work Sans;sans-serif"/>
                  <w:b w:val="false"/>
                  <w:color w:val="0000FF"/>
                  <w:sz w:val="18"/>
                  <w:u w:val="single"/>
                </w:rPr>
                <w:t>Reserved</w:t>
              </w:r>
            </w:hyperlink>
            <w:r>
              <w:rPr>
                <w:rFonts w:ascii="Work Sans;sans-serif" w:hAnsi="Work Sans;sans-serif"/>
                <w:b w:val="false"/>
                <w:color w:val="000000"/>
                <w:sz w:val="18"/>
              </w:rPr>
              <w:t>]</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43">
              <w:r>
                <w:rPr>
                  <w:rStyle w:val="InternetLink"/>
                  <w:rFonts w:ascii="Work Sans;sans-serif" w:hAnsi="Work Sans;sans-serif"/>
                  <w:b w:val="false"/>
                  <w:color w:val="0000FF"/>
                  <w:sz w:val="18"/>
                  <w:u w:val="singl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46">
              <w:r>
                <w:rPr>
                  <w:rStyle w:val="InternetLink"/>
                  <w:rFonts w:ascii="Work Sans;sans-serif" w:hAnsi="Work Sans;sans-serif"/>
                  <w:b w:val="false"/>
                  <w:color w:val="0000FF"/>
                  <w:sz w:val="18"/>
                  <w:u w:val="single"/>
                </w:rPr>
                <w:t>Item 7.</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46">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46">
              <w:r>
                <w:rPr>
                  <w:rStyle w:val="InternetLink"/>
                  <w:rFonts w:ascii="Work Sans;sans-serif" w:hAnsi="Work Sans;sans-serif"/>
                  <w:b w:val="false"/>
                  <w:color w:val="0000FF"/>
                  <w:sz w:val="18"/>
                  <w:u w:val="single"/>
                </w:rPr>
                <w:t>34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85">
              <w:r>
                <w:rPr>
                  <w:rStyle w:val="InternetLink"/>
                  <w:rFonts w:ascii="Work Sans;sans-serif" w:hAnsi="Work Sans;sans-serif"/>
                  <w:b w:val="false"/>
                  <w:color w:val="0000FF"/>
                  <w:sz w:val="18"/>
                  <w:u w:val="single"/>
                </w:rPr>
                <w:t>Item 7A.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85">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85">
              <w:r>
                <w:rPr>
                  <w:rStyle w:val="InternetLink"/>
                  <w:rFonts w:ascii="Work Sans;sans-serif" w:hAnsi="Work Sans;sans-serif"/>
                  <w:b w:val="false"/>
                  <w:color w:val="0000FF"/>
                  <w:sz w:val="18"/>
                  <w:u w:val="single"/>
                </w:rPr>
                <w:t>54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88">
              <w:r>
                <w:rPr>
                  <w:rStyle w:val="InternetLink"/>
                  <w:rFonts w:ascii="Work Sans;sans-serif" w:hAnsi="Work Sans;sans-serif"/>
                  <w:b w:val="false"/>
                  <w:color w:val="0000FF"/>
                  <w:sz w:val="18"/>
                  <w:u w:val="single"/>
                </w:rPr>
                <w:t>Item 8.</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88">
              <w:r>
                <w:rPr>
                  <w:rStyle w:val="InternetLink"/>
                  <w:rFonts w:ascii="Work Sans;sans-serif" w:hAnsi="Work Sans;sans-serif"/>
                  <w:b w:val="false"/>
                  <w:color w:val="0000FF"/>
                  <w:sz w:val="18"/>
                  <w:u w:val="single"/>
                </w:rPr>
                <w:t xml:space="preserve">Financial Statements and Supplementary Data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88">
              <w:r>
                <w:rPr>
                  <w:rStyle w:val="InternetLink"/>
                  <w:rFonts w:ascii="Work Sans;sans-serif" w:hAnsi="Work Sans;sans-serif"/>
                  <w:b w:val="false"/>
                  <w:color w:val="0000FF"/>
                  <w:sz w:val="18"/>
                  <w:u w:val="single"/>
                </w:rPr>
                <w:t>55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90">
              <w:r>
                <w:rPr>
                  <w:rStyle w:val="InternetLink"/>
                  <w:rFonts w:ascii="Work Sans;sans-serif" w:hAnsi="Work Sans;sans-serif"/>
                  <w:b w:val="false"/>
                  <w:color w:val="0000FF"/>
                  <w:sz w:val="18"/>
                  <w:u w:val="single"/>
                </w:rPr>
                <w:t>Item 9.</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190">
              <w:r>
                <w:rPr>
                  <w:rStyle w:val="InternetLink"/>
                  <w:rFonts w:ascii="Work Sans;sans-serif" w:hAnsi="Work Sans;sans-serif"/>
                  <w:b w:val="false"/>
                  <w:color w:val="0000FF"/>
                  <w:sz w:val="18"/>
                  <w:u w:val="single"/>
                </w:rPr>
                <w:t>Changes in and Disagreements With Accountants on Accounting and Financial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90">
              <w:r>
                <w:rPr>
                  <w:rStyle w:val="InternetLink"/>
                  <w:rFonts w:ascii="Work Sans;sans-serif" w:hAnsi="Work Sans;sans-serif"/>
                  <w:b w:val="false"/>
                  <w:color w:val="0000FF"/>
                  <w:sz w:val="18"/>
                  <w:u w:val="single"/>
                </w:rPr>
                <w:t>99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93">
              <w:r>
                <w:rPr>
                  <w:rStyle w:val="InternetLink"/>
                  <w:rFonts w:ascii="Work Sans;sans-serif" w:hAnsi="Work Sans;sans-serif"/>
                  <w:b w:val="false"/>
                  <w:color w:val="0000FF"/>
                  <w:sz w:val="18"/>
                  <w:u w:val="single"/>
                </w:rPr>
                <w:t>Item 9A.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193">
              <w:r>
                <w:rPr>
                  <w:rStyle w:val="InternetLink"/>
                  <w:rFonts w:ascii="Work Sans;sans-serif" w:hAnsi="Work Sans;sans-serif"/>
                  <w:b w:val="false"/>
                  <w:color w:val="0000FF"/>
                  <w:sz w:val="18"/>
                  <w:u w:val="single"/>
                </w:rPr>
                <w:t xml:space="preserve">Controls and Procedures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93">
              <w:r>
                <w:rPr>
                  <w:rStyle w:val="InternetLink"/>
                  <w:rFonts w:ascii="Work Sans;sans-serif" w:hAnsi="Work Sans;sans-serif"/>
                  <w:b w:val="false"/>
                  <w:color w:val="0000FF"/>
                  <w:sz w:val="18"/>
                  <w:u w:val="single"/>
                </w:rPr>
                <w:t>99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96">
              <w:r>
                <w:rPr>
                  <w:rStyle w:val="InternetLink"/>
                  <w:rFonts w:ascii="Work Sans;sans-serif" w:hAnsi="Work Sans;sans-serif"/>
                  <w:b w:val="false"/>
                  <w:color w:val="0000FF"/>
                  <w:sz w:val="18"/>
                  <w:u w:val="single"/>
                </w:rPr>
                <w:t>Item 9B.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196">
              <w:r>
                <w:rPr>
                  <w:rStyle w:val="InternetLink"/>
                  <w:rFonts w:ascii="Work Sans;sans-serif" w:hAnsi="Work Sans;sans-serif"/>
                  <w:b w:val="false"/>
                  <w:color w:val="0000FF"/>
                  <w:sz w:val="18"/>
                  <w:u w:val="single"/>
                </w:rPr>
                <w:t xml:space="preserve">Other Information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96">
              <w:r>
                <w:rPr>
                  <w:rStyle w:val="InternetLink"/>
                  <w:rFonts w:ascii="Work Sans;sans-serif" w:hAnsi="Work Sans;sans-serif"/>
                  <w:b w:val="false"/>
                  <w:color w:val="0000FF"/>
                  <w:sz w:val="18"/>
                  <w:u w:val="single"/>
                </w:rPr>
                <w:t>100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99">
              <w:r>
                <w:rPr>
                  <w:rStyle w:val="InternetLink"/>
                  <w:rFonts w:ascii="Work Sans;sans-serif" w:hAnsi="Work Sans;sans-serif"/>
                  <w:b w:val="false"/>
                  <w:color w:val="0000FF"/>
                  <w:sz w:val="18"/>
                  <w:u w:val="single"/>
                </w:rPr>
                <w:t>Item 9C.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199">
              <w:r>
                <w:rPr>
                  <w:rStyle w:val="InternetLink"/>
                  <w:rFonts w:ascii="Work Sans;sans-serif" w:hAnsi="Work Sans;sans-serif"/>
                  <w:b w:val="false"/>
                  <w:color w:val="0000FF"/>
                  <w:sz w:val="18"/>
                  <w:u w:val="single"/>
                </w:rPr>
                <w:t>Disclosure Regarding Foreign Jurisdictions that Prevent Inspections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99">
              <w:r>
                <w:rPr>
                  <w:rStyle w:val="InternetLink"/>
                  <w:rFonts w:ascii="Work Sans;sans-serif" w:hAnsi="Work Sans;sans-serif"/>
                  <w:b w:val="false"/>
                  <w:color w:val="0000FF"/>
                  <w:sz w:val="18"/>
                  <w:u w:val="single"/>
                </w:rPr>
                <w:t>100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02">
              <w:r>
                <w:rPr>
                  <w:rStyle w:val="InternetLink"/>
                  <w:rFonts w:ascii="Work Sans;sans-serif" w:hAnsi="Work Sans;sans-serif"/>
                  <w:b/>
                  <w:color w:val="0000FF"/>
                  <w:sz w:val="18"/>
                  <w:u w:val="single"/>
                </w:rPr>
                <w:t>Part III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05">
              <w:r>
                <w:rPr>
                  <w:rStyle w:val="InternetLink"/>
                  <w:rFonts w:ascii="Work Sans;sans-serif" w:hAnsi="Work Sans;sans-serif"/>
                  <w:b w:val="false"/>
                  <w:color w:val="0000FF"/>
                  <w:sz w:val="18"/>
                  <w:u w:val="single"/>
                </w:rPr>
                <w:t>Item 10.</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05">
              <w:r>
                <w:rPr>
                  <w:rStyle w:val="InternetLink"/>
                  <w:rFonts w:ascii="Work Sans;sans-serif" w:hAnsi="Work Sans;sans-serif"/>
                  <w:b w:val="false"/>
                  <w:color w:val="0000FF"/>
                  <w:sz w:val="18"/>
                  <w:u w:val="single"/>
                </w:rPr>
                <w:t>Directors, Executive Officers and Corporate Governance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05">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08">
              <w:r>
                <w:rPr>
                  <w:rStyle w:val="InternetLink"/>
                  <w:rFonts w:ascii="Work Sans;sans-serif" w:hAnsi="Work Sans;sans-serif"/>
                  <w:b w:val="false"/>
                  <w:color w:val="0000FF"/>
                  <w:sz w:val="18"/>
                  <w:u w:val="single"/>
                </w:rPr>
                <w:t>Item 11.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08">
              <w:r>
                <w:rPr>
                  <w:rStyle w:val="InternetLink"/>
                  <w:rFonts w:ascii="Work Sans;sans-serif" w:hAnsi="Work Sans;sans-serif"/>
                  <w:b w:val="false"/>
                  <w:color w:val="0000FF"/>
                  <w:sz w:val="18"/>
                  <w:u w:val="single"/>
                </w:rPr>
                <w:t>Executive Compensation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08">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11">
              <w:r>
                <w:rPr>
                  <w:rStyle w:val="InternetLink"/>
                  <w:rFonts w:ascii="Work Sans;sans-serif" w:hAnsi="Work Sans;sans-serif"/>
                  <w:b w:val="false"/>
                  <w:color w:val="0000FF"/>
                  <w:sz w:val="18"/>
                  <w:u w:val="single"/>
                </w:rPr>
                <w:t>Item 12.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0192b6c8a1a840ef9bcdc0117640117d_211">
              <w:r>
                <w:rPr>
                  <w:rStyle w:val="InternetLink"/>
                  <w:rFonts w:ascii="Work Sans;sans-serif" w:hAnsi="Work Sans;sans-serif"/>
                  <w:b w:val="false"/>
                  <w:color w:val="0000FF"/>
                  <w:sz w:val="18"/>
                  <w:u w:val="single"/>
                </w:rPr>
                <w:t>Security Ownership of Certain Beneficial Owners and Management and Related Stockholder Matters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11">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14">
              <w:r>
                <w:rPr>
                  <w:rStyle w:val="InternetLink"/>
                  <w:rFonts w:ascii="Work Sans;sans-serif" w:hAnsi="Work Sans;sans-serif"/>
                  <w:b w:val="false"/>
                  <w:color w:val="0000FF"/>
                  <w:sz w:val="18"/>
                  <w:u w:val="single"/>
                </w:rPr>
                <w:t>Item 13.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14">
              <w:r>
                <w:rPr>
                  <w:rStyle w:val="InternetLink"/>
                  <w:rFonts w:ascii="Work Sans;sans-serif" w:hAnsi="Work Sans;sans-serif"/>
                  <w:b w:val="false"/>
                  <w:color w:val="0000FF"/>
                  <w:sz w:val="18"/>
                  <w:u w:val="single"/>
                </w:rPr>
                <w:t>Certain Relationships and Related Transactions, and Director Independence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14">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17">
              <w:r>
                <w:rPr>
                  <w:rStyle w:val="InternetLink"/>
                  <w:rFonts w:ascii="Work Sans;sans-serif" w:hAnsi="Work Sans;sans-serif"/>
                  <w:b w:val="false"/>
                  <w:color w:val="0000FF"/>
                  <w:sz w:val="18"/>
                  <w:u w:val="single"/>
                </w:rPr>
                <w:t>Item 14.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17">
              <w:r>
                <w:rPr>
                  <w:rStyle w:val="InternetLink"/>
                  <w:rFonts w:ascii="Work Sans;sans-serif" w:hAnsi="Work Sans;sans-serif"/>
                  <w:b w:val="false"/>
                  <w:color w:val="0000FF"/>
                  <w:sz w:val="18"/>
                  <w:u w:val="single"/>
                </w:rPr>
                <w:t>Principal Accountant Fees and Services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17">
              <w:r>
                <w:rPr>
                  <w:rStyle w:val="InternetLink"/>
                  <w:rFonts w:ascii="Work Sans;sans-serif" w:hAnsi="Work Sans;sans-serif"/>
                  <w:b w:val="false"/>
                  <w:color w:val="0000FF"/>
                  <w:sz w:val="18"/>
                  <w:u w:val="single"/>
                </w:rPr>
                <w:t>101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20">
              <w:r>
                <w:rPr>
                  <w:rStyle w:val="InternetLink"/>
                  <w:rFonts w:ascii="Work Sans;sans-serif" w:hAnsi="Work Sans;sans-serif"/>
                  <w:b/>
                  <w:color w:val="0000FF"/>
                  <w:sz w:val="18"/>
                  <w:u w:val="single"/>
                </w:rPr>
                <w:t>PART IV</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23">
              <w:r>
                <w:rPr>
                  <w:rStyle w:val="InternetLink"/>
                  <w:rFonts w:ascii="Work Sans;sans-serif" w:hAnsi="Work Sans;sans-serif"/>
                  <w:b w:val="false"/>
                  <w:color w:val="0000FF"/>
                  <w:sz w:val="18"/>
                  <w:u w:val="single"/>
                </w:rPr>
                <w:t>Item 15.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23">
              <w:r>
                <w:rPr>
                  <w:rStyle w:val="InternetLink"/>
                  <w:rFonts w:ascii="Work Sans;sans-serif" w:hAnsi="Work Sans;sans-serif"/>
                  <w:b w:val="false"/>
                  <w:color w:val="0000FF"/>
                  <w:sz w:val="18"/>
                  <w:u w:val="single"/>
                </w:rPr>
                <w:t>Exhibits and Financial Statement Schedules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23">
              <w:r>
                <w:rPr>
                  <w:rStyle w:val="InternetLink"/>
                  <w:rFonts w:ascii="Work Sans;sans-serif" w:hAnsi="Work Sans;sans-serif"/>
                  <w:b w:val="false"/>
                  <w:color w:val="0000FF"/>
                  <w:sz w:val="18"/>
                  <w:u w:val="single"/>
                </w:rPr>
                <w:t>102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226">
              <w:r>
                <w:rPr>
                  <w:rStyle w:val="InternetLink"/>
                  <w:rFonts w:ascii="Work Sans;sans-serif" w:hAnsi="Work Sans;sans-serif"/>
                  <w:b w:val="false"/>
                  <w:color w:val="0000FF"/>
                  <w:sz w:val="18"/>
                  <w:u w:val="single"/>
                </w:rPr>
                <w:t>Item 16.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26">
              <w:r>
                <w:rPr>
                  <w:rStyle w:val="InternetLink"/>
                  <w:rFonts w:ascii="Work Sans;sans-serif" w:hAnsi="Work Sans;sans-serif"/>
                  <w:b w:val="false"/>
                  <w:color w:val="0000FF"/>
                  <w:sz w:val="18"/>
                  <w:u w:val="single"/>
                </w:rPr>
                <w:t>Form 10-K Summary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26">
              <w:r>
                <w:rPr>
                  <w:rStyle w:val="InternetLink"/>
                  <w:rFonts w:ascii="Work Sans;sans-serif" w:hAnsi="Work Sans;sans-serif"/>
                  <w:b w:val="false"/>
                  <w:color w:val="0000FF"/>
                  <w:sz w:val="18"/>
                  <w:u w:val="single"/>
                </w:rPr>
                <w:t>103</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192b6c8a1a840ef9bcdc0117640117d_229">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229">
              <w:r>
                <w:rPr>
                  <w:rStyle w:val="InternetLink"/>
                  <w:rFonts w:ascii="Work Sans;sans-serif" w:hAnsi="Work Sans;sans-serif"/>
                  <w:b w:val="false"/>
                  <w:color w:val="0000FF"/>
                  <w:sz w:val="18"/>
                  <w:u w:val="single"/>
                </w:rPr>
                <w:t>104</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2"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v:textbox>
                <w10:wrap type="none"/>
              </v:rect>
            </w:pict>
          </mc:Fallback>
        </mc:AlternateContent>
      </w:r>
    </w:p>
    <w:p>
      <w:pPr>
        <w:pStyle w:val="TextBody"/>
        <w:bidi w:val="0"/>
        <w:spacing w:lineRule="auto" w:line="288" w:before="0" w:after="0"/>
        <w:jc w:val="left"/>
        <w:rPr/>
      </w:pPr>
      <w:hyperlink w:anchor="i0192b6c8a1a840ef9bcdc0117640117d_7">
        <w:r>
          <w:rPr>
            <w:rStyle w:val="InternetLink"/>
            <w:rFonts w:ascii="Work Sans;sans-serif" w:hAnsi="Work Sans;sans-serif"/>
            <w:b w:val="false"/>
            <w:color w:val="0000FF"/>
            <w:sz w:val="18"/>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w:t>
      </w:r>
      <w:r>
        <w:rPr>
          <w:rFonts w:ascii="Work Sans;sans-serif" w:hAnsi="Work Sans;sans-serif"/>
          <w:b w:val="false"/>
          <w:color w:val="000000"/>
          <w:sz w:val="18"/>
          <w:shd w:fill="FFFFFF" w:val="clear"/>
        </w:rPr>
        <w:t xml:space="preserve">below under “Summary of Risk Factors” and </w:t>
      </w:r>
      <w:r>
        <w:rPr>
          <w:rFonts w:ascii="Work Sans;sans-serif" w:hAnsi="Work Sans;sans-serif"/>
          <w:b w:val="false"/>
          <w:color w:val="000000"/>
          <w:sz w:val="18"/>
        </w:rPr>
        <w:t>in Part I, Item 1A, “Risk Factors” in this Annual Report on Form 10-K for the year ended December 31, 2023</w:t>
      </w:r>
      <w:r>
        <w:rPr>
          <w:rFonts w:ascii="Work Sans;sans-serif" w:hAnsi="Work Sans;sans-serif"/>
          <w:b w:val="false"/>
          <w:color w:val="000000"/>
          <w:sz w:val="18"/>
          <w:shd w:fill="FFFFFF" w:val="clear"/>
        </w:rPr>
        <w:t>, as well as those factors contained in our subsequent filings with the Securities and Exchange Commission, or SEC</w:t>
      </w:r>
      <w:r>
        <w:rPr>
          <w:rFonts w:ascii="Work Sans;sans-serif" w:hAnsi="Work Sans;sans-serif"/>
          <w:b w:val="false"/>
          <w:color w:val="000000"/>
          <w:sz w:val="18"/>
        </w:rPr>
        <w:t>.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Annual Report on Form 10-K and the documents that we reference herein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Annual Report on Form 10-K,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 Item 1A, “Risk Factors” in this Annual Report on Form 10-K prior to making an investment in our common stock. These risks include, but are not limited to, the following:</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 and fluctuations or declines in the number of business formations may adversely affect our business.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depends substantially on our customers expanding the use of our platform, including converting our transactional customers to subscribers and our subscribers renewing their subscriptions with us.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recent growth may not be indicative of our future growth and, if we continue to grow, we may not be able to manage our growth effectively.</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customer care and customer experience and add new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v:textbox>
                <w10:wrap type="none"/>
              </v:rect>
            </w:pict>
          </mc:Fallback>
        </mc:AlternateContent>
      </w:r>
    </w:p>
    <w:p>
      <w:pPr>
        <w:pStyle w:val="TextBody"/>
        <w:bidi w:val="0"/>
        <w:spacing w:lineRule="auto" w:line="288" w:before="0" w:after="0"/>
        <w:jc w:val="left"/>
        <w:rPr/>
      </w:pPr>
      <w:hyperlink w:anchor="i0192b6c8a1a840ef9bcdc0117640117d_7">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are incorporating generative artificial intelligence into some of our products, which may present compliance risks and reputational risks.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would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reliance on third party providers could adversely affect our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Item 1. Business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business formation in the United States, or U.S.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Driven by a mission to unleash entrepreneurship, we deliver comprehensive legal, tax, accounting and compliance products and expertise to millions of small business owners and their families through easy-to-use technology. We operate across all 50 states and in over 3,000 counties in the U.S., with over two decades of experience in simplifying the legal and compliance process for our customers and empowering entrepreneurs with services that help to make their dream a reality.</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The LegalZoom Ecosystem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Millions of people in the U.S. start small businesses every year. Many small businesses operate without forming a legal entity, unintentionally introducing financial risk to the owners’ personal assets. The businesses that recognize that risk upfront often struggle to address it. Once they understand the need to be protected, they often do not know what to do, where to turn or how much it will cost to get help. Further, even when formed properly, small businesses often fail to comply with ongoing compliance requirements, thereby reintroducing personal liability or facing significant financial and operational risk. These difficulties are becoming more acute as the number of U.S. business formations increases, driven by various macroeconomic factors such as the rise of the gig economy and remote work, accentuating the need for a trusted, cost-effective, digital-first and simple formation and compliance solution. </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customer funnel. </w:t>
      </w:r>
      <w:r>
        <w:rPr>
          <w:rFonts w:ascii="Work Sans;sans-serif" w:hAnsi="Work Sans;sans-serif"/>
          <w:b w:val="false"/>
          <w:color w:val="000000"/>
          <w:sz w:val="18"/>
        </w:rPr>
        <w:t>We believe we earn small businesses’ trust and drive significant organic traffic through our brand name recognition and reputation, as well as our free proprietary educational content, which is often our first interaction with a potential customer. This content includes our Article Center and free access to over 160 attorney-drafted forms. From there, our small business customers’ initial purchase is typically a business formation product that streamlines the process of starting a business. As of December 31, 2023, we had formed over 4.1 million businesses since our inception. Our position at business formation gives us unparalleled knowledge of our customers’ needs, often times prior to the business being operational or discoverable by other service providers. We leverage this valuable knowledge and our position as a small business’ first advisor to introduce our customers to the most relevant business solutions to help them manage other aspects of their business. As a result, our customers often purchase a mix of transaction and subscription offerings alongside and after the initial formation transaction in order to solve additional legal, compliance and business management needs, deepening our relationship with our customers. For example, after forming their business entity, our customers can opt to register their company name and/or logo as a trademark or sign up for a business advisory subscription to receive additional legal support for their small business needs. Additionally, as forming a company is an important life event, some of our small business customers opt to purchase an estate plan offering when they form their company. The recurring revenue gained through subscription services and additional purchases from existing customers during the lifecycle of their business allows us to increase customer lifetime value. See below under “Our Products and Services” for additional information regarding our transaction products and subscription offerings.</w:t>
      </w:r>
    </w:p>
    <w:p>
      <w:pPr>
        <w:pStyle w:val="TextBody"/>
        <w:bidi w:val="0"/>
        <w:spacing w:lineRule="auto" w:line="288" w:before="120" w:after="120"/>
        <w:ind w:left="0" w:right="0" w:firstLine="450"/>
        <w:jc w:val="left"/>
        <w:rPr/>
      </w:pPr>
      <w:r>
        <w:rPr>
          <w:rFonts w:ascii="Work Sans;sans-serif" w:hAnsi="Work Sans;sans-serif"/>
          <w:b/>
          <w:i/>
          <w:color w:val="000000"/>
          <w:sz w:val="18"/>
        </w:rPr>
        <w:t>Our technology platform.</w:t>
      </w:r>
      <w:r>
        <w:rPr>
          <w:color w:val="000000"/>
        </w:rPr>
        <w:t xml:space="preserve"> </w:t>
      </w:r>
      <w:r>
        <w:rPr>
          <w:rFonts w:ascii="Work Sans;sans-serif" w:hAnsi="Work Sans;sans-serif"/>
          <w:b w:val="false"/>
          <w:color w:val="000000"/>
          <w:sz w:val="18"/>
        </w:rPr>
        <w:t>Our technology platform combines the power of technology and people to demystify and simplify complicated processes, creating user-friendly experiences for our customers. Our proprietary technology enables us to automate many complex legal and compliance processes, allowing us to offer solutions at transparent, flat-fee prices that are at a significant discount to traditional offline alternatives. While the majority of our customers complete these transactions without human assistance, many prefer to have some guidance through the process. The combination of technology and people is at the heart of our customer experience. See below under “Our Technology” for additional information.</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experts. </w:t>
      </w:r>
      <w:r>
        <w:rPr>
          <w:rFonts w:ascii="Work Sans;sans-serif" w:hAnsi="Work Sans;sans-serif"/>
          <w:b w:val="false"/>
          <w:color w:val="000000"/>
          <w:sz w:val="18"/>
        </w:rPr>
        <w:t xml:space="preserve">We offer customers ongoing access to experts to help handle complex matters, including through a network of independent law firms and an in-house team of certified public accountants, or CPAs, and enrolled agents. As of December 31, 2023, we had over 1,000 attorneys in our independent attorney network. Our independent attorney network provides customers access to attorneys licensed in their jurisdiction and experienced in the types of legal matters that impact small businesses at a significant discount to traditional offline alternatives. Our attorneys benefit from participating in our network as we handle the customer lead generation, as well as the scheduling and billing of the initial customer consultation. From there, the initial customer consultation serves as a platform for business development, where the participating attorney can offer to provide billable legal services to our customers at discounted rates. In addition, participating law firms can leverage our brand awareness, as well as the customer feedback and testimonials, to market their own practice.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have an in-house team of CPAs and enrolled agents that are critical to our tax offerings. We offer our customers access to this in-house team of CPAs and enrolled agents to provide tax preparation and filing support for federal and state returns.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since September 2021, one of our U.S. subsidiaries operates as an alternative business structure, or ABS, in Arizona, which allows us to provide cost-effective legal services to our customers. Currently, our ABS primarily supports our intellectual property business, and its experienced attorneys help guide customers through the trademark registration process. During the year ended December 31, 2023, our ABS attorneys filed over 14,000 trademark applications with the U.S. Patent and Trademark Office.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legal and tax services are provided across all 50 states in the U.S.</w:t>
      </w:r>
    </w:p>
    <w:p>
      <w:pPr>
        <w:pStyle w:val="TextBody"/>
        <w:bidi w:val="0"/>
        <w:spacing w:lineRule="auto" w:line="288" w:before="0" w:after="120"/>
        <w:ind w:left="0" w:right="0" w:firstLine="450"/>
        <w:jc w:val="left"/>
        <w:rPr/>
      </w:pPr>
      <w:r>
        <w:rPr>
          <w:rFonts w:ascii="Work Sans;sans-serif" w:hAnsi="Work Sans;sans-serif"/>
          <w:b/>
          <w:i/>
          <w:color w:val="000000"/>
          <w:sz w:val="18"/>
        </w:rPr>
        <w:t xml:space="preserve">Our partners. </w:t>
      </w:r>
      <w:r>
        <w:rPr>
          <w:rFonts w:ascii="Work Sans;sans-serif" w:hAnsi="Work Sans;sans-serif"/>
          <w:b w:val="false"/>
          <w:color w:val="000000"/>
          <w:sz w:val="18"/>
        </w:rPr>
        <w:t>We have insights into our customers and leverage our product as a channel to introduce small businesses to a variety of third party partners in our partner ecosystem. Our third party partners are leading providers of complementary small business services that extend beyond our core offerings such as banking, credit cards, website design, and payment processing, among others.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Competition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very competitive industry, and the competitive landscape in which we operate is constantly evolving as we move into new markets and expand our ecosystem. As a result, we compete with a variety of companies and government entities, including the following: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online business formation providers and registered agent service providers;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traditional offline law firms and solo attorneys, online legal document services and secretaries of state;</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accounting and tax firms and other tax preparation and filing service providers; and</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large platform companies that could develop competing technology solutions to address the needs of our small business or consumer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Law firms and solo attorneys, who provide in-person consultations, are able to provide direct legal advice that we generally cannot offer due to laws and regulations regarding the unauthorized practice of law, or UPL. However, our ABS in Arizona is allowed to provide independent legal advice to our customers and, as a result, can compete directly with traditional offline law firms and solo attorneys. In addition, there are structural impediments that make it difficult for traditional offline attorneys to adapt to technology advancements and consumer behaviors. While service industries like accounting, tax, marketing and payments have rapidly transitioned online, legal offerings largely remain offline and online adoption of legal services lags behind other comparable industries. However, some traditional offline attorneys have developed and may continue to develop competing online legal services.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to face increasing competition from offline and online service providers in our markets. For example, in recent years, we, along with some of our online competitors, began to target more price conscious customers by offering business formation transactions at little or no charge while cross-selling compliance and other business services. Our failure to effectively compete with our competitors could result in lower revenue, reduced margins, and loss of market share, any of which could materially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the primary competitive factors on which we compete include ease of use, breadth of offerings, brand name recognition, reputation, price, quality and customer service. We believe we compare favorably on all these bases and our ability to remain competitive will largely depend on our ongoing performance in these areas.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in the early stages of penetrating and growing the online market for legal, compliance and business management solutions. We aim to continue to grow our customer base and retain and expand our customer relationships with the following strategies:</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Scale the business. </w:t>
      </w:r>
      <w:r>
        <w:rPr>
          <w:rFonts w:ascii="Work Sans;sans-serif" w:hAnsi="Work Sans;sans-serif"/>
          <w:b w:val="false"/>
          <w:color w:val="000000"/>
          <w:sz w:val="18"/>
        </w:rPr>
        <w:t>We continue to grow the top of our customer funnel in order to expand our customer base. To broaden the top of our customer funnel, we have introduced and may continue to introduce lower-priced products and services targeting more price conscious customers. We intend to maintain our brand leadership by delivering a quality product and user experience, leveraging our strong brand awareness and lower-priced offerings to drive traffic to our website and through targeted marketing investments. As we attract more visitors to our website, we believe that we have a large opportunity to increase conversion of prospects into customers. We will also continue to invest in further improving our customer experience, such as upgrading our mobile experience, in order to reduce friction and increase conversion across our existing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pPr>
      <w:r>
        <w:rPr>
          <w:rFonts w:ascii="Work Sans;sans-serif" w:hAnsi="Work Sans;sans-serif"/>
          <w:b/>
          <w:i/>
          <w:color w:val="000000"/>
          <w:sz w:val="18"/>
        </w:rPr>
        <w:t>Build a business ecosystem</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As we innovate for small businesses, we aim to become their trusted partner during all stages of their business lifecycle. We intend to provide more value to our customers during and post-formation by continuing to expand our ecosystem to include business management solutions that keep small businesses compliant, protected and financially organized. Our strategy is focused on broadening our portfolio of new products and services and strategically deepening customer relationships, including in ways that will increase our recurring revenue through subscription offerings. Since our initial public offering in June 2021, we have integrated five new services into our ecosystem: our LZ Tax subscription service in July 2021, our LZ Virtual Mail subscription service in October 2022, an eSignature subscription service in April 2023, our LZ Books accounting solution subscription in August 2023 and a business licenses offering in November 2023. As we grow our ecosystem, we aim to continue to improve the lifetime value of our customers by maintaining ongoing engagement post-formation and cross-selling our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will also continue to strategically partner with leading brands that can improve our partner ecosystem by offering small business solutions outside of our core offerings. </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Integrate experts. </w:t>
      </w:r>
      <w:r>
        <w:rPr>
          <w:rFonts w:ascii="Work Sans;sans-serif" w:hAnsi="Work Sans;sans-serif"/>
          <w:b w:val="false"/>
          <w:color w:val="000000"/>
          <w:sz w:val="18"/>
        </w:rPr>
        <w:t>We aim to provide our customers affordable access to expert advice. Our expert offerings are higher-cost services that provide professional expertise to our customers as they navigate complicated legal and compliance processes. Our expert offerings include attorney and CPA “assisted” solutions alongside our “do it yourself” offerings for legal, compliance and tax and personal needs. We intend to continue to expand our professional-assisted offerings to complement our technology-enabled solutions and provide more value-added services to both our consumer and small business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aim to increase the consumption of our expert offerings by existing customers through targeted cross-selling and promotion of our products, as well as by improving the platforms through which our customers and experts interact. We also aim to attract new customers to our expert offerings by enhancing and creating new top of funnel entry points to these offerings. For example, our proprietary patent-pending artificial intelligence-powered document summarization tool, Doc Assist, and our newly revamped library of attorney vetted legal forms help drive traffic to our website and promote our expert offerings.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Products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transaction products and subscription services are designed to support the legal, compliance, and business management needs of small businesses and consumers. </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Transaction products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transaction products are listed in the following table:</w:t>
      </w:r>
    </w:p>
    <w:tbl>
      <w:tblPr>
        <w:tblW w:w="8816" w:type="dxa"/>
        <w:jc w:val="left"/>
        <w:tblInd w:w="0" w:type="dxa"/>
        <w:tblLayout w:type="fixed"/>
        <w:tblCellMar>
          <w:top w:w="28" w:type="dxa"/>
          <w:left w:w="28" w:type="dxa"/>
          <w:bottom w:w="28" w:type="dxa"/>
          <w:right w:w="28" w:type="dxa"/>
        </w:tblCellMar>
      </w:tblPr>
      <w:tblGrid>
        <w:gridCol w:w="1612"/>
        <w:gridCol w:w="1420"/>
        <w:gridCol w:w="1423"/>
        <w:gridCol w:w="109"/>
        <w:gridCol w:w="109"/>
        <w:gridCol w:w="109"/>
        <w:gridCol w:w="1179"/>
        <w:gridCol w:w="1179"/>
        <w:gridCol w:w="1676"/>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Transaction Products for Small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ork Sans;sans-serif" w:hAnsi="Work Sans;sans-serif"/>
                <w:b/>
                <w:color w:val="000000"/>
                <w:sz w:val="18"/>
              </w:rPr>
            </w:pPr>
            <w:r>
              <w:rPr>
                <w:rFonts w:ascii="Work Sans;sans-serif" w:hAnsi="Work Sans;sans-serif"/>
                <w:b/>
                <w:color w:val="000000"/>
                <w:sz w:val="18"/>
              </w:rPr>
              <w:t>Transaction Products for Consumers</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color w:val="000000"/>
                <w:sz w:val="18"/>
              </w:rPr>
            </w:pPr>
            <w:r>
              <w:rPr>
                <w:rFonts w:ascii="Work Sans;sans-serif" w:hAnsi="Work Sans;sans-serif"/>
                <w:b/>
                <w:color w:val="000000"/>
                <w:sz w:val="18"/>
              </w:rPr>
              <w:t>Business Formation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Limited Liability Company, or LLC </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Incorporation of C and S Corporations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Nonprofit Formation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Doing-Business-As, or DBA</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Corporate Changes and Filings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Business Licenses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Legal Forms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Beneficial Ownership Information Report</w:t>
            </w:r>
          </w:p>
          <w:p>
            <w:pPr>
              <w:pStyle w:val="TableContents"/>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Intellectual Property</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Trademark Application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Copyright Registration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Patent Application</w:t>
            </w:r>
          </w:p>
          <w:p>
            <w:pPr>
              <w:pStyle w:val="TableContents"/>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Tax Services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Business and Personal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Consumer, Estate Planning and Other</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Last Will and Testament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Will</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Trust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Power of Attorney</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Name Change</w:t>
            </w:r>
          </w:p>
          <w:p>
            <w:pPr>
              <w:pStyle w:val="TableContents"/>
              <w:bidi w:val="0"/>
              <w:spacing w:before="360" w:after="283"/>
              <w:jc w:val="left"/>
              <w:rPr/>
            </w:pPr>
            <w:r>
              <w:rPr/>
            </w:r>
          </w:p>
        </w:tc>
      </w:tr>
    </w:tbl>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Subscription services</w:t>
      </w:r>
    </w:p>
    <w:p>
      <w:pPr>
        <w:pStyle w:val="TextBody"/>
        <w:bidi w:val="0"/>
        <w:spacing w:lineRule="auto" w:line="288" w:before="240" w:after="120"/>
        <w:ind w:left="0" w:right="0" w:firstLine="450"/>
        <w:jc w:val="left"/>
        <w:rPr/>
      </w:pPr>
      <w:r>
        <w:rPr>
          <w:rFonts w:ascii="Work Sans;sans-serif" w:hAnsi="Work Sans;sans-serif"/>
          <w:b w:val="false"/>
          <w:color w:val="000000"/>
          <w:sz w:val="18"/>
        </w:rPr>
        <w:t>At December 31, 2023, we h</w:t>
      </w:r>
      <w:r>
        <w:rPr>
          <w:rFonts w:ascii="Work Sans;sans-serif" w:hAnsi="Work Sans;sans-serif"/>
          <w:b w:val="false"/>
          <w:color w:val="000000"/>
          <w:sz w:val="18"/>
          <w:shd w:fill="FFFFFF" w:val="clear"/>
        </w:rPr>
        <w:t>ad over 1.5 million subscription</w:t>
      </w:r>
      <w:r>
        <w:rPr>
          <w:color w:val="000000"/>
        </w:rPr>
        <w:t xml:space="preserve"> </w:t>
      </w:r>
      <w:r>
        <w:rPr>
          <w:rFonts w:ascii="Work Sans;sans-serif" w:hAnsi="Work Sans;sans-serif"/>
          <w:b w:val="false"/>
          <w:color w:val="000000"/>
          <w:sz w:val="18"/>
        </w:rPr>
        <w:t xml:space="preserve">units outstanding. Our subscription agreements generally have annual terms, while some have monthly terms. Our primary subscription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are listed in the following table, and a more detailed description of certain of our subscription services is provided below:</w:t>
      </w:r>
    </w:p>
    <w:tbl>
      <w:tblPr>
        <w:tblW w:w="7916" w:type="dxa"/>
        <w:jc w:val="left"/>
        <w:tblInd w:w="0" w:type="dxa"/>
        <w:tblLayout w:type="fixed"/>
        <w:tblCellMar>
          <w:top w:w="28" w:type="dxa"/>
          <w:left w:w="28" w:type="dxa"/>
          <w:bottom w:w="28" w:type="dxa"/>
          <w:right w:w="28" w:type="dxa"/>
        </w:tblCellMar>
      </w:tblPr>
      <w:tblGrid>
        <w:gridCol w:w="1371"/>
        <w:gridCol w:w="1202"/>
        <w:gridCol w:w="1207"/>
        <w:gridCol w:w="109"/>
        <w:gridCol w:w="109"/>
        <w:gridCol w:w="109"/>
        <w:gridCol w:w="1115"/>
        <w:gridCol w:w="1115"/>
        <w:gridCol w:w="1579"/>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Small Business Subscriptions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Consumer Subscriptions</w:t>
            </w:r>
          </w:p>
        </w:tc>
      </w:tr>
      <w:tr>
        <w:trPr/>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Registered Agent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Compliance</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Attorney Advice through our Legal Plans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Tax Advice &amp; Preparation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Accounting</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eSignature</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Legal Forms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Virtual Mail and Check Deposit Services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Trademark Monitoring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Attorney Advice through our Legal Plans</w:t>
              <w:br/>
              <w:t>Estate Planning Bundle</w:t>
              <w:br/>
              <w:t>Legal Forms</w:t>
              <w:br/>
              <w:t>Virtual Mail and Check Deposit Services</w:t>
            </w:r>
          </w:p>
        </w:tc>
      </w:tr>
    </w:tbl>
    <w:p>
      <w:pPr>
        <w:pStyle w:val="TextBody"/>
        <w:bidi w:val="0"/>
        <w:spacing w:lineRule="auto" w:line="288" w:before="120" w:after="120"/>
        <w:ind w:left="0" w:right="0" w:firstLine="450"/>
        <w:jc w:val="left"/>
        <w:rPr/>
      </w:pPr>
      <w:r>
        <w:rPr>
          <w:rFonts w:ascii="Work Sans;sans-serif" w:hAnsi="Work Sans;sans-serif"/>
          <w:b w:val="false"/>
          <w:i/>
          <w:color w:val="000000"/>
          <w:sz w:val="18"/>
        </w:rPr>
        <w:t>Registered agent subscriptions</w:t>
      </w:r>
      <w:r>
        <w:rPr>
          <w:rFonts w:ascii="Work Sans;sans-serif" w:hAnsi="Work Sans;sans-serif"/>
          <w:b w:val="false"/>
          <w:color w:val="000000"/>
          <w:sz w:val="18"/>
        </w:rPr>
        <w:t>. In most states, small businesses are required to have a registered agent, which generally must be an adult or an authorized business that can receive mail or hand-delivered court documents at a physical address during normal business hours. This requirement can be burdensome for many small businesses to handle on their own. With our registered agent subscription, we serve as our customer’s registered agent: accepting their documents through the mail, digitizing critical business documents, and alerting them of critical business documents or notices. This serves to help them adhere to critical tax and annual report deadlines, among other benefits. During the year ended December 31, 2023, we had staffed registered agent locations covering all 50 states.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Compliance subscriptions</w:t>
      </w:r>
      <w:r>
        <w:rPr>
          <w:rFonts w:ascii="Work Sans;sans-serif" w:hAnsi="Work Sans;sans-serif"/>
          <w:b w:val="false"/>
          <w:color w:val="000000"/>
          <w:sz w:val="18"/>
        </w:rPr>
        <w:t>. Our compliance subscriptions provide assistance with state-mandated regulatory filings, such as corporate annual reports that are required to keep a business entity in good standing, as well as certain federally-mandated filings, such as the beneficial ownership information report required as of January 2024 by the U.S. Federal Crimes Enforcement Network. These compliance subscription plans also monitor the status of our customers’ businesses with certain state agencies to help customers stay abreast of important deadlines and to provide alerts to notify them if their business falls out of good standing.</w:t>
      </w:r>
    </w:p>
    <w:p>
      <w:pPr>
        <w:pStyle w:val="TextBody"/>
        <w:bidi w:val="0"/>
        <w:spacing w:lineRule="auto" w:line="288" w:before="120" w:after="120"/>
        <w:ind w:left="0" w:right="0" w:firstLine="450"/>
        <w:jc w:val="left"/>
        <w:rPr/>
      </w:pPr>
      <w:r>
        <w:rPr>
          <w:rFonts w:ascii="Work Sans;sans-serif" w:hAnsi="Work Sans;sans-serif"/>
          <w:b w:val="false"/>
          <w:i/>
          <w:color w:val="000000"/>
          <w:sz w:val="18"/>
        </w:rPr>
        <w:t>Attorney advice subscriptions</w:t>
      </w:r>
      <w:r>
        <w:rPr>
          <w:rFonts w:ascii="Work Sans;sans-serif" w:hAnsi="Work Sans;sans-serif"/>
          <w:b w:val="false"/>
          <w:color w:val="000000"/>
          <w:sz w:val="18"/>
        </w:rPr>
        <w:t>. For small businesses and consumers seeking legal advice, we offer subscription legal plans that provide access to independent attorneys in all 50 states. We also offer attorney advice subscription packages that include other benefits, such as the ability to edit and electronically sign forms from our attorney-drafted legal forms library, discounts on additional legal services offered by the network attorney, and, in some cases, an annual checkup with the network attorney for estate planning purposes.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Tax subscriptions</w:t>
      </w:r>
      <w:r>
        <w:rPr>
          <w:rFonts w:ascii="Work Sans;sans-serif" w:hAnsi="Work Sans;sans-serif"/>
          <w:b w:val="false"/>
          <w:color w:val="000000"/>
          <w:sz w:val="18"/>
        </w:rPr>
        <w:t>. Our LegalZoom-fulfilled tax subscription, or LZ Tax, includes tax preparation and advice from a tax expert, either a CPA or an enrolled agent, on essential tax matters at both state and federal levels. Our services include unlimited calls and messages with a tax expert, advice on self and employee payments and deductions, access to our LZ Books accounting solution, quarterly tax estimates and federal extensions.</w:t>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Virtual mail subscriptions. </w:t>
      </w:r>
      <w:r>
        <w:rPr>
          <w:rFonts w:ascii="Work Sans;sans-serif" w:hAnsi="Work Sans;sans-serif"/>
          <w:b w:val="false"/>
          <w:color w:val="000000"/>
          <w:sz w:val="18"/>
        </w:rPr>
        <w:t xml:space="preserve">The rise of the gig economy and the increase in remote work have resulted in an increasing number of small businesses operating out of a home or personal address. Our virtual mail subscription, or LZ Virtual Mail, protects our customers’ personal information by providing an independent business address. It also provides our customers flexibility by allowing them to check their mail from anywhere. Our virtual mail services include mail receipt, sorting, digitization, check depository services, and shipment or storing of select mail. </w:t>
      </w:r>
    </w:p>
    <w:p>
      <w:pPr>
        <w:pStyle w:val="TextBody"/>
        <w:bidi w:val="0"/>
        <w:spacing w:lineRule="auto" w:line="268" w:before="0" w:after="0"/>
        <w:ind w:left="0" w:right="0" w:firstLine="450"/>
        <w:jc w:val="left"/>
        <w:rPr/>
      </w:pPr>
      <w:r>
        <w:rPr>
          <w:rFonts w:ascii="Work Sans;sans-serif" w:hAnsi="Work Sans;sans-serif"/>
          <w:b w:val="false"/>
          <w:i/>
          <w:color w:val="000000"/>
          <w:sz w:val="18"/>
        </w:rPr>
        <w:t xml:space="preserve">Legal forms and eSignature subscriptions. </w:t>
      </w:r>
      <w:r>
        <w:rPr>
          <w:rFonts w:ascii="Work Sans;sans-serif" w:hAnsi="Work Sans;sans-serif"/>
          <w:b w:val="false"/>
          <w:color w:val="000000"/>
          <w:sz w:val="18"/>
        </w:rPr>
        <w:t>We offer other subscriptions, including unlimited access to our library of customizable legal forms, electronic storage of applicable LegalZoom documents, and document revisions. We also offer eSignature subscriptions, which allow customers to upload their own documents or draft new documents using one of our attorney-drafted legal form templates and then sign and manage those documents online, all in one place.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Seasonality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We have historically seen demand for our services decline around the beginning of the third quarter as a result of summer vacations and in the last two months of the fourth quarter as a result of the winter holidays.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Technology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developed a highly scalable and flexible technology platform that enables us to efficiently process thousands of customer orders daily and facilitate seamless interactions with our customers and the independent attorneys participating in our legal network. We devote substantial resources to consistently enhance our technology platform. Key components of our technology are described below.</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Dynamic online questionnaire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 documents are populated by our platform through the use of our dynamic online questionnaires. Our customers complete a comprehensive yet intuitive questionnaire that is powered by a rules-based engine to pose questions based on the customer’s legal jurisdiction, location and prior responses to solicit the information needed to comply with local and state laws and regulations.</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Document automation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technology platform includes complex automation systems that transfer customer responses into many state or county-specific templates to generate customized legal documents. Our automation unifies the various methods used by states and counties to form businesses into a single easy-to-understand customer experience. We use straight through processing for several products, which has enabled us to deliver the documents to the customer in near real-time. </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Compliance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built a system to notify our customers of upcoming compliance milestones and associated requirements. Additionally, for our registered agent subscribers, we have a system of receiving, scanning, sorting, and labeling documents from state agencies across the country that leverages technology to quickly deliver physical and electronic copies to our customer.</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Robust CRM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account executives, customer care and sales organization, fulfillment specialists, and tax advisors leverage a multi-channel customer relationship management platform, powered by integrating a variety of tier one contact center technologies. The platform is integrated within our production and fulfillment systems and enables us to support customers through communications via multiple channels including our websites, email, text, phone, online chat, and our mobile applications. </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Scalable and secure infrastructure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platform resides on a combination of on-premises infrastructure and best-in-class public cloud-based platforms. Our platform is highly scalable to accommodate an increasing volume of customer orders. We have designed our websites to be highly intuitive and secure using proprietary software and commercially supported tools.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website allows users to access the same content on our platform from their laptops, tablets, or smart phones. We also maintain apps on iOS and Android that make it easy for customers to access their documents, schedule consultations, and get status updates on their orders.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Intellectual Property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our proprietary technology is an important and valuable part of our business. We protect this proprietary technology by relying on a variety of intellectual property mechanisms including copyright, patent and trademark laws, restrictions on disclosure and other methods. We frequently file applications for trademarks and service marks in order to protect our intellectual property.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various trademark registrations in the U.S. and in foreign jurisdictions, as well as pending trademark applications in the U.S. We have no issued patents, but we have a patent-pending application in the U.S. We also license intellectual property from third-parties, such as software used to support our technology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seek to protect our intellectual property rights by requiring our employees and independent contractors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Customer Care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 care representatives provide assistance, support and account management to small businesses and individuals. Exceptional customer experience is central to our culture and we take pride in our customer care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have access to live help from customer care representatives by phone, online chat, text, email, or via our mobile applications. In addition, our website and mobile experience contain extensive educational content in an article center, FAQs and a knowledge center designed to assist customers in choosing the products and services that best suit their needs.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actively monitor our service levels, fulfillment speed and quality to maintain a high level of customer care. Customer care team members have metrics-driven incentives that further align their goals and compensation with our focus on the customer while maintaining regulatory compliance.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invest significantly to create a highly recognizable brand, online and offline and we attract a meaningful percentage of unpaid website traffic, underscoring our brand strength and content offering. Our content marketing includes educational initiatives such as our Article Center on our website, where we create content to better inform our customers on how they can plan for and protect themselves, their families, and their businesses.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use a strategic mix of online and offline marketing in combination with inbound sales. Our largest customer acquisition media spend is in search engine marketing to capture demand generated by our other paid and organic channels. We also advertise from time to time across television, radio, podcasts, digital video, and social media.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taking customer calls, our sales team uses a conversational approach to introduce our services, explain features and recommend various partners. When our sales team becomes involved, the average order size frequently increases due to our team’s effectiveness in selling ancillary offerings. Our sales teams also proactively target qualified prospects, such as those who began a questionnaire in our customer experience journey but have yet to purchase.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Human Capital Management</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we, together with all our subsidiaries, had 1,190 employees worldwide. At December 31, 2023, we also engaged approximately 70 seasonal workers as well as 600 contractors and consultants globally. None of our employees are represented by a labor union. We have not experienced any work stoppages, and we believe that our employee relations are strong.</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compensation strategy is to promote a pay-for-performance culture. Our guiding principles are anchored on the goals of being able to attract, incentivize, and retain talented employees who can develop, implement, and drive long-term value creation strategies. We’ve designed our compensation approach so that every U.S. based employee has a component of their compensation that is performance or incentive driven. We offer competitive compensation that we believe is aligned with the market and fair relative to our peers.</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LegalZoom, our values are Lift Each Other Up, Champion Our Customers, See the Whole Picture, Focus on Results, and Keep It Simple. These values shine through in all that we do to foster an inclusive and empowering culture, as we continue to focus on the well-being and success of our employees. We monitor the state of our employees’ happiness with regular engagement surveys, open feedback forums, and action planning based on results. We continue to see favorable engagement scores, particularly in overall satisfaction or OSAT, and Net Promoter Score, or NPS, when our employees are asked the likelihood of recommending LegalZoom as a great place to work. </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remained agile to accommodate the ever-changing needs of our employees since the pandemic. In 2021, we adopted our remote first model, which required coordinated efforts across the organization to operationalize. Since then, our strategy has been focused on engaging employees virtually to support working from home by launching virtual productivity and collaboration tools, and driving engagement through virtual events. We utilize our office locations in Los Angeles, CA, Mountain View, CA, Austin, TX, Beaverton, OR, and Frisco, TX for engagement events, in-person meetings, team offsites, and more to build connection and productivity. This approach has allowed us to build foundational infrastructure and establish a stronger culture both virtually and in-person.</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also invested in employee engagement to help improve connectedness in our remote-first work environment. In 2023, we refreshed our employee recognition program that rewards and provides visibility to our employees’ accomplishments. We also continue to fuel our organization’s passion for social good, with our employee giving program and tool that provides dollar-for-dollar matching and paid time off for volunteering. Finally, we continue to engage our employees in in-person and remote social impact and Employee Resource Group events, like our annual Impact Week, where we come together to volunteer, learn about causes, and fundraise.</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2023, we remained committed to our principles of taking care of our employees holistically while continuously looking for ways to improve our overall benefits offering. We offer competitive benefits including: 100% employer-paid medical, travel reimbursement for out-of-state procedures, dental and vision plans, fertility coverage, mental health coverage and workshops, physical wellness, lifestyle benefits, paid-time 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jc w:val="left"/>
        <w:rPr>
          <w:rFonts w:ascii="Work Sans;sans-serif" w:hAnsi="Work Sans;sans-serif"/>
          <w:b w:val="false"/>
          <w:color w:val="000000"/>
          <w:sz w:val="18"/>
        </w:rPr>
      </w:pPr>
      <w:r>
        <w:rPr>
          <w:rFonts w:ascii="Work Sans;sans-serif" w:hAnsi="Work Sans;sans-serif"/>
          <w:b w:val="false"/>
          <w:color w:val="000000"/>
          <w:sz w:val="18"/>
        </w:rPr>
        <w:t>and 401k match. In addition, we made a few meaningful enhancements in 2023’s November Open Enrollment for 2024, including extending mental/physical wellness benefits to dependents, increasing flexibility to bonding leave for new parents, additional sick-time off and paid company holidays, as well as enhancing coverage on our dental plans.</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we are thriving when every voice is nurtured and heard. We have seven employee resource groups today, including Pride Zoomer Alliance Network, Lift Every Voice Black Network, RiseUp Women’s Network, Women in Tech Network, Nos Unimos LatinX Network, and LZ Veterans, each with dedicated internal funding, executive sponsorship, and a focus on supporting diversity, equity, and inclusion within and outside of LegalZoom. These networks have built internal mentorship and development programs, host meaningful and educational events, and have contributed to their broader communities outside of LegalZoom through their initiatives.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Government Regulation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particularly complex legal and regulatory environment. We are subject to a wide variety of state and federal laws, rules and regulations in the U.S., including those related to internet activities, UPL, the corporate practice of law, or CPL, privacy, data protection, cybersecurity, data retention, consumer protection, content regulation, the processing of legal documents, commercial registered agents, the provision of online payment services and other matters, which are continuously evolving and developing.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model includes the provision of services that represent an alternative to traditional legal services, which has subjected us to allegations of UPL in the U.S. UPL generally refers to an entity or person giving or offering legal advice who is not licensed to practice law. However, laws and regulations defining UPL, and the governing bodies that enforce UPL rules, differ among the various jurisdictions in which we operate. The regulatory environment in the U.S. is evolving slowly with two states so far, Arizona and Utah, approving regulatory reform that permits non-lawyers to co-own law firms and other legal service operations. We received a license to operate one of our U.S. subsidiaries as an ABS in Arizona in September 2021. This Arizona ABS employs and contracts with licensed attorneys to provide limited scope legal services to U.S.-based consumers who purchase such services on our websites. While we believe this ABS structure is legally permissible, it is generally untested in U.S. courts and we cannot assure you that it will insulate us from claims of CPL or UPL. These laws and regulations are regularly evolving and tested in courts, and may be interpreted, applied, created, or amended, in a manner that could harm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are subject to numerous foreign and domestic laws, regulations, and standards regarding privacy and data security governing the personal information and other data that we may collect, store, use, or process. Such privacy and data security laws and regulations, including with respect to the European Union's General Data Protection Regulation and the California Consumer Privacy Act of 2018,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compliance with applicable government laws and regulations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See Part I, Item 1A, “Risk Factors” of this Annual Report on Form 10-K for additional information.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Corporate and Other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headquartered in Glendale, California. We were incorporated as a California corporation in July 1999 and converted to a Delaware corporation in February 2007. Our website is located at https://www.legalzoom.com/.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Investor Relations website is https://investors.legalzoom.com/ and we encourage investors to use it as a way of easily finding information about us. We make available on this website, free of charge, the reports that we file or furnish with the SEC including our Annual Reports on Form 10-K, Quarterly Reports on Form 10-Q, Current Reports on Form 8-K, and our Proxy Statements, and any amendments to these reports, as soon as reasonably practicable after we file such material with, or furnish it to, the SEC. We also make available certain corporate governance information, including our Code of Business Conduct and Ethics, and select press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significant risks, and the material factors that make an investment in us risky or speculative are described below. You should carefully consider the risks and uncertainties described below, together with all of the other information in this Annual Report on Form 10-K, including our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success significantly depends on business formations. The majority of our transaction revenue is generated by providing business formation services to guide our customers through the transition from being aspiring business owners to launching their entities. In 2023 and 2022,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compliance or operating costs (including wage and benefit pressures), regulatory obstacles, changes in law (including changes in tax laws and regulations), changes in the business environment from inflation, interest rates, government assistance or other factors, and dissatisfaction with our services. Declines in the overall number of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our customers expanding their use of our platform, including converting our transactional customers to subscribers and our subscribers renewing their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the past few years, a significant amount of our revenue has been derived from our subscriptions for small businesses and individuals. In 2023, approximately 62% of our revenue came from subscriptions. Subscriptions have primarily originated from transactional customers who opted to become subscribers. For us to maintain or improve our operating results, it is important that we convert transactional customers into subscribers, retain our existing subscribers and that our subscribers renew their subscriptions with us when the existing subscription term expires.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our existing or new customers that will subscribe to our subscription services, including whether customers will continue to subscribe at the same rate as they have historically. If we are unable to continue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recent growth may not be indicative of our future growth and, if we continue to grow, we may not be able to manage our growth effectively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declines in service quality or customer satisfaction, increased costs, difficulties or delays in introducing new products or services or other operational difficulties. Any of these difficulties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pPr>
      <w:r>
        <w:rPr>
          <w:rFonts w:ascii="Work Sans;sans-serif" w:hAnsi="Work Sans;sans-serif"/>
          <w:b/>
          <w:i/>
          <w:color w:val="000000"/>
          <w:sz w:val="18"/>
        </w:rPr>
        <w:t>Our future quarterly results of operations may fluctuate significantly due to a wide range of factors, which makes our future results difficult to predict</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pricing changes and the offering of free or even lower cost products,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services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staffing and other practices and the functionality of their websites,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 such as the war in Ukraine and the Israel-Hamas conflict.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and the price of our common stock may be particularly pronounced in the current global macroeconomic environment, including due to uncertainty caused by recessionary fears, inflation and rising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At December 31, 2023, we had an accumulated deficit of $933.1 million.</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customer care and customer experience and add new products and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quality and value of our services, customer care and customer experience, as well as the quality and accuracy of the services provided by our accountants and the independent attorneys who participate in our and our partner’s networks, are critical to the success of our business and our ability to attract and retain customers. The failure or perceived failure of these independent attorneys and accountants to satisfy customer expectations could impede our ability to attract and retain customers.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intend to continue to add new services and enhance our existing product and services,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acceptance. We have in the past invested resources and introduced new products and services that have failed to produce the customer interest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including LZ Tax or LZ Books,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In addition, we have introduced and intend to continue to introduce significant changes to our platform and to our product offerings, including the offering of free or even lower cost products.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of the foregoing changes, developments or new product introductions will provide us with the benefits we expect.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i/>
          <w:color w:val="000000"/>
          <w:sz w:val="18"/>
        </w:rPr>
      </w:pPr>
      <w:r>
        <w:rPr>
          <w:rFonts w:ascii="Work Sans;sans-serif" w:hAnsi="Work Sans;sans-serif"/>
          <w:b/>
          <w:i/>
          <w:color w:val="000000"/>
          <w:sz w:val="18"/>
        </w:rPr>
        <w:t>The legal solutions market is highly competitive and our failure to effectively compete successfully could</w:t>
      </w:r>
    </w:p>
    <w:p>
      <w:pPr>
        <w:pStyle w:val="TextBody"/>
        <w:bidi w:val="0"/>
        <w:spacing w:lineRule="auto" w:line="288" w:before="0" w:after="0"/>
        <w:jc w:val="left"/>
        <w:rPr>
          <w:rFonts w:ascii="Work Sans;sans-serif" w:hAnsi="Work Sans;sans-serif"/>
          <w:b/>
          <w:i/>
          <w:color w:val="000000"/>
          <w:sz w:val="18"/>
        </w:rPr>
      </w:pPr>
      <w:r>
        <w:rPr>
          <w:rFonts w:ascii="Work Sans;sans-serif" w:hAnsi="Work Sans;sans-serif"/>
          <w:b/>
          <w:i/>
          <w:color w:val="000000"/>
          <w:sz w:val="18"/>
        </w:rPr>
        <w:t>materially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document services market or business formations, including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if U.S. state or federal agencies increase their offerings to our target customers or if their offerings become more attractive to our target customers, including through free and easy-to-use business formation services or other document filing portals, it could have a significant adverse effect on our business, financial condition or results of operations. For example, certain U.S. states offer online portals where consumers may file their articles of organization for free, other than filing fees. We also compete in the tax advisory and preparation services business with several companies, many of which are larger and more experienced.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may also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the Better Business Bureau and other sources related to our business practices, as well as customer care, data privacy or security issues, irrespective of their validity, could diminish confidence in our services and adversely affect our brand and reputation and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generative AI into some of our products, which may present both compliance risks and reputational risks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incorporated and intend to continue incorporating a number of generative AI features into our products. For instance, in September 2023 we announced the beta launch of Doc Assist, a document summarization product that uses generative AI to help small businesses review documents. This technology, which is a new and emerging technology that is in its early stages of commercialization, presents a number of risks inherent in its use. Generative AI technologies can create accuracy issues, unintended biases and discriminatory outcomes. If the recommendations, forecasts, content, or analyses that AI applications, including Doc Assist, assist in producing are or are alleged to be deficient or inaccurate, we could be subjected to competitive harm, potential legal liability, and brand or reputational harm. Some AI scenarios may also present ethical issues. Though measures have been taken to address algorithmic bias, if we enable or offer AI solutions that are controversial because of their perceived or real impact on human rights, privacy, employment, or other social issues, we may experience brand or reputational harm. Additionally, potential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The primary marketing channels that generate traffic for our websites include search engine marketing, social media and other digital channels, television and our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If competition for paid listings increases or if paid listings prohibit the use of particular words or terms, we may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could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reduction or loss of any of our advertising channels may adversely affect our ability to attract new customers,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and, as a result,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third-parties to provide website development, credit card and banking services, productivity tools and business insurance, among others. Our sales and our customers’ user experience depend on our ability to connect and integrate easily to such third party solutions. We have in the past and may in the future determine to exit certain partnership relationships, and we may also fail to retain and expand partnership relationships for many reasons, including third parties’ failure to maintain, support, or secure their technology platforms in general, restrictions imposed by regulatory compliance, and our integrations in particular. Any such termination of a partnership relationship, whether voluntary or involuntary, could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reliance on third party providers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tax or intellectual property needs.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utilize third parties in connection with the fulfillment and distribution of our services, including the independent attorneys in our legal plan network, the accountants and tax professionals through our subscription plans, and a third party to support our registered agent subscription services. We also outsource certain operational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failure to successfully address the evolving market for transactions on mobile devices and to build mobile products could harm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acquire or invest in companies, which may divert our management’s attention and result in additional dilution to our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difficulties or unforeseen expenditures in integrating the business, technologies, products, personnel or operations of any company that we acquire,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not be able to realize anticipated synergies on a timely basis, if at all;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disrupt our ongoing business, divert resources, increase our expenses and distract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issue a significant amount of equity securities in connection with any future acquisitions, existing stockholders may be diluted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 xml:space="preserve">If we are unable to sustain our revenue growth rate, we may not maintain profitability in the future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 expand our customer base;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increase revenue from existing customers through increased or broader use of our platform, including through maintaining and/or increasing the rate at which customers purchase our subscriptions;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provide high-quality services to customers;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improve the performance and capabilities of our services through research and development;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 new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identify and acquire or invest in new businesses, products or technologies that we believe could complement or expand our platform;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successfully compete with other companies.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and regulations governing our business, may not result in the long-term benefits that we expect, in which case our business, results of operations, financial condition and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or we otherwise experience a compromise in customer information, we may have obligations (under laws, contracts, privacy notices or other commitments) to notify relevant stakeholders (such as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susceptible to various legal claims, lawsuits, arbitration, regulatory action or other proceedings, including those related to the unauthorized practice of law,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United Kingdom, or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 xml:space="preserve">Risks Relating to Our Financial Condition, Indebtedness and Capital Requirements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 the process of implementing a new revenue recognition accounting software system and challenges with the implementation of the system may impact our business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in the process of implementing a new revenue recognition accounting software system, which we expect to complete in the first quarter of 2024. The implementation efforts of the revenue recognition accounting software may prove to be more difficult, costly, or time consuming than expected, and it is possible that the system will not yield the benefits anticipated. Any disruptions, delays or deficiencies in the design and implementation of our new revenue accounting software program could materially impact our operations, cause operational difficulties or lead to errors within our financial reporting.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in the past identified material weaknesses in our internal control over financial reporting, and if we are unable to maintain effective internal control over financial reporting,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June 30, 2022 and September 30, 2022. Although we remediated our material weaknesses and management concluded that our internal control over financial reporting was effective as of December 31,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in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distributions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incurred substantial losses during our history and may not be able to maintain profitability. 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Inflation Reduction Act of 2022, or the IRA, the Tax Act and the CARES Act;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New tax laws, statutes, rules, regulations or ordinances could be enacted at any time. Further, existing tax laws, statutes, rules, regulations or ordinances could be interpreted differently, changed, modified, or repealed at any time. Any such enactment, interpretation, change, modification, or repeal could adversely 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 Although there have been legislative proposals to repeal or defer such requirement, there can be no assurance that such requirement will be repealed, deferred, or otherwise modified.</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changes in the tax laws of foreign jurisdictions could arise as a result of the global </w:t>
      </w:r>
    </w:p>
    <w:p>
      <w:pPr>
        <w:pStyle w:val="TextBody"/>
        <w:bidi w:val="0"/>
        <w:spacing w:lineRule="auto" w:line="288" w:before="0" w:after="120"/>
        <w:jc w:val="left"/>
        <w:rPr>
          <w:rFonts w:ascii="Work Sans;sans-serif" w:hAnsi="Work Sans;sans-serif"/>
          <w:b w:val="false"/>
          <w:color w:val="000000"/>
          <w:sz w:val="18"/>
        </w:rPr>
      </w:pPr>
      <w:r>
        <w:rPr>
          <w:rFonts w:ascii="Work Sans;sans-serif" w:hAnsi="Work Sans;sans-serif"/>
          <w:b w:val="false"/>
          <w:color w:val="000000"/>
          <w:sz w:val="18"/>
        </w:rPr>
        <w:t xml:space="preserve">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 </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Changes in corporate tax rates, the realization of net deferred tax assets, the taxation of foreign earnings or any future reform legislation, could potentially have a material impact on the value of our deferred tax assets, could result in significant one-time charges, and could increase our future tax expense.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accounting needs of our customers and, as a result, is subject to a variety of complex and evolving U.S. and foreign laws and regulations,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the corporate practice of law, or CPL.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legal document processing services and registered agent services varies among the jurisdictions in which we conduct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Regulations regarding virtual mail, including those imposed by the U.S. Postal Service, are new and evolving, are generally untested in U.S. courts, and may be interpreted, applied, created or amended by both federal and state agencies in a manner that could harm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state and federal laws and regulations to which we are subject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or new interpretations of, such laws could require us to significantly change the ways we currently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and our intellectual property offerings are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ordinary course of business, we collect and otherwise process information from and about our customers and others, which may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or CCPA. Other U.S. states, such as Virginia, Colorado, Connecticut, and Utah, have similarly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Outside the U.S., an increasing number of laws, regulations and industry standards govern data privacy and security. For example, we are also subject to the European Union’s General Data Protection Regulation, or GDPR. In addition, we are subject to the terms of our privacy policies and obligations to third-parties related to privacy, data protection and information security.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actual or perceived failure by us or third-parties working on our behalf to comply with applicable privacy and data security laws, rules and regulations, including the GDPR and the CCPA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third-parties that process personal information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 growing number of legislative and regulatory bodies have adopted consumer notification and other requirements in the event that consumer information (such as personal information) is actually or reasonably believed to be compromised, and additional regulations regarding the use, access, accuracy, and security of such data are possible. In the U.S., state laws provide for disparate data breach notification regimes. If our practices are deemed to be a violation of applicable data privacy or security obligations,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obligations, or any future obligations of a similar nature, could result in substantial regulatory penalties, litigation expense, and loss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networks or systems, or those of our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otherwise process data and information about our customers, employees and others, some of which may be sensitive, personal and/or confidential. Any actual or perceived breach of our security measures or those of our service providers could adversely affect our business, operations and future prospects. Circumvention of our security measures or those of our service providers may result in access, misappropriation, deletion, alteration, publication, modification or other compromise of our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information systems, cloud-based computing services, and those of our current and any future service providers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adopted a remote-first policy, which permits personnel to work remotely or virtually indefinitely unless the nature of the personnel’s job requires their in-office presence. This policy, which results in a predominantly remote workforce, poses additional data security risks to our information technology systems and data, as more of our personnel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third-parties. Our ability to monitor these third-parties’ information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Work Sans;sans-serif" w:hAnsi="Work Sans;sans-serif"/>
          <w:b w:val="false"/>
          <w:color w:val="000000"/>
          <w:sz w:val="18"/>
        </w:rPr>
      </w:pPr>
      <w:r>
        <w:rPr>
          <w:rFonts w:ascii="Work Sans;sans-serif" w:hAnsi="Work Sans;sans-serif"/>
          <w:b w:val="false"/>
          <w:color w:val="000000"/>
          <w:sz w:val="18"/>
        </w:rPr>
        <w:t>practices is limited, and these third-parties may not have adequate information security measures in place, which could lead to a breach in our information.</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third-parties upon which we rely,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CCPA.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Increasing and changing government regulation of our business may harm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subject to federal, state, local and international laws and regulations that affect our and our customers' activities, including, without limitation, labor, advertising, sales and marketing, deceptive trade practices,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new legislation, regulation, public policy considerations, litigation by the government or private entities, and changes to or new interpretations of existing laws may result in greater oversight of our industry,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not consistent with new interpretations of existing laws, we may become subject to lawsuits, penalties, and other liabilities, any of which could have a negative effect on our business, results of operations, financial condition and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state-imposed requirements by one or more states may also significantly increase the costs of providing services to our customers and may prevent us from delivering a quality product to our customers in a timely manner.</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incidents of terrorism, a public health pandemic or epidemic, bank failures, or responses to these events;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general macroeconomic, political, regulatory and market conditions, such as those related to recessionary fears, inflation and the rising interest rate environment.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December 31, 2023, holders of approximately 65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affiliated stockholders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Based upon shares of our common stock outstanding as of December 31, 2023, our executive officers, directors and affiliated stockholders, in the aggregate, beneficially own shares representing approximately 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of our outstanding common stock. If our executive officers, directors and affiliated stockholders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 LucasZoom, LLC ceased to own any shares of our common stock in November 2023 and, as a result, lost its right to nominate a director to our board of directors under the director nomination agreement.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1B. Unresolved Staff Comments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1C. Cybersecurity</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Risk Management and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identify, assess and manage material risks associated with cybersecurity threats, as such term is defined in Item 106(a) of Regulation S-K. These risks include, among other things, operational risks, intellectual property theft, fraud, extortion, harm to personnel and customers, violation of privacy and security laws and other litigation and legal risk, and reputational risks. We have implemented and continue to maintain various cybersecurity processes, technologies, and controls designed to aid in our efforts to assess, identify, and manage such material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identify, assess and manage material risks from cybersecurity threats, our enterprise risk management program considers cybersecurity threat risks alongside other company risks as part of our overall risk assessment process. Our enterprise risk management committee, a multidisciplinary committee that includes our Chief Financial Officer, Chief Operating Officer and Chief Technology Officer and is chaired by our General Counsel, collaborates with internal subject matter specialists in an effort to gather information for identifying, assessing and managing material cybersecurity risks, such as information related to their severity, likelihood of occurrence and potential mitigation strategies. At least quarterly, our Chief Information Officer and Senior Director, Information Security, meet with our enterprise risk management committee, together with the rest of our senior leadership team, to present and discuss a cybersecurity risk assessment. Key cybersecurity risks are then incorporated into our enterprise risk management framework. To help inform our cybersecurity risk identification, assessment and management, we also employ a range of tools and services, including network and endpoint monitoring, vulnerability assessments, and periodic penetration testing and tabletop exercises.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an effort designed to provide for the availability of critical data and systems, manage our material risks from cybersecurity threats, and protect against, detect, and respond to cybersecurity incidents, as such term is defined in Item 106(a) of Regulation S-K, we also undertake the below listed activities: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closely monitor emerging data protection laws and implement any necessary changes to our processes;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conduct annual security training for all our employees;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conduct annual cybersecurity management and incident training designed for certain employees such as those who handle sensitive data;</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conduct phishing email simulations for personnel with access to corporate email systems in an effort to enhance awareness and responsiveness to such possible threats;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through policy, practice and contract (as applicable) require employees, as well as third-parties who provide services on our behalf, to treat customer information and data with care;</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hold regular meetings of an internal multidisciplinary working group to discuss our cybersecurity incident preparedness;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run tabletop exercises to simulate a cybersecurity incident and use findings from such exercises in an effort to improve our processes and technologies;</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maintain and regularly review and test a framework designed to help us identify, protect, detect, respond, and recover when there is an actual or potential cybersecurity incident;</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carry information security risk insurance designed to mitigate potential losses arising from cybersecurity incidents.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incident response plan coordinates the activities we take to prepare for, detect, respond to and recover from cybersecurity incidents, which include processes designed to triage, assess severity for, escalate, contain, investigate, and remediate the incident, as well as to comply with potentially applicable legal obligations and mitigate brand and reputational damage.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part of the above processes, from time to time we work with third parties that are intended to help us to identify, assess, and manage cybersecurity risks, including professional services firms, threat intelligence service providers, managed cybersecurity service providers and penetration testing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To operate our business, we utilize certain service providers to perform a variety of functions, such as professional services, data center facilities and other functions. Our processes are designed to address cybersecurity threat risks associated with our use of service providers, including those in our supply chain or who have access to our customer and employee data or our information systems. Certain risks associated with our use of service providers are included within our enterprise risk management assessment program, as well as our processes designed to identify, assess and manage cybersecurity-specific risks, both of which are discussed above. In addition, cybersecurity considerations may affect the selection and oversight of our service providers. We perform diligence on certain service providers that have access to our systems, data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facilities that house such systems or data. This diligence may include a review of the service providers’ internal and/or external security audits and certifications. Additionally, we may impose specific cybersecurity obligations on certain service providers.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face a number of cybersecurity risks in connection with our business. We have, from time to time, experienced threats to and breaches of our data and systems. For a description of the risks from cybersecurity threats that may materially affect the Company and how they may do so, see Item 1A, “Risk Factors”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Governance</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Cybersecurity is an area of focus for our board of directors and management.</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audit committee of our board of directors is responsible for overseeing the adequacy and effectiveness of the Company’s information security policies and practices, as well as risks related to information security and cybersecurity. At least semiannually, and more frequently depending upon applicable facts and circumstances, our audit committee receives an overview of our cybersecurity threat risk management and strategy processes, which covers topics such as our incident response plan, results from third-party assessments, our cybersecurity risk roadmap and any threat risks, cybersecurity incidents or developments, and our progress towards risk-mitigation-related goals. The audit committee receives information related to the foregoing matters from our Chief Information Officer and Senior Director, Information Security, as well as with representatives from our enterprise risk management committee. Our audit committee also receives an annual information security report, which contains information regarding, among other things, the data security processes and procedures that have been implemented across company business units.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cybersecurity risk management and strategy processes, which are discussed in greater detail above, are led by our Chief Information Officer and Senior Director, Information Security. Such individuals have collectively over 20 years of prior work experience in various roles involving managing and safeguarding information security, formulating and executing strategies for cybersecurity, and instituting programs for information and cyber protection, as well as several relevant degrees and certifications, including Certified Information Systems Security Professional, or CISSP, Offensive Security Certified Professional, or OCSP, M.S. Cybersecurity and Information Assurance, M.B.A. Information Systems.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Properties</w:t>
      </w:r>
    </w:p>
    <w:p>
      <w:pPr>
        <w:pStyle w:val="TextBody"/>
        <w:bidi w:val="0"/>
        <w:spacing w:lineRule="auto" w:line="288" w:before="120" w:after="120"/>
        <w:ind w:left="0" w:right="0" w:firstLine="450"/>
        <w:jc w:val="left"/>
        <w:rPr/>
      </w:pPr>
      <w:r>
        <w:rPr>
          <w:rFonts w:ascii="Work Sans;sans-serif" w:hAnsi="Work Sans;sans-serif"/>
          <w:b w:val="false"/>
          <w:color w:val="000000"/>
          <w:sz w:val="18"/>
        </w:rPr>
        <w:t>Our corporate headquarters are located in Glendale, California, under a lease expiring in 2024. We currently own approximately 209,000 square feet of space in Austin, Texas, which is our operating headquarters. We previously announced our intention to sell our operating headquarters in Austin, Texas, which is discussed in more detail in Note 4 to our consolidated financial statements included elsewhere in this Annual Report on Form 10-K. We also lease office spaces in other locations throughout the U.S. and internationally. We believe that these facilities are sufficient for our current needs and that additional facilities will be available to accommodate the expansion of our business should they be needed</w:t>
      </w:r>
      <w:r>
        <w:rPr>
          <w:rFonts w:ascii="Work Sans;sans-serif" w:hAnsi="Work Sans;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a party to various currently pending legal proceedings and government inquiries, and we anticipate that legal proceedings, government investigations, government inquiries or claims could be brought against us in the future. For more information on our material pending legal proceedings and governmental inquiries, see Note 13 to our consolidated financial statements included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Item 5. Market for Registrant's Common Equity, Related Stockholder Matters and Issuer Purchases of Equity Securities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Market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common stock trades on the Nasdaq Global Select Market under the symbol “LZ.”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Holders of Record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February 15, 2024, there were 131 holders of record of our common stock.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Dividend Policy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not paid any dividends on our common stock in the last three years and do not intend to pay dividends in the foreseeable future.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Purchases of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March 2022, our board of directors approved a stock repurchase program, or the 2022 stock repurchase program, authorizing us to repurchase up to $150.0 million of our common stock, with no fixed expiration. At September 30, 2023, there were no authorized funds available for future repurchases under the 2022 stock repurchase program. In October 2023, our board of directors approved a new stock repurchase program, or the 2023 stock repurchase program, authorizing us to repurchase up to $100.0 million of our common stock, with no fixed expiration. The 2023 stock repurchase program authorizes us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Exchange Act. We have entered into and may from time to time in the future enter into Rule 10b5-1 plans to facilitate repurchases of our shares of common stock under this authorization. The 2023 stock repurchase program does not obligate us to acquire any particular amount of common stock and can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December 31, 2023 was as follows:</w:t>
      </w:r>
    </w:p>
    <w:tbl>
      <w:tblPr>
        <w:tblW w:w="10205" w:type="dxa"/>
        <w:jc w:val="left"/>
        <w:tblInd w:w="0" w:type="dxa"/>
        <w:tblLayout w:type="fixed"/>
        <w:tblCellMar>
          <w:top w:w="28" w:type="dxa"/>
          <w:left w:w="28" w:type="dxa"/>
          <w:bottom w:w="28" w:type="dxa"/>
          <w:right w:w="28" w:type="dxa"/>
        </w:tblCellMar>
      </w:tblPr>
      <w:tblGrid>
        <w:gridCol w:w="669"/>
        <w:gridCol w:w="439"/>
        <w:gridCol w:w="445"/>
        <w:gridCol w:w="517"/>
        <w:gridCol w:w="517"/>
        <w:gridCol w:w="519"/>
        <w:gridCol w:w="109"/>
        <w:gridCol w:w="109"/>
        <w:gridCol w:w="109"/>
        <w:gridCol w:w="383"/>
        <w:gridCol w:w="688"/>
        <w:gridCol w:w="186"/>
        <w:gridCol w:w="109"/>
        <w:gridCol w:w="109"/>
        <w:gridCol w:w="109"/>
        <w:gridCol w:w="717"/>
        <w:gridCol w:w="717"/>
        <w:gridCol w:w="718"/>
        <w:gridCol w:w="109"/>
        <w:gridCol w:w="109"/>
        <w:gridCol w:w="109"/>
        <w:gridCol w:w="349"/>
        <w:gridCol w:w="2114"/>
        <w:gridCol w:w="246"/>
      </w:tblGrid>
      <w:tr>
        <w:trPr/>
        <w:tc>
          <w:tcPr>
            <w:tcW w:w="66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October 1, 2023 through October 31, 2023</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100,000,000 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November 1, 2023 through November 30, 2023</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100,000,000 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December 1, 2023 through December 31, 2023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100,000,000 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0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Performance Graph</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graph depicts the total cumulative stockholder return on our common stock from June 30, 2021, the first day of trading of our common stock on the Nasdaq Global Select Market, through December 31, 2023, relative to the cumulative total returns of the Nasdaq Composite Index and Nasdaq CTA Internet Index. The graph assumes an initial investment of $100.00 at the close of trading on June 30, 2021 and the reinvestment of all dividends. The performance shown in the graph below is not intended to forecast or be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450"/>
        <w:jc w:val="center"/>
        <w:rPr/>
      </w:pPr>
      <w:r>
        <w:rPr/>
        <w:drawing>
          <wp:inline distT="0" distB="0" distL="0" distR="0">
            <wp:extent cx="5438775" cy="36576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5438775" cy="3657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712"/>
        <w:gridCol w:w="626"/>
        <w:gridCol w:w="628"/>
        <w:gridCol w:w="277"/>
        <w:gridCol w:w="1015"/>
        <w:gridCol w:w="133"/>
        <w:gridCol w:w="109"/>
        <w:gridCol w:w="109"/>
        <w:gridCol w:w="109"/>
        <w:gridCol w:w="375"/>
        <w:gridCol w:w="1372"/>
        <w:gridCol w:w="181"/>
        <w:gridCol w:w="109"/>
        <w:gridCol w:w="109"/>
        <w:gridCol w:w="109"/>
        <w:gridCol w:w="417"/>
        <w:gridCol w:w="1305"/>
        <w:gridCol w:w="204"/>
        <w:gridCol w:w="109"/>
        <w:gridCol w:w="109"/>
        <w:gridCol w:w="109"/>
        <w:gridCol w:w="369"/>
        <w:gridCol w:w="1352"/>
        <w:gridCol w:w="25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2023</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Composite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CTA Internet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71.27 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 Management's Discussion and Analysis of Financial Condition and Results of Operations</w:t>
      </w:r>
    </w:p>
    <w:p>
      <w:pPr>
        <w:pStyle w:val="TextBody"/>
        <w:bidi w:val="0"/>
        <w:spacing w:lineRule="auto" w:line="276"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Annual Report on Form 10-K. See “Forward-Looking Statements” preceding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business formation in the U.S.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Driven by a mission to unleash entrepreneurship, we deliver comprehensive legal, tax, accounting and compliance products and expertise for small business owners through easy-to-use technology. We operate across all 50 states and in over 3,000 counties in the U.S., with over two decades of experience in simplifying the legal and compliance process for our customers and empowering entrepreneurs to make their dream a reality.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 and Updates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In November 2023, LucasZoom, LLC, or the selling stockholder, sold 15,099,993 shares of our common stock in an underwritten public offering at a price paid to the selling stockholder of $10.84 per share. We did not offer any shares of common stock in the secondary offering and did not receive any proceeds from the sale of shares of common stock in the secondary offering. Upon the closing of the offering, the selling stockholder ceased to own any shares of our common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In November 2023, we announced the launch of a new business license offering. This new offering is built on a proprietary nationwide database that matches a small business profile with the required licenses and permits at all levels of government.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In December 2023, we launched a new Beneficial Ownership Information Report to help customers satisfy the federally mandated beneficial ownership information reporting rule under the Corporate Transparency Act, which went into effect on January 1,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In 2023, we exited certain channel partnership relationships as part of our focus on profitable, customer-led growth. In the first half of 2024, we expect these exits to negatively impact business formations and, in turn, our subscription unit growth, as business formations act as an entrance point for many customers into the LegalZoom ecosystem.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We are continuing to scale up LZ Tax and we are learning more about our tax customers in the process. As we optimize our LZ Tax offerings to better meet the needs of our target customers, we are seeing and expect to continue to see a decrease in the number of customers purchasing and retaining an LZ Tax subscription unit. While this decrease will produce a revenue headwind throughout 2024, we expect increased retention of our LZ Tax subscription units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Adverse changes in general macroeconomic, political, regulatory and market conditions can negatively impact consumer spending patterns, the success of existing small businesses and the formation of new small businesses. While we continue to actively monitor the impacts of the evolving macroeconomic environment on all aspects of our business, future negative or decelerating impacts from factors such as inflation, higher interest rates, regulatory obstacles or changes in laws (including changes in tax laws and regulations) remain uncertain.</w:t>
      </w:r>
    </w:p>
    <w:p>
      <w:pPr>
        <w:pStyle w:val="TextBody"/>
        <w:bidi w:val="0"/>
        <w:spacing w:lineRule="auto" w:line="288" w:before="0" w:after="120"/>
        <w:ind w:left="0" w:right="0" w:hanging="360"/>
        <w:jc w:val="left"/>
        <w:rPr/>
      </w:pPr>
      <w:r>
        <w:rPr>
          <w:color w:val="000000"/>
        </w:rPr>
        <w:t>•</w:t>
      </w:r>
      <w:r>
        <w:rPr>
          <w:rFonts w:ascii="Work Sans;sans-serif" w:hAnsi="Work Sans;sans-serif"/>
          <w:b/>
          <w:i/>
          <w:color w:val="000000"/>
          <w:sz w:val="18"/>
        </w:rPr>
        <w:t>Our share of business formations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In 2023, business formations represented the largest share of 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 In an effort to increase our share of new business formations in the U.S., we have introduced and may continue to introduce lower-priced products and services to target more price conscious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Work Sans;sans-serif" w:hAnsi="Work Sans;sans-serif"/>
          <w:b/>
          <w:i/>
          <w:color w:val="000000"/>
          <w:sz w:val="18"/>
        </w:rPr>
        <w:t>Ability to enhance customer lifetime value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Our goal is for customers to grow their use of our platform post-formation to include additional transaction products and subscription services as their businesses evolve and that, in turn, customers increase their cumulative spend with us over time. As a result, our future performance depends on our ability to integrate new products and services into our LegalZoom ecosystem and to increase recurring revenue through subscription offerings. As we continue to test new and existing products and services in order to optimize our product line-up, we expect increased volatility across our key business metrics. In addition, in an effort to enhance customer lifetime value, we intend to continue to invest in improving our customer experience, which includes investments in our educational content and improving our website and mobile experience.</w:t>
      </w:r>
    </w:p>
    <w:p>
      <w:pPr>
        <w:pStyle w:val="TextBody"/>
        <w:bidi w:val="0"/>
        <w:spacing w:lineRule="auto" w:line="288" w:before="0" w:after="120"/>
        <w:ind w:left="0" w:right="0" w:hanging="360"/>
        <w:jc w:val="left"/>
        <w:rPr/>
      </w:pPr>
      <w:r>
        <w:rPr>
          <w:color w:val="000000"/>
        </w:rPr>
        <w:t>•</w:t>
      </w:r>
      <w:r>
        <w:rPr>
          <w:rFonts w:ascii="Work Sans;sans-serif" w:hAnsi="Work Sans;sans-serif"/>
          <w:b/>
          <w:i/>
          <w:color w:val="000000"/>
          <w:sz w:val="18"/>
        </w:rPr>
        <w:t>Ability to integrate experts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 xml:space="preserve">We believe that our expert offerings significantly expand our addressable market. We aim to increase the consumption of our higher-cost expert offerings through targeted cross-selling and promotion of our products, as well as by improving the platforms through which our customers and experts interact. Our ability to further integrate experts into our LegalZoom ecosystem and to increase the consumption of our expert offerings by new and existing customers is key to our future success.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generate revenue from the sources identified below.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See the section titled “—Critical Accounting Estimates—Revenue Recognition”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cost of revenue to increase in absolute dollars as we continue to invest in enhancing our customer experience and in new product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short term, we expect our gross profit to increase in absolute dollars but our gross margin to be impacted by higher filing fees as a percentage of revenue due to our offering of free LLC formations, as well as our continued investment in scaling our tax and attorney-assisted legal offerings, which have lower gross margins than other products in our portfolio. However, we expect our gross margin to increase modestly over the longer term as we continue to focus on growing higher-margin subscription revenue and invest in fulfillment automation technologies. In addition,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and other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continue to incur stock-based compensation expense related to certain modifications to equity awards that occurred in connection with our IPO through 2024; however, 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expense consists primarily of amortization of debt issuance costs related to our Amended and Restated Credit and Guaranty Agreement, or 2021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draw down on our 2021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primarily of interest income generated from our investment in money market funds.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we had federal net operating loss, or NOL, carryforwards of $17.2 million, which will begin to expire in 2032. At December 31, 2023, we had state NOL carryforwards of $38.2 million, which will begin to expire in 2028 and we had foreign NOL carryforwards of $30.3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an ownership change in prior years, and as a result certain federal and state NOLs were limited pursuant to Section 382 of the Code. This limitation has been accounted for in calculating our available NOL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excluding such orders from our operations in the United Kingdom, or U.K. We consider the number of business formations to be an important metric considering that it is typically the first product small business customers purchase on our platform, creating the foundation for additional purchases of transaction and subscription offerings throughout the lifecycle of their business, deepening our relationship with our customers.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EINs, which we believe to be the most relevant source of publicly available U.S. market data.</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years ended December 31, 2023 and 2022:</w:t>
      </w:r>
    </w:p>
    <w:tbl>
      <w:tblPr>
        <w:tblW w:w="5726" w:type="dxa"/>
        <w:jc w:val="left"/>
        <w:tblInd w:w="0" w:type="dxa"/>
        <w:tblLayout w:type="fixed"/>
        <w:tblCellMar>
          <w:top w:w="28" w:type="dxa"/>
          <w:left w:w="28" w:type="dxa"/>
          <w:bottom w:w="28" w:type="dxa"/>
          <w:right w:w="28" w:type="dxa"/>
        </w:tblCellMar>
      </w:tblPr>
      <w:tblGrid>
        <w:gridCol w:w="1063"/>
        <w:gridCol w:w="937"/>
        <w:gridCol w:w="940"/>
        <w:gridCol w:w="295"/>
        <w:gridCol w:w="295"/>
        <w:gridCol w:w="295"/>
        <w:gridCol w:w="295"/>
        <w:gridCol w:w="295"/>
        <w:gridCol w:w="295"/>
        <w:gridCol w:w="295"/>
        <w:gridCol w:w="295"/>
        <w:gridCol w:w="426"/>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Work Sans;sans-serif" w:hAnsi="Work Sans;sans-serif"/>
                <w:b w:val="false"/>
                <w:i/>
                <w:color w:val="000000"/>
                <w:sz w:val="18"/>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581</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474</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23% increase in business formation transactions during the year ended December 31, 2023 compared to the year ended December 31, 2022. Our business formation transactions increased during the year ended December 31, 2023 primarily due to an increase in LLC formations driven by our nationwide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roll-out of free LLC formations beginning in the first quarter of 2023. This increase in business formation transactions was partially offset by the exit of certain channel partner relationships in the third quarter of 2023. Our business formation transactions outpaced the 8% increase in overall U.S. business formations during the year ended December 31, 2023 compared to the year ended December 31, 2022, based on a review of U.S. Census data revealing new applications for EINs.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years ended December 31, 2023 and 2022 :</w:t>
      </w:r>
    </w:p>
    <w:tbl>
      <w:tblPr>
        <w:tblW w:w="5036" w:type="dxa"/>
        <w:jc w:val="left"/>
        <w:tblInd w:w="0" w:type="dxa"/>
        <w:tblLayout w:type="fixed"/>
        <w:tblCellMar>
          <w:top w:w="28" w:type="dxa"/>
          <w:left w:w="28" w:type="dxa"/>
          <w:bottom w:w="28" w:type="dxa"/>
          <w:right w:w="28" w:type="dxa"/>
        </w:tblCellMar>
      </w:tblPr>
      <w:tblGrid>
        <w:gridCol w:w="815"/>
        <w:gridCol w:w="715"/>
        <w:gridCol w:w="720"/>
        <w:gridCol w:w="295"/>
        <w:gridCol w:w="295"/>
        <w:gridCol w:w="295"/>
        <w:gridCol w:w="295"/>
        <w:gridCol w:w="295"/>
        <w:gridCol w:w="295"/>
        <w:gridCol w:w="295"/>
        <w:gridCol w:w="295"/>
        <w:gridCol w:w="42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1,043</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929</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12% increase in the number of transactions during the year ended December 31, 2023 compared to the year ended December 31, 2022. The increase in the number of transactions during the year ended December 31, 2023 resulted primarily from the increase in business formations discussed above, as well as an increase in the number of compliance-related transactions. These increases were partially offset by a 12% reduction in estate planning transactions during the year ended December 31,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it indicates how much customers are spending on our platform per transaction.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years ended December 31, 2023 and 2022:</w:t>
      </w:r>
    </w:p>
    <w:tbl>
      <w:tblPr>
        <w:tblW w:w="4722" w:type="dxa"/>
        <w:jc w:val="left"/>
        <w:tblInd w:w="0" w:type="dxa"/>
        <w:tblLayout w:type="fixed"/>
        <w:tblCellMar>
          <w:top w:w="28" w:type="dxa"/>
          <w:left w:w="28" w:type="dxa"/>
          <w:bottom w:w="28" w:type="dxa"/>
          <w:right w:w="28" w:type="dxa"/>
        </w:tblCellMar>
      </w:tblPr>
      <w:tblGrid>
        <w:gridCol w:w="700"/>
        <w:gridCol w:w="616"/>
        <w:gridCol w:w="619"/>
        <w:gridCol w:w="300"/>
        <w:gridCol w:w="700"/>
        <w:gridCol w:w="145"/>
        <w:gridCol w:w="145"/>
        <w:gridCol w:w="145"/>
        <w:gridCol w:w="145"/>
        <w:gridCol w:w="300"/>
        <w:gridCol w:w="700"/>
        <w:gridCol w:w="20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Average order value decreased by 15% during the year ended December 31, 2023 compared to the year ended December 31, 2022. The decrease in average order value during the year ended December 31, 2023 was primarily driven by a 25% decrease in average order value related to our business formations due to the nationwide rollout of free LLC formations during the first quarter of 2023.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variability in average order value throughout 2024 as we lap our exit of certain channel partner relationships and due to changes in the mix of our non-formation transaction products.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innovate our product line-up and make a free business formation a foundational element of our business model, we believe the number of subscription units, when viewed together with the number of business formations during a particular period, provides insight into the effectiveness of our “freemium” strategy and its ability to drive growth in our subscription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Our customers can have multiple subscriptions at the end of a period. For example, a popular combination for a new small business owner is attorney advice and registered agent subscriptions.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December 31, 2023 and 2022:</w:t>
      </w:r>
    </w:p>
    <w:tbl>
      <w:tblPr>
        <w:tblW w:w="4871" w:type="dxa"/>
        <w:jc w:val="left"/>
        <w:tblInd w:w="0" w:type="dxa"/>
        <w:tblLayout w:type="fixed"/>
        <w:tblCellMar>
          <w:top w:w="28" w:type="dxa"/>
          <w:left w:w="28" w:type="dxa"/>
          <w:bottom w:w="28" w:type="dxa"/>
          <w:right w:w="28" w:type="dxa"/>
        </w:tblCellMar>
      </w:tblPr>
      <w:tblGrid>
        <w:gridCol w:w="1000"/>
        <w:gridCol w:w="877"/>
        <w:gridCol w:w="883"/>
        <w:gridCol w:w="223"/>
        <w:gridCol w:w="223"/>
        <w:gridCol w:w="223"/>
        <w:gridCol w:w="223"/>
        <w:gridCol w:w="223"/>
        <w:gridCol w:w="223"/>
        <w:gridCol w:w="223"/>
        <w:gridCol w:w="223"/>
        <w:gridCol w:w="327"/>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1,545</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1,441</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achieved 7% growth in our number of subscription units from December 31, 2022 to December 31, 2023, primarily driven by a 4% increase in our registered agent and compliance subscription units, which was dampened by the exit of certain channel partner relationships in the back half of 2023. The increase in subscription units was also driven to a lesser extent by an increase in virtual mail, forms and e-signature subscriptions.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December 31, 2023 decreased 1% from 1,568 thousand subscription units as of September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December 31, 2023 and 2022:</w:t>
      </w:r>
    </w:p>
    <w:tbl>
      <w:tblPr>
        <w:tblW w:w="6388" w:type="dxa"/>
        <w:jc w:val="left"/>
        <w:tblInd w:w="0" w:type="dxa"/>
        <w:tblLayout w:type="fixed"/>
        <w:tblCellMar>
          <w:top w:w="28" w:type="dxa"/>
          <w:left w:w="28" w:type="dxa"/>
          <w:bottom w:w="28" w:type="dxa"/>
          <w:right w:w="28" w:type="dxa"/>
        </w:tblCellMar>
      </w:tblPr>
      <w:tblGrid>
        <w:gridCol w:w="1304"/>
        <w:gridCol w:w="1144"/>
        <w:gridCol w:w="1151"/>
        <w:gridCol w:w="301"/>
        <w:gridCol w:w="701"/>
        <w:gridCol w:w="145"/>
        <w:gridCol w:w="145"/>
        <w:gridCol w:w="145"/>
        <w:gridCol w:w="145"/>
        <w:gridCol w:w="301"/>
        <w:gridCol w:w="701"/>
        <w:gridCol w:w="205"/>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ARPU increased 7% as of December 31, 2023 as compared to December 31, 2022 driven primarily by a shift in mix of our higher priced subscription offerings. ARPU as of December 31, 2023 was up 4% sequentially compared to September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December 31, 2023 was approximately 63%.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in connection with our “freemium” strategy.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consolidated statement of operations data for each of the periods indicated. The period-to-period comparison of financial results should not be considered as a prediction or indicative of our future results.</w:t>
      </w:r>
    </w:p>
    <w:tbl>
      <w:tblPr>
        <w:tblW w:w="6744" w:type="dxa"/>
        <w:jc w:val="left"/>
        <w:tblInd w:w="0" w:type="dxa"/>
        <w:tblLayout w:type="fixed"/>
        <w:tblCellMar>
          <w:top w:w="28" w:type="dxa"/>
          <w:left w:w="28" w:type="dxa"/>
          <w:bottom w:w="28" w:type="dxa"/>
          <w:right w:w="28" w:type="dxa"/>
        </w:tblCellMar>
      </w:tblPr>
      <w:tblGrid>
        <w:gridCol w:w="1381"/>
        <w:gridCol w:w="1212"/>
        <w:gridCol w:w="1217"/>
        <w:gridCol w:w="226"/>
        <w:gridCol w:w="946"/>
        <w:gridCol w:w="109"/>
        <w:gridCol w:w="109"/>
        <w:gridCol w:w="109"/>
        <w:gridCol w:w="109"/>
        <w:gridCol w:w="226"/>
        <w:gridCol w:w="94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408,884 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(loss) from operations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(41,739)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 xml:space="preserve">Income (loss) before income taxes </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6625" w:type="dxa"/>
        <w:jc w:val="left"/>
        <w:tblInd w:w="0" w:type="dxa"/>
        <w:tblLayout w:type="fixed"/>
        <w:tblCellMar>
          <w:top w:w="28" w:type="dxa"/>
          <w:left w:w="28" w:type="dxa"/>
          <w:bottom w:w="28" w:type="dxa"/>
          <w:right w:w="28" w:type="dxa"/>
        </w:tblCellMar>
      </w:tblPr>
      <w:tblGrid>
        <w:gridCol w:w="1391"/>
        <w:gridCol w:w="1220"/>
        <w:gridCol w:w="1229"/>
        <w:gridCol w:w="234"/>
        <w:gridCol w:w="855"/>
        <w:gridCol w:w="112"/>
        <w:gridCol w:w="112"/>
        <w:gridCol w:w="112"/>
        <w:gridCol w:w="112"/>
        <w:gridCol w:w="234"/>
        <w:gridCol w:w="855"/>
        <w:gridCol w:w="159"/>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36,702 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50,820 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decreased for the year ended December 31, 2023 compared to the year ended December 31, 2022 due to the modification of certain equity awards in connection with our IPO. Refer to Note 15 of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6927" w:type="dxa"/>
        <w:jc w:val="center"/>
        <w:tblInd w:w="0" w:type="dxa"/>
        <w:tblLayout w:type="fixed"/>
        <w:tblCellMar>
          <w:top w:w="28" w:type="dxa"/>
          <w:left w:w="28" w:type="dxa"/>
          <w:bottom w:w="28" w:type="dxa"/>
          <w:right w:w="28" w:type="dxa"/>
        </w:tblCellMar>
      </w:tblPr>
      <w:tblGrid>
        <w:gridCol w:w="1499"/>
        <w:gridCol w:w="1315"/>
        <w:gridCol w:w="1325"/>
        <w:gridCol w:w="233"/>
        <w:gridCol w:w="854"/>
        <w:gridCol w:w="112"/>
        <w:gridCol w:w="112"/>
        <w:gridCol w:w="112"/>
        <w:gridCol w:w="112"/>
        <w:gridCol w:w="233"/>
        <w:gridCol w:w="854"/>
        <w:gridCol w:w="166"/>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Comparison of the Year Ended December 31, 2023 and 2022</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7989" w:type="dxa"/>
        <w:jc w:val="left"/>
        <w:tblInd w:w="0" w:type="dxa"/>
        <w:tblLayout w:type="fixed"/>
        <w:tblCellMar>
          <w:top w:w="28" w:type="dxa"/>
          <w:left w:w="28" w:type="dxa"/>
          <w:bottom w:w="28" w:type="dxa"/>
          <w:right w:w="28" w:type="dxa"/>
        </w:tblCellMar>
      </w:tblPr>
      <w:tblGrid>
        <w:gridCol w:w="743"/>
        <w:gridCol w:w="653"/>
        <w:gridCol w:w="658"/>
        <w:gridCol w:w="226"/>
        <w:gridCol w:w="946"/>
        <w:gridCol w:w="109"/>
        <w:gridCol w:w="109"/>
        <w:gridCol w:w="109"/>
        <w:gridCol w:w="109"/>
        <w:gridCol w:w="226"/>
        <w:gridCol w:w="946"/>
        <w:gridCol w:w="109"/>
        <w:gridCol w:w="109"/>
        <w:gridCol w:w="109"/>
        <w:gridCol w:w="109"/>
        <w:gridCol w:w="226"/>
        <w:gridCol w:w="916"/>
        <w:gridCol w:w="109"/>
        <w:gridCol w:w="109"/>
        <w:gridCol w:w="109"/>
        <w:gridCol w:w="109"/>
        <w:gridCol w:w="232"/>
        <w:gridCol w:w="232"/>
        <w:gridCol w:w="67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color w:val="000000"/>
                <w:sz w:val="18"/>
              </w:rPr>
              <w:t>Revenue by type</w:t>
            </w:r>
            <w:r>
              <w:rPr>
                <w:rFonts w:ascii="Work Sans;sans-serif" w:hAnsi="Work Sans;sans-serif"/>
                <w:b/>
                <w:color w:val="000000"/>
                <w:sz w:val="12"/>
              </w:rPr>
              <w:t>(1)</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pStyle w:val="TextBody"/>
        <w:bidi w:val="0"/>
        <w:spacing w:lineRule="auto" w:line="268" w:before="0" w:after="120"/>
        <w:jc w:val="left"/>
        <w:rPr/>
      </w:pPr>
      <w:r>
        <w:rPr>
          <w:rFonts w:ascii="Work Sans;sans-serif" w:hAnsi="Work Sans;sans-serif"/>
          <w:b w:val="false"/>
          <w:color w:val="000000"/>
          <w:sz w:val="18"/>
        </w:rPr>
        <w:t xml:space="preserve">The increase in total revenue for the year ended </w:t>
      </w:r>
      <w:r>
        <w:rPr>
          <w:rFonts w:ascii="Work Sans;sans-serif" w:hAnsi="Work Sans;sans-serif"/>
          <w:b w:val="false"/>
          <w:color w:val="000000"/>
          <w:sz w:val="18"/>
          <w:shd w:fill="FFFFFF" w:val="clear"/>
        </w:rPr>
        <w:t>December 31, 2023</w:t>
      </w:r>
      <w:r>
        <w:rPr>
          <w:color w:val="000000"/>
        </w:rPr>
        <w:t xml:space="preserve"> </w:t>
      </w:r>
      <w:r>
        <w:rPr>
          <w:rFonts w:ascii="Work Sans;sans-serif" w:hAnsi="Work Sans;sans-serif"/>
          <w:b w:val="false"/>
          <w:color w:val="000000"/>
          <w:sz w:val="18"/>
        </w:rPr>
        <w:t xml:space="preserve">compared to the year ended </w:t>
      </w:r>
      <w:r>
        <w:rPr>
          <w:rFonts w:ascii="Work Sans;sans-serif" w:hAnsi="Work Sans;sans-serif"/>
          <w:b w:val="false"/>
          <w:color w:val="000000"/>
          <w:sz w:val="18"/>
          <w:shd w:fill="FFFFFF" w:val="clear"/>
        </w:rPr>
        <w:t>December 31, 2022</w:t>
      </w:r>
      <w:r>
        <w:rPr>
          <w:color w:val="000000"/>
        </w:rPr>
        <w:t xml:space="preserve"> </w:t>
      </w:r>
      <w:r>
        <w:rPr>
          <w:rFonts w:ascii="Work Sans;sans-serif" w:hAnsi="Work Sans;sans-serif"/>
          <w:b w:val="false"/>
          <w:color w:val="000000"/>
          <w:sz w:val="18"/>
        </w:rPr>
        <w:t>was driven by an increase in subscription revenue. Subscription revenue was 62% and 58% of total revenue for the year ended December 31, 2023 and 2022, respectively, and transaction revenue was 38% and 42% of total revenue for the year ended December 31, 2023 and 2022, respectively.</w:t>
      </w:r>
    </w:p>
    <w:p>
      <w:pPr>
        <w:pStyle w:val="TextBody"/>
        <w:bidi w:val="0"/>
        <w:spacing w:lineRule="auto" w:line="288" w:before="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Transaction revenue for the year ended December 31, 2023 decreased due to a 15% decrease in average order value compared to the year ended December 31, 2022, partially offset by a 12% increase in the number of transaction units over the same period. The decrease in average order value for the year ended December 31, 2023 was driven primarily by a 25% decrease in average order value related to our business formations due to the nationwide rollout of free LLC formations during the first quarter of 2023. The overall increase in transaction units during the year ended December 31, 2023 was due to a 23% increase in business formations due primarily to the nationwide rollout of free LLC formations. This increase was partially offset by a 12% reduction in estate planning transactions.</w:t>
      </w:r>
    </w:p>
    <w:p>
      <w:pPr>
        <w:pStyle w:val="TextBody"/>
        <w:bidi w:val="0"/>
        <w:spacing w:lineRule="auto" w:line="256" w:before="0" w:after="0"/>
        <w:ind w:left="0" w:right="0" w:firstLine="450"/>
        <w:jc w:val="left"/>
        <w:rPr/>
      </w:pPr>
      <w:r>
        <w:rPr>
          <w:rFonts w:ascii="Work Sans;sans-serif" w:hAnsi="Work Sans;sans-serif"/>
          <w:b w:val="false"/>
          <w:color w:val="000000"/>
          <w:sz w:val="18"/>
          <w:shd w:fill="FFFFFF" w:val="clear"/>
        </w:rPr>
        <w:t xml:space="preserve">Subscription revenue for the year ended December 31, 2023 increased primarily due to a 7% increase in the number of subscription units as of December 31, 2023 compared to December 31, 2022 and a 7% increase in ARPU compared to December 31, 2022. The increase in subscription units was driven primarily by </w:t>
      </w:r>
      <w:r>
        <w:rPr>
          <w:rFonts w:ascii="Work Sans;sans-serif" w:hAnsi="Work Sans;sans-serif"/>
          <w:b w:val="false"/>
          <w:color w:val="000000"/>
          <w:sz w:val="18"/>
        </w:rPr>
        <w:t>a 4% increase in our registered agent and compliance subscription units, which was dampened by the exit of certain channel partner relationships in the back half of 2023. The increase in subscription units was also driven to a lesser extent by an increase in virtual mail, forms and e-signature subscriptions</w:t>
      </w:r>
      <w:r>
        <w:rPr>
          <w:rFonts w:ascii="Work Sans;sans-serif" w:hAnsi="Work Sans;sans-serif"/>
          <w:b w:val="false"/>
          <w:color w:val="000000"/>
          <w:sz w:val="18"/>
          <w:shd w:fill="FFFFFF" w:val="clear"/>
        </w:rPr>
        <w:t>. ARPU increased 7% compared to December 31, 2022 driven primarily by a shift in the mix of our higher priced subscription offerings.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375" w:type="dxa"/>
        <w:jc w:val="left"/>
        <w:tblInd w:w="0" w:type="dxa"/>
        <w:tblLayout w:type="fixed"/>
        <w:tblCellMar>
          <w:top w:w="28" w:type="dxa"/>
          <w:left w:w="28" w:type="dxa"/>
          <w:bottom w:w="28" w:type="dxa"/>
          <w:right w:w="28" w:type="dxa"/>
        </w:tblCellMar>
      </w:tblPr>
      <w:tblGrid>
        <w:gridCol w:w="554"/>
        <w:gridCol w:w="486"/>
        <w:gridCol w:w="4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211,095 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28,168 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Cost of revenue for the year ended December 31, 2023 increased by $28.2 million mainly due to a $14.0 million increase in filing fees, a $4.2 million increase i</w:t>
      </w:r>
      <w:r>
        <w:rPr>
          <w:rFonts w:ascii="Work Sans;sans-serif" w:hAnsi="Work Sans;sans-serif"/>
          <w:b w:val="false"/>
          <w:color w:val="000000"/>
          <w:sz w:val="18"/>
        </w:rPr>
        <w:t xml:space="preserve">n depreciation and amortization expense, </w:t>
      </w:r>
      <w:r>
        <w:rPr>
          <w:rFonts w:ascii="Work Sans;sans-serif" w:hAnsi="Work Sans;sans-serif"/>
          <w:b w:val="false"/>
          <w:color w:val="000000"/>
          <w:sz w:val="18"/>
          <w:shd w:fill="FFFFFF" w:val="clear"/>
        </w:rPr>
        <w:t>a $2.8 million increase in third-party staffing fees, a</w:t>
      </w:r>
      <w:r>
        <w:rPr>
          <w:color w:val="000000"/>
        </w:rPr>
        <w:t xml:space="preserve"> </w:t>
      </w:r>
      <w:r>
        <w:rPr>
          <w:rFonts w:ascii="Work Sans;sans-serif" w:hAnsi="Work Sans;sans-serif"/>
          <w:b w:val="false"/>
          <w:color w:val="000000"/>
          <w:sz w:val="18"/>
          <w:shd w:fill="FFFFFF" w:val="clear"/>
        </w:rPr>
        <w:t>$2.1 million</w:t>
      </w:r>
      <w:r>
        <w:rPr>
          <w:color w:val="000000"/>
        </w:rPr>
        <w:t xml:space="preserve"> </w:t>
      </w:r>
      <w:r>
        <w:rPr>
          <w:rFonts w:ascii="Work Sans;sans-serif" w:hAnsi="Work Sans;sans-serif"/>
          <w:b w:val="false"/>
          <w:color w:val="000000"/>
          <w:sz w:val="18"/>
        </w:rPr>
        <w:t xml:space="preserve">increase in payroll and related benefits expense, and </w:t>
      </w:r>
      <w:r>
        <w:rPr>
          <w:rFonts w:ascii="Work Sans;sans-serif" w:hAnsi="Work Sans;sans-serif"/>
          <w:b w:val="false"/>
          <w:color w:val="000000"/>
          <w:sz w:val="18"/>
          <w:shd w:fill="FFFFFF" w:val="clear"/>
        </w:rPr>
        <w:t>$1.4 million</w:t>
      </w:r>
      <w:r>
        <w:rPr>
          <w:color w:val="000000"/>
        </w:rPr>
        <w:t xml:space="preserve"> </w:t>
      </w:r>
      <w:r>
        <w:rPr>
          <w:rFonts w:ascii="Work Sans;sans-serif" w:hAnsi="Work Sans;sans-serif"/>
          <w:b w:val="false"/>
          <w:color w:val="000000"/>
          <w:sz w:val="18"/>
        </w:rPr>
        <w:t xml:space="preserve">increase in stock-based compensation. The increase in filing fees was primarily driven by the increase in business formations during the year ended December 31, 2023 compared to the year ended </w:t>
      </w:r>
      <w:r>
        <w:rPr>
          <w:rFonts w:ascii="Work Sans;sans-serif" w:hAnsi="Work Sans;sans-serif"/>
          <w:b w:val="false"/>
          <w:color w:val="000000"/>
          <w:sz w:val="18"/>
          <w:shd w:fill="FFFFFF" w:val="clear"/>
        </w:rPr>
        <w:t>December 31, 2022</w:t>
      </w:r>
      <w:r>
        <w:rPr>
          <w:rFonts w:ascii="Work Sans;sans-serif" w:hAnsi="Work Sans;sans-serif"/>
          <w:b w:val="false"/>
          <w:color w:val="000000"/>
          <w:sz w:val="18"/>
        </w:rPr>
        <w:t xml:space="preserv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014" w:type="dxa"/>
        <w:jc w:val="left"/>
        <w:tblInd w:w="0" w:type="dxa"/>
        <w:tblLayout w:type="fixed"/>
        <w:tblCellMar>
          <w:top w:w="28" w:type="dxa"/>
          <w:left w:w="28" w:type="dxa"/>
          <w:bottom w:w="28" w:type="dxa"/>
          <w:right w:w="28" w:type="dxa"/>
        </w:tblCellMar>
      </w:tblPr>
      <w:tblGrid>
        <w:gridCol w:w="423"/>
        <w:gridCol w:w="372"/>
        <w:gridCol w:w="374"/>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408,884 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The increase in gross profit was driven by a $40.7 million increase in revenue partially offset by a $28.2 million increase in cost of revenue as discussed above.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932" w:type="dxa"/>
        <w:jc w:val="left"/>
        <w:tblInd w:w="0" w:type="dxa"/>
        <w:tblLayout w:type="fixed"/>
        <w:tblCellMar>
          <w:top w:w="28" w:type="dxa"/>
          <w:left w:w="28" w:type="dxa"/>
          <w:bottom w:w="28" w:type="dxa"/>
          <w:right w:w="28" w:type="dxa"/>
        </w:tblCellMar>
      </w:tblPr>
      <w:tblGrid>
        <w:gridCol w:w="718"/>
        <w:gridCol w:w="629"/>
        <w:gridCol w:w="633"/>
        <w:gridCol w:w="226"/>
        <w:gridCol w:w="946"/>
        <w:gridCol w:w="109"/>
        <w:gridCol w:w="109"/>
        <w:gridCol w:w="109"/>
        <w:gridCol w:w="109"/>
        <w:gridCol w:w="226"/>
        <w:gridCol w:w="946"/>
        <w:gridCol w:w="109"/>
        <w:gridCol w:w="109"/>
        <w:gridCol w:w="109"/>
        <w:gridCol w:w="109"/>
        <w:gridCol w:w="226"/>
        <w:gridCol w:w="916"/>
        <w:gridCol w:w="109"/>
        <w:gridCol w:w="109"/>
        <w:gridCol w:w="109"/>
        <w:gridCol w:w="109"/>
        <w:gridCol w:w="240"/>
        <w:gridCol w:w="241"/>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263,884 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(53,012)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Sales and marketing expenses for the year ended December 31, 2023 decreased primarily due to a $29.3 million reduction in customer acquisition media spend, an $18.1 million reduction in payroll and related benefits, a $5.8 million reduction in media production spend, a $4.0 million reduction in stock-based compensation expense, and a $1.7 million reduction in depreciation and amortization expense, partially offset by a $9.0 million increase in consulting fees. The decrease in stock-based compensation expense and payroll and related benefits was largely due to decreased sales and marketing headcount. Customer acquisition media spend was $145.3 million and $174.6 million for the year ended December 31, 2023 and 2022, respectively, as we reduced our marketing spend in 2023 to align with our freemium strategy.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500" w:type="dxa"/>
        <w:jc w:val="left"/>
        <w:tblInd w:w="0" w:type="dxa"/>
        <w:tblLayout w:type="fixed"/>
        <w:tblCellMar>
          <w:top w:w="28" w:type="dxa"/>
          <w:left w:w="28" w:type="dxa"/>
          <w:bottom w:w="28" w:type="dxa"/>
          <w:right w:w="28" w:type="dxa"/>
        </w:tblCellMar>
      </w:tblPr>
      <w:tblGrid>
        <w:gridCol w:w="1016"/>
        <w:gridCol w:w="893"/>
        <w:gridCol w:w="895"/>
        <w:gridCol w:w="234"/>
        <w:gridCol w:w="856"/>
        <w:gridCol w:w="112"/>
        <w:gridCol w:w="112"/>
        <w:gridCol w:w="112"/>
        <w:gridCol w:w="112"/>
        <w:gridCol w:w="234"/>
        <w:gridCol w:w="856"/>
        <w:gridCol w:w="112"/>
        <w:gridCol w:w="109"/>
        <w:gridCol w:w="109"/>
        <w:gridCol w:w="109"/>
        <w:gridCol w:w="226"/>
        <w:gridCol w:w="82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70,434 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Technology and development expenses for the year ended December 31, 2023 increased primarily due to an increase in payroll and related benefits largely due to increased technology and development headcount.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380" w:type="dxa"/>
        <w:jc w:val="left"/>
        <w:tblInd w:w="0" w:type="dxa"/>
        <w:tblLayout w:type="fixed"/>
        <w:tblCellMar>
          <w:top w:w="28" w:type="dxa"/>
          <w:left w:w="28" w:type="dxa"/>
          <w:bottom w:w="28" w:type="dxa"/>
          <w:right w:w="28" w:type="dxa"/>
        </w:tblCellMar>
      </w:tblPr>
      <w:tblGrid>
        <w:gridCol w:w="929"/>
        <w:gridCol w:w="816"/>
        <w:gridCol w:w="820"/>
        <w:gridCol w:w="226"/>
        <w:gridCol w:w="946"/>
        <w:gridCol w:w="109"/>
        <w:gridCol w:w="109"/>
        <w:gridCol w:w="109"/>
        <w:gridCol w:w="109"/>
        <w:gridCol w:w="226"/>
        <w:gridCol w:w="946"/>
        <w:gridCol w:w="109"/>
        <w:gridCol w:w="109"/>
        <w:gridCol w:w="109"/>
        <w:gridCol w:w="109"/>
        <w:gridCol w:w="226"/>
        <w:gridCol w:w="79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116,057 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General and administrative expenses for the year ended December 31, 2023 decreased primarily due to a $14.1 million decrease in stock-based compensation, partially offset by a $2.7 million increase in </w:t>
      </w:r>
      <w:r>
        <w:rPr>
          <w:rFonts w:ascii="Work Sans;sans-serif" w:hAnsi="Work Sans;sans-serif"/>
          <w:b w:val="false"/>
          <w:color w:val="000000"/>
          <w:sz w:val="18"/>
        </w:rPr>
        <w:t>severance and related termination benefits costs primarily related to a reduction in headcount in our U.S.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Impairment of long-lived assets</w:t>
      </w:r>
    </w:p>
    <w:tbl>
      <w:tblPr>
        <w:tblW w:w="8664" w:type="dxa"/>
        <w:jc w:val="left"/>
        <w:tblInd w:w="0" w:type="dxa"/>
        <w:tblLayout w:type="fixed"/>
        <w:tblCellMar>
          <w:top w:w="28" w:type="dxa"/>
          <w:left w:w="28" w:type="dxa"/>
          <w:bottom w:w="28" w:type="dxa"/>
          <w:right w:w="28" w:type="dxa"/>
        </w:tblCellMar>
      </w:tblPr>
      <w:tblGrid>
        <w:gridCol w:w="1071"/>
        <w:gridCol w:w="939"/>
        <w:gridCol w:w="944"/>
        <w:gridCol w:w="321"/>
        <w:gridCol w:w="577"/>
        <w:gridCol w:w="155"/>
        <w:gridCol w:w="155"/>
        <w:gridCol w:w="155"/>
        <w:gridCol w:w="155"/>
        <w:gridCol w:w="321"/>
        <w:gridCol w:w="748"/>
        <w:gridCol w:w="155"/>
        <w:gridCol w:w="109"/>
        <w:gridCol w:w="109"/>
        <w:gridCol w:w="109"/>
        <w:gridCol w:w="267"/>
        <w:gridCol w:w="639"/>
        <w:gridCol w:w="130"/>
        <w:gridCol w:w="109"/>
        <w:gridCol w:w="109"/>
        <w:gridCol w:w="109"/>
        <w:gridCol w:w="300"/>
        <w:gridCol w:w="301"/>
        <w:gridCol w:w="677"/>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3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2022, we recorded non-cash charges related to the impairment of certain customer relationship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208" w:type="dxa"/>
        <w:jc w:val="left"/>
        <w:tblInd w:w="0" w:type="dxa"/>
        <w:tblLayout w:type="fixed"/>
        <w:tblCellMar>
          <w:top w:w="28" w:type="dxa"/>
          <w:left w:w="28" w:type="dxa"/>
          <w:bottom w:w="28" w:type="dxa"/>
          <w:right w:w="28" w:type="dxa"/>
        </w:tblCellMar>
      </w:tblPr>
      <w:tblGrid>
        <w:gridCol w:w="591"/>
        <w:gridCol w:w="520"/>
        <w:gridCol w:w="524"/>
        <w:gridCol w:w="302"/>
        <w:gridCol w:w="704"/>
        <w:gridCol w:w="146"/>
        <w:gridCol w:w="146"/>
        <w:gridCol w:w="146"/>
        <w:gridCol w:w="146"/>
        <w:gridCol w:w="302"/>
        <w:gridCol w:w="704"/>
        <w:gridCol w:w="146"/>
        <w:gridCol w:w="109"/>
        <w:gridCol w:w="109"/>
        <w:gridCol w:w="109"/>
        <w:gridCol w:w="271"/>
        <w:gridCol w:w="632"/>
        <w:gridCol w:w="133"/>
        <w:gridCol w:w="109"/>
        <w:gridCol w:w="109"/>
        <w:gridCol w:w="109"/>
        <w:gridCol w:w="232"/>
        <w:gridCol w:w="232"/>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233 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2021 Revolving Facility.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185" w:type="dxa"/>
        <w:jc w:val="left"/>
        <w:tblInd w:w="0" w:type="dxa"/>
        <w:tblLayout w:type="fixed"/>
        <w:tblCellMar>
          <w:top w:w="28" w:type="dxa"/>
          <w:left w:w="28" w:type="dxa"/>
          <w:bottom w:w="28" w:type="dxa"/>
          <w:right w:w="28" w:type="dxa"/>
        </w:tblCellMar>
      </w:tblPr>
      <w:tblGrid>
        <w:gridCol w:w="559"/>
        <w:gridCol w:w="492"/>
        <w:gridCol w:w="494"/>
        <w:gridCol w:w="257"/>
        <w:gridCol w:w="804"/>
        <w:gridCol w:w="124"/>
        <w:gridCol w:w="124"/>
        <w:gridCol w:w="124"/>
        <w:gridCol w:w="124"/>
        <w:gridCol w:w="257"/>
        <w:gridCol w:w="804"/>
        <w:gridCol w:w="124"/>
        <w:gridCol w:w="109"/>
        <w:gridCol w:w="109"/>
        <w:gridCol w:w="109"/>
        <w:gridCol w:w="226"/>
        <w:gridCol w:w="706"/>
        <w:gridCol w:w="109"/>
        <w:gridCol w:w="109"/>
        <w:gridCol w:w="109"/>
        <w:gridCol w:w="109"/>
        <w:gridCol w:w="263"/>
        <w:gridCol w:w="263"/>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1,803 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interest income was primarily due to dividend income generated from our money market investments during the year ended December 31,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8442" w:type="dxa"/>
        <w:jc w:val="left"/>
        <w:tblInd w:w="0" w:type="dxa"/>
        <w:tblLayout w:type="fixed"/>
        <w:tblCellMar>
          <w:top w:w="28" w:type="dxa"/>
          <w:left w:w="28" w:type="dxa"/>
          <w:bottom w:w="28" w:type="dxa"/>
          <w:right w:w="28" w:type="dxa"/>
        </w:tblCellMar>
      </w:tblPr>
      <w:tblGrid>
        <w:gridCol w:w="989"/>
        <w:gridCol w:w="869"/>
        <w:gridCol w:w="871"/>
        <w:gridCol w:w="248"/>
        <w:gridCol w:w="775"/>
        <w:gridCol w:w="119"/>
        <w:gridCol w:w="119"/>
        <w:gridCol w:w="119"/>
        <w:gridCol w:w="119"/>
        <w:gridCol w:w="248"/>
        <w:gridCol w:w="874"/>
        <w:gridCol w:w="119"/>
        <w:gridCol w:w="109"/>
        <w:gridCol w:w="109"/>
        <w:gridCol w:w="109"/>
        <w:gridCol w:w="226"/>
        <w:gridCol w:w="706"/>
        <w:gridCol w:w="109"/>
        <w:gridCol w:w="109"/>
        <w:gridCol w:w="109"/>
        <w:gridCol w:w="109"/>
        <w:gridCol w:w="300"/>
        <w:gridCol w:w="30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(4,477)</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2023 and 2022 was primarily due to changes in foreign currency movements related to our intercompany loans which were denominated in British pound sterling.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Impairment of other equity security</w:t>
      </w:r>
    </w:p>
    <w:tbl>
      <w:tblPr>
        <w:tblW w:w="9002" w:type="dxa"/>
        <w:jc w:val="left"/>
        <w:tblInd w:w="0" w:type="dxa"/>
        <w:tblLayout w:type="fixed"/>
        <w:tblCellMar>
          <w:top w:w="28" w:type="dxa"/>
          <w:left w:w="28" w:type="dxa"/>
          <w:bottom w:w="28" w:type="dxa"/>
          <w:right w:w="28" w:type="dxa"/>
        </w:tblCellMar>
      </w:tblPr>
      <w:tblGrid>
        <w:gridCol w:w="1218"/>
        <w:gridCol w:w="1068"/>
        <w:gridCol w:w="1074"/>
        <w:gridCol w:w="282"/>
        <w:gridCol w:w="506"/>
        <w:gridCol w:w="136"/>
        <w:gridCol w:w="136"/>
        <w:gridCol w:w="136"/>
        <w:gridCol w:w="136"/>
        <w:gridCol w:w="282"/>
        <w:gridCol w:w="994"/>
        <w:gridCol w:w="136"/>
        <w:gridCol w:w="109"/>
        <w:gridCol w:w="109"/>
        <w:gridCol w:w="109"/>
        <w:gridCol w:w="226"/>
        <w:gridCol w:w="706"/>
        <w:gridCol w:w="109"/>
        <w:gridCol w:w="109"/>
        <w:gridCol w:w="109"/>
        <w:gridCol w:w="109"/>
        <w:gridCol w:w="263"/>
        <w:gridCol w:w="263"/>
        <w:gridCol w:w="677"/>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2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8"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Impairment of other equity security for the year ended December 31, 2022 was due to the impairment of our investment in Mylo, LLC.</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(benefit from) income taxes</w:t>
      </w:r>
    </w:p>
    <w:tbl>
      <w:tblPr>
        <w:tblW w:w="9801" w:type="dxa"/>
        <w:jc w:val="left"/>
        <w:tblInd w:w="0" w:type="dxa"/>
        <w:tblLayout w:type="fixed"/>
        <w:tblCellMar>
          <w:top w:w="28" w:type="dxa"/>
          <w:left w:w="28" w:type="dxa"/>
          <w:bottom w:w="28" w:type="dxa"/>
          <w:right w:w="28" w:type="dxa"/>
        </w:tblCellMar>
      </w:tblPr>
      <w:tblGrid>
        <w:gridCol w:w="1381"/>
        <w:gridCol w:w="1210"/>
        <w:gridCol w:w="1219"/>
        <w:gridCol w:w="226"/>
        <w:gridCol w:w="826"/>
        <w:gridCol w:w="271"/>
        <w:gridCol w:w="109"/>
        <w:gridCol w:w="109"/>
        <w:gridCol w:w="109"/>
        <w:gridCol w:w="226"/>
        <w:gridCol w:w="706"/>
        <w:gridCol w:w="271"/>
        <w:gridCol w:w="109"/>
        <w:gridCol w:w="109"/>
        <w:gridCol w:w="109"/>
        <w:gridCol w:w="226"/>
        <w:gridCol w:w="826"/>
        <w:gridCol w:w="109"/>
        <w:gridCol w:w="109"/>
        <w:gridCol w:w="109"/>
        <w:gridCol w:w="109"/>
        <w:gridCol w:w="323"/>
        <w:gridCol w:w="323"/>
        <w:gridCol w:w="677"/>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1555 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left"/>
        <w:rPr/>
      </w:pPr>
      <w:r>
        <w:rPr>
          <w:rFonts w:ascii="Work Sans;sans-serif" w:hAnsi="Work Sans;sans-serif"/>
          <w:b w:val="false"/>
          <w:color w:val="000000"/>
          <w:sz w:val="18"/>
          <w:shd w:fill="FFFFFF" w:val="clear"/>
        </w:rPr>
        <w:t xml:space="preserve">The $16.5 million unfavorable change in tax provision in 2023 as compared to 2022 was primarily due to pre-tax book income and non-deductible stock-based compensation </w:t>
      </w:r>
      <w:r>
        <w:rPr>
          <w:rFonts w:ascii="Work Sans;sans-serif" w:hAnsi="Work Sans;sans-serif"/>
          <w:b w:val="false"/>
          <w:color w:val="000000"/>
          <w:sz w:val="18"/>
        </w:rPr>
        <w:t>as well as timing differences for IRC section 174 research and development costs which resulted in higher taxable income</w:t>
      </w:r>
      <w:r>
        <w:rPr>
          <w:color w:val="000000"/>
          <w:shd w:fill="FFFFFF" w:val="clear"/>
        </w:rPr>
        <w:t xml:space="preserve"> </w:t>
      </w:r>
      <w:r>
        <w:rPr>
          <w:rFonts w:ascii="Work Sans;sans-serif" w:hAnsi="Work Sans;sans-serif"/>
          <w:b w:val="false"/>
          <w:color w:val="000000"/>
          <w:sz w:val="18"/>
          <w:shd w:fill="FFFFFF" w:val="clear"/>
        </w:rPr>
        <w:t xml:space="preserve">for the year ended December 31, 2023 compared to a pre-tax loss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Years Ended December 31, 2022 and 2021</w:t>
      </w:r>
    </w:p>
    <w:p>
      <w:pPr>
        <w:pStyle w:val="TextBody"/>
        <w:bidi w:val="0"/>
        <w:spacing w:lineRule="auto" w:line="288" w:before="120" w:after="283"/>
        <w:ind w:left="0" w:right="0" w:firstLine="450"/>
        <w:jc w:val="left"/>
        <w:rPr/>
      </w:pPr>
      <w:r>
        <w:rPr>
          <w:rFonts w:ascii="Work Sans;sans-serif" w:hAnsi="Work Sans;sans-serif"/>
          <w:b w:val="false"/>
          <w:color w:val="000000"/>
          <w:sz w:val="18"/>
        </w:rPr>
        <w:t>For a discussion related to the results of operations and changes in financial condition for the year ended December 31, 2022 compared to the year ended December 31, 2021, refer to Part II, Item 7, “</w:t>
      </w:r>
      <w:r>
        <w:rPr>
          <w:rFonts w:ascii="Work Sans;sans-serif" w:hAnsi="Work Sans;sans-serif"/>
          <w:b w:val="false"/>
          <w:i/>
          <w:color w:val="000000"/>
          <w:sz w:val="18"/>
        </w:rPr>
        <w:t>Management’s Discussion and Analysis of Financial Condition and Results of Operations</w:t>
      </w:r>
      <w:r>
        <w:rPr>
          <w:color w:val="000000"/>
        </w:rPr>
        <w:t xml:space="preserve">” </w:t>
      </w:r>
      <w:r>
        <w:rPr>
          <w:rFonts w:ascii="Work Sans;sans-serif" w:hAnsi="Work Sans;sans-serif"/>
          <w:b w:val="false"/>
          <w:color w:val="000000"/>
          <w:sz w:val="18"/>
        </w:rPr>
        <w:t xml:space="preserve">in our Annual Report on Form 10-K for the year ended December 31, 2022, which was filed with the SEC on March 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w:t>
      </w:r>
      <w:r>
        <w:rPr>
          <w:rFonts w:ascii="Work Sans;sans-serif" w:hAnsi="Work Sans;sans-serif"/>
          <w:b w:val="false"/>
          <w:color w:val="000000"/>
          <w:sz w:val="18"/>
          <w:shd w:fill="FFFFFF" w:val="clear"/>
        </w:rPr>
        <w:t>rporate purposes. At December 31, 2023, our principal sources of liquidity were cash and cash equivalents of $225.7 million, which consisted of cash on deposit with banks and money market funds, of which approximately $2.0 million related to our foreign subsidiaries. Our cash and cash equivalents increased by $36.6 million from December 31, 2022 to December 31, 2023, primarily as a result of cash provided by operating activities, partially offset by purchases of property and equipment and stock repurchases during the year.</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We currently anticipate that our available cash, cash equivalents</w:t>
      </w:r>
      <w:r>
        <w:rPr>
          <w:color w:val="000000"/>
        </w:rPr>
        <w:t xml:space="preserve"> </w:t>
      </w:r>
      <w:r>
        <w:rPr>
          <w:rFonts w:ascii="Work Sans;sans-serif" w:hAnsi="Work Sans;sans-serif"/>
          <w:b w:val="false"/>
          <w:color w:val="000000"/>
          <w:sz w:val="18"/>
        </w:rPr>
        <w:t>and cash provided by operating activities will be sufficient to meet our operational cash needs for at least the next twelve months and in the foreseeable future. We have the ability to supplement our liquidity needs with borrowings under our 2021 Revolving Facility. In addition, we previously announced our intention to sell our operating headquarters in Austin, Texas, which is discussed in more detail in Note 4 to our consolidated financial statements included elsewhere in this Annual Report on Form 10-K.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On March 1, 2022, our board of directors approved the 2022 stock repurchase program, which authorized management to repurchase up to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 xml:space="preserve">of our common stock from time to time. The 2022 stock repurchase program was exhausted in September 2023. In October 2023, our board of directors approved the new 2023 stock repurchase program, which authorizes management to repurchase up to </w:t>
      </w:r>
      <w:r>
        <w:rPr>
          <w:rFonts w:ascii="Work Sans;sans-serif" w:hAnsi="Work Sans;sans-serif"/>
          <w:b w:val="false"/>
          <w:color w:val="000000"/>
          <w:sz w:val="18"/>
          <w:shd w:fill="FFFFFF" w:val="clear"/>
        </w:rPr>
        <w:t>$100.0 million</w:t>
      </w:r>
      <w:r>
        <w:rPr>
          <w:color w:val="000000"/>
        </w:rPr>
        <w:t xml:space="preserve"> </w:t>
      </w:r>
      <w:r>
        <w:rPr>
          <w:rFonts w:ascii="Work Sans;sans-serif" w:hAnsi="Work Sans;sans-serif"/>
          <w:b w:val="false"/>
          <w:color w:val="000000"/>
          <w:sz w:val="18"/>
        </w:rPr>
        <w:t xml:space="preserve">of our common stock from time to time. At December 31, 2023, </w:t>
      </w:r>
      <w:r>
        <w:rPr>
          <w:rFonts w:ascii="Work Sans;sans-serif" w:hAnsi="Work Sans;sans-serif"/>
          <w:b w:val="false"/>
          <w:color w:val="000000"/>
          <w:sz w:val="18"/>
          <w:shd w:fill="FFFFFF" w:val="clear"/>
        </w:rPr>
        <w:t>$100.0 million</w:t>
      </w:r>
      <w:r>
        <w:rPr>
          <w:color w:val="000000"/>
        </w:rPr>
        <w:t xml:space="preserve"> </w:t>
      </w:r>
      <w:r>
        <w:rPr>
          <w:rFonts w:ascii="Work Sans;sans-serif" w:hAnsi="Work Sans;sans-serif"/>
          <w:b w:val="false"/>
          <w:color w:val="000000"/>
          <w:sz w:val="18"/>
        </w:rPr>
        <w:t xml:space="preserve">remained available for repurchases of our common stock under the 2023 stock repurchase program. For additional information regarding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9"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Work Sans;sans-serif" w:hAnsi="Work Sans;sans-serif"/>
          <w:b w:val="false"/>
          <w:color w:val="000000"/>
          <w:sz w:val="18"/>
        </w:rPr>
        <w:t>repurchase programs, refer to</w:t>
      </w:r>
      <w:r>
        <w:rPr>
          <w:color w:val="000000"/>
        </w:rPr>
        <w:t xml:space="preserve"> </w:t>
      </w:r>
      <w:r>
        <w:rPr>
          <w:rFonts w:ascii="Work Sans;sans-serif" w:hAnsi="Work Sans;sans-serif"/>
          <w:b w:val="false"/>
          <w:color w:val="000000"/>
          <w:sz w:val="18"/>
        </w:rPr>
        <w:t>Note 14 to our consolidated financial statements included elsewhere in this Annual Report on Form 10-K.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Revolving Facility</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On July 2, 2021, we entered into our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 xml:space="preserve">2021 Revolving Facility with JPMorgan Chase Bank, N.A., as the administrative agent. The 2021 Revolving Facility, as amended, provides for the issuance of up to </w:t>
      </w:r>
      <w:r>
        <w:rPr>
          <w:rFonts w:ascii="Work Sans;sans-serif" w:hAnsi="Work Sans;sans-serif"/>
          <w:b w:val="false"/>
          <w:color w:val="000000"/>
          <w:sz w:val="18"/>
          <w:shd w:fill="FFFFFF" w:val="clear"/>
        </w:rPr>
        <w:t>$20.0 million</w:t>
      </w:r>
      <w:r>
        <w:rPr>
          <w:color w:val="000000"/>
        </w:rPr>
        <w:t xml:space="preserve"> </w:t>
      </w:r>
      <w:r>
        <w:rPr>
          <w:rFonts w:ascii="Work Sans;sans-serif" w:hAnsi="Work Sans;sans-serif"/>
          <w:b w:val="false"/>
          <w:color w:val="000000"/>
          <w:sz w:val="18"/>
        </w:rPr>
        <w:t xml:space="preserve">of letters of credit as well as borrowings on same-day notice, referred to as swingline loans, in an amount of up to </w:t>
      </w:r>
      <w:r>
        <w:rPr>
          <w:rFonts w:ascii="Work Sans;sans-serif" w:hAnsi="Work Sans;sans-serif"/>
          <w:b w:val="false"/>
          <w:color w:val="000000"/>
          <w:sz w:val="18"/>
          <w:shd w:fill="FFFFFF" w:val="clear"/>
        </w:rPr>
        <w:t>$10.0 million</w:t>
      </w:r>
      <w:r>
        <w:rPr>
          <w:rFonts w:ascii="Work Sans;sans-serif" w:hAnsi="Work Sans;sans-serif"/>
          <w:b w:val="false"/>
          <w:color w:val="000000"/>
          <w:sz w:val="18"/>
        </w:rPr>
        <w:t xml:space="preserve">. At December 31, 2023, we had no borrowings outstanding and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was available for use under our 2021 Revolving Facility.</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Subject to the satisfaction of certain criteria, we will be able to increase the 2021 Revolving Facility by an amount equal to the sum of (i) the greater of </w:t>
      </w:r>
      <w:r>
        <w:rPr>
          <w:rFonts w:ascii="Work Sans;sans-serif" w:hAnsi="Work Sans;sans-serif"/>
          <w:b w:val="false"/>
          <w:color w:val="000000"/>
          <w:sz w:val="18"/>
          <w:shd w:fill="FFFFFF" w:val="clear"/>
        </w:rPr>
        <w:t>$90.0 million</w:t>
      </w:r>
      <w:r>
        <w:rPr>
          <w:color w:val="000000"/>
        </w:rPr>
        <w:t xml:space="preserve"> </w:t>
      </w:r>
      <w:r>
        <w:rPr>
          <w:rFonts w:ascii="Work Sans;sans-serif" w:hAnsi="Work Sans;sans-serif"/>
          <w:b w:val="false"/>
          <w:color w:val="000000"/>
          <w:sz w:val="18"/>
        </w:rPr>
        <w:t xml:space="preserve">and 75% of consolidated last twelve months cash earnings before interest expense, tax, depreciation and amortization, or LTM CEBITDA, plus (ii) unused amounts under the general debt basket (i.e., an amount equal to the greater of </w:t>
      </w:r>
      <w:r>
        <w:rPr>
          <w:rFonts w:ascii="Work Sans;sans-serif" w:hAnsi="Work Sans;sans-serif"/>
          <w:b w:val="false"/>
          <w:color w:val="000000"/>
          <w:sz w:val="18"/>
          <w:shd w:fill="FFFFFF" w:val="clear"/>
        </w:rPr>
        <w:t>$50.0 million</w:t>
      </w:r>
      <w:r>
        <w:rPr>
          <w:color w:val="000000"/>
        </w:rPr>
        <w:t xml:space="preserve"> </w:t>
      </w:r>
      <w:r>
        <w:rPr>
          <w:rFonts w:ascii="Work Sans;sans-serif" w:hAnsi="Work Sans;sans-serif"/>
          <w:b w:val="false"/>
          <w:color w:val="000000"/>
          <w:sz w:val="18"/>
        </w:rPr>
        <w:t>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At December 31, 2023, the interest rate applicable to the 2021 Revolving Facility was subject to a 1.0% floor and was at a rate equal to </w:t>
      </w:r>
      <w:r>
        <w:rPr>
          <w:rFonts w:ascii="Work Sans;sans-serif" w:hAnsi="Work Sans;sans-serif"/>
          <w:b w:val="false"/>
          <w:color w:val="000000"/>
          <w:sz w:val="18"/>
          <w:shd w:fill="FFFFFF" w:val="clear"/>
        </w:rPr>
        <w:t xml:space="preserve">the greatest of: (i) the administrative agent’s prime rate; (ii) the federal funds effective rate plus 1/2 of 1.0%; and (iii) </w:t>
      </w:r>
      <w:r>
        <w:rPr>
          <w:rFonts w:ascii="Work Sans;sans-serif" w:hAnsi="Work Sans;sans-serif"/>
          <w:b w:val="false"/>
          <w:color w:val="000000"/>
          <w:sz w:val="18"/>
        </w:rPr>
        <w:t>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on July 1, 2026.</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50"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10205" w:type="dxa"/>
        <w:jc w:val="left"/>
        <w:tblInd w:w="0" w:type="dxa"/>
        <w:tblLayout w:type="fixed"/>
        <w:tblCellMar>
          <w:top w:w="28" w:type="dxa"/>
          <w:left w:w="28" w:type="dxa"/>
          <w:bottom w:w="28" w:type="dxa"/>
          <w:right w:w="28" w:type="dxa"/>
        </w:tblCellMar>
      </w:tblPr>
      <w:tblGrid>
        <w:gridCol w:w="2663"/>
        <w:gridCol w:w="2316"/>
        <w:gridCol w:w="2331"/>
        <w:gridCol w:w="226"/>
        <w:gridCol w:w="946"/>
        <w:gridCol w:w="109"/>
        <w:gridCol w:w="109"/>
        <w:gridCol w:w="109"/>
        <w:gridCol w:w="109"/>
        <w:gridCol w:w="226"/>
        <w:gridCol w:w="905"/>
        <w:gridCol w:w="156"/>
      </w:tblGrid>
      <w:tr>
        <w:trPr/>
        <w:tc>
          <w:tcPr>
            <w:tcW w:w="266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7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7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73,837 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(30,622)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(56,150)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(93,343)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cash equivalents and restricted cash equivalent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and cash equivalents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36,637 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(50,215)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For a discussion of our cash flows for the year ended December 31, 2021, refer to Part II, Item 7, “</w:t>
      </w:r>
      <w:r>
        <w:rPr>
          <w:rFonts w:ascii="Work Sans;sans-serif" w:hAnsi="Work Sans;sans-serif"/>
          <w:b w:val="false"/>
          <w:i/>
          <w:color w:val="000000"/>
          <w:sz w:val="18"/>
        </w:rPr>
        <w:t>Management’s Discussion and Analysis of Financial Condition and Results of Operations</w:t>
      </w:r>
      <w:r>
        <w:rPr>
          <w:color w:val="000000"/>
        </w:rPr>
        <w:t xml:space="preserve">” </w:t>
      </w:r>
      <w:r>
        <w:rPr>
          <w:rFonts w:ascii="Work Sans;sans-serif" w:hAnsi="Work Sans;sans-serif"/>
          <w:b w:val="false"/>
          <w:color w:val="000000"/>
          <w:sz w:val="18"/>
        </w:rPr>
        <w:t xml:space="preserve">in our Annual Report on Form 10-K for the year ended December 31, 2022, which was filed with the Securities and Exchange Commission on March 1, 2023.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(loss) adjusted for certain non-cash items, including depreciation and amortization expense, stock-based compensation and impairments of long-lived assets, as well as the effect of changes in operating assets and liabilities.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cash provided by operating activities was $124.3 million resulting from a net income of $14.0 million, adjusted for stock-based compensation and other non-cash expenses of $96.8 million and net cash flows provided by changes in operating assets and liabilities of $13.6 million. The $13.6 million of net cash flows provided from changes in our operating assets and liabilities included a net $6.8 million increase in accounts payable, accrued expenses and other liabilities, and operating lease liabilities due to the timing of our payments, a $3.3 million increase in deferred revenue largely due to growth of our subscription units, which are predominantly billed in advance of our revenue recognition, and a $3.0 million decrease in accounts receivable, prepaid expenses and other current assets.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2022, cash provided by operating activities was $73.8 million resulting from a net loss of $48.7 million, adjusted for stock-based compensation and other non-cash expenses of $110.5 million and net cash flows provided by changes in operating assets and liabilities of $12.0 million. The $12.0 million of net cash flows provided from changes in our operating assets and liabilities included a $17.1 million increase in deferred revenue largely due to growth of our subscription units, which are predominantly billed in advance of our revenue recognition, partially offset by a net $2.2 million reduction in accounts payable, accrued expenses and other liabilities, and operating lease liabilities due to the timing of our payments and a $3.0 million increase in accounts receivable, prepaid expenses and other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net cash used in investing activities was $31.6 million, resulting primarily from purchase of property and equipment, including capitalized internal-use software.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2022, net cash used in investing activities was $30.6 million, resulting primarily from $22.1 million paid for property and equipment, including capitalized internal-use software, a $6.3 million payment for developed technology acquired from Revvsales Inc., and a $2.5 million payment for the acquisition of United Agency Services Corp.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1"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Net cash provided by financing activities is primarily impacted by exercises of stock options by our employees and issuances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net cash used in financing activities was $56.2 million, primarily for the repurchase of common stock under our 2022 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2022, net cash used in financing activities was $93.3 million, primarily for the repurchase of common stock under our 2022 stock repurchase program.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Other 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$46.5 million over a four year period, of which $32.8 million remains to be paid as of December 31,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we had various non-cancelable operating leases for office space and equipment, which expire between January 2024 and November 2029. At December 31, 2023, we had total minimum operating lease maturities of $10.1 million, $2.4 million of which mature within twelve months. See Note 8 of our consolidated financial statements included elsewhere in this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expense, interest income, provision for (benefit from) income taxes, depreciation and amortization, other expense (income), net, stock-based compensation, impairment of goodwill, long-lived and other assets, restructuring expenses, legal expenses, transaction-related expenses and certain other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(loss), which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2"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nearest GAAP equivalent of Adjusted EBITDA. Some of these limitations include that the non-GAAP financial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certain other expenses that we do not consider representative of our underlying operating performance, but that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w:t>
      </w:r>
    </w:p>
    <w:tbl>
      <w:tblPr>
        <w:tblW w:w="8943" w:type="dxa"/>
        <w:jc w:val="left"/>
        <w:tblInd w:w="0" w:type="dxa"/>
        <w:tblLayout w:type="fixed"/>
        <w:tblCellMar>
          <w:top w:w="28" w:type="dxa"/>
          <w:left w:w="28" w:type="dxa"/>
          <w:bottom w:w="28" w:type="dxa"/>
          <w:right w:w="28" w:type="dxa"/>
        </w:tblCellMar>
      </w:tblPr>
      <w:tblGrid>
        <w:gridCol w:w="2043"/>
        <w:gridCol w:w="1795"/>
        <w:gridCol w:w="1802"/>
        <w:gridCol w:w="226"/>
        <w:gridCol w:w="946"/>
        <w:gridCol w:w="271"/>
        <w:gridCol w:w="109"/>
        <w:gridCol w:w="109"/>
        <w:gridCol w:w="109"/>
        <w:gridCol w:w="226"/>
        <w:gridCol w:w="916"/>
        <w:gridCol w:w="391"/>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(loss) to Adjusted EBITDA</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4,477 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3,000 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Transaction-related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1,795 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Work Sans;sans-serif" w:hAnsi="Work Sans;sans-serif"/>
                <w:b w:val="false"/>
                <w:color w:val="000000"/>
                <w:sz w:val="18"/>
              </w:rPr>
              <w:t>Certain other non-recurring expenses</w:t>
            </w:r>
            <w:r>
              <w:rPr>
                <w:rFonts w:ascii="Work Sans;sans-serif" w:hAnsi="Work Sans;sans-serif"/>
                <w:b w:val="false"/>
                <w:color w:val="000000"/>
                <w:sz w:val="12"/>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118,691 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63,705 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For 2023, restructuring costs related to the reduction of our U.S. and U.K. headcount. For 2022, restructuring expenses related to a phased severance event to reduce the U.S. headcount in June and August 2022. Restructuring expenses include salary and benefits for the impacted employees and are included in general and administrative expenses in the accompanying consolidated statements of operations appearing elsewhere in this Annual Report on Form 10-K.</w:t>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    For 2023, certain other non-recurring expenses included costs incurred by us in conjunction with secondary offerings of shares of our common stock by a selling stockholder in September 2023 and November 2023. For 2022, certain other non-recurring expenses included costs related to the departure of a member of management.</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increase in Adjusted EBITDA of $55.0 million for the year ended December 31, 2023 reflects an increase in revenue of $40.7 million, a reduction in operating expenses, excluding non-cash and non-recurring items, of $33.8 million, and a $7.5 million increase in interest income partially offset by increases in cost of revenue of $28.2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3"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678"/>
        <w:gridCol w:w="2353"/>
        <w:gridCol w:w="2358"/>
        <w:gridCol w:w="226"/>
        <w:gridCol w:w="946"/>
        <w:gridCol w:w="109"/>
        <w:gridCol w:w="109"/>
        <w:gridCol w:w="109"/>
        <w:gridCol w:w="109"/>
        <w:gridCol w:w="226"/>
        <w:gridCol w:w="826"/>
        <w:gridCol w:w="156"/>
      </w:tblGrid>
      <w:tr>
        <w:trPr/>
        <w:tc>
          <w:tcPr>
            <w:tcW w:w="267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73,837 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(22,098)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92,715 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51,739 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increase in our free cash flow of $41.0 million for the year ended December 31, 2023 was primarily due to a $50.5 million increase in net cash provided by operating activities. The increase in net cash provided by operating activities resulted from a $48.9 million increase in net income after adjusting for stock-based compensation and other non-cash items and a $1.5 million favorable change in our operating assets and liabilities. Free cash flow was also impacted by higher capital expenditures for the purchase of property and equipment, including capitalization of internal-use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2 to our consolidated financial statements appearing elsewhere in this Annual Report on Form 10-K for further information on certain accounting standards adopted in 2023 and recent accounting announcements that have not yet been required to be implemented and may be applicable to our future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recoverability of long-lived assets and goodwill, income taxes, commitments and contingencies, valuation of assets and liabilities acquired in business combinations, valuation of assets in asset acquisitions, fair value of derivative instruments and stock-based compensation. Actual results could differ materially from those estimates. Our most critical accounting policies are summarized below. See Note 2 to our consolidated financial statements included elsewhere in this Annual Report on Form 10-K for a discussion of our other significant accounting policies.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SaaS accounting solution subscriptions and SaaS subscriptions in the U.K. We generally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4"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generally pay for transactions in advance by credit or debit card except for certain services provided under installment plans where we allow customers to pay for their order in either two,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document storage,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5"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do not have significant financing components in arrangements with our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and since December 2021, tax advisory and preparation services through our fulfilled tax subscription, LZ Tax. For these services, revenue includes filing and similar fees. Our alternative business structures, or ABS, offer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third-parties, including deed transfer, accounting, tax, credit monitoring, business data protection, revenue is recognized net of fees payable to third-parties.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perform valuations of assets acquired and liabilities assumed for an acquisition and allocate the purchase price to their respective net tangible and intangible assets. Determining the fair value of assets acquired and liabilities assumed requires management to use significant judgment and estimates. Intangible assets consist primarily of customer relationships and developed technology. Judgment and estimates include the selection of valuation methodologies, estimates of future revenue and cash flows, the rate of customer subscription non-renewals, discount rates, the estimated level of effort and related costs of reproducing or replacing the assets acquired, and selection of comparable companies. We generally engage the assistance of third-party valuation specialists in determining fair values of assets acquired and liabilities assumed and contingent consideration, if any,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6"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accompanying consolidated statements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our goodwill impairment test performed in the fourth quarter of 2023 and 2022, the fair value of our consolidated reporting unit significantly exceeded our carrying value.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relevant information available to us. The determination of the likelihood of loss or the range of loss requires significant management judgment. We expense legal costs for defending legal proceedings as incurred.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13 to our consolidated financial statements included elsewhere in this Annual Report on Form 10-K for further information.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on a jurisdictional basis. A valuation allowance is established if, based upon the available evidence, it is more likely than not that some or all of the deferred tax assets will not be realized. We consider all available evidence, both positive and negative, including historical levels of income. We also consider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(benefit from) income taxes and the related impact on our net income (loss).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See Note 19 to our consolidated financial statements included elsewhere in this Annual Report on Form 10-K for further information on our income taxes.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7"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240" w:after="120"/>
        <w:ind w:left="0" w:right="0" w:firstLine="450"/>
        <w:jc w:val="left"/>
        <w:rPr/>
      </w:pPr>
      <w:r>
        <w:rPr>
          <w:rFonts w:ascii="Work Sans;sans-serif" w:hAnsi="Work Sans;sans-serif"/>
          <w:b/>
          <w:i/>
          <w:color w:val="000000"/>
          <w:sz w:val="18"/>
        </w:rPr>
        <w:t>Options</w:t>
      </w:r>
      <w:r>
        <w:rPr>
          <w:rFonts w:ascii="Work Sans;sans-serif" w:hAnsi="Work Sans;sans-serif"/>
          <w:b/>
          <w:color w:val="000000"/>
          <w:sz w:val="18"/>
        </w:rPr>
        <w:t xml:space="preserve">. </w:t>
      </w:r>
      <w:r>
        <w:rPr>
          <w:rFonts w:ascii="Work Sans;sans-serif" w:hAnsi="Work Sans;sans-serif"/>
          <w:b w:val="false"/>
          <w:color w:val="000000"/>
          <w:sz w:val="18"/>
        </w:rPr>
        <w:t>The Black-Scholes option pricing model and the Monte Carlo simulation model requires us to make certain assumptions including the fair value of our underlying common stock, the expected term, the expected stock price volatility, the risk-free interest rates and the expected dividend yield of our common stock. These assumptions used in the Black-Scholes option pricing model, other than the fair value of our common stock, are estimated as follows: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term</w:t>
      </w:r>
      <w:r>
        <w:rPr>
          <w:rFonts w:ascii="Work Sans;sans-serif" w:hAnsi="Work Sans;sans-serif"/>
          <w:b/>
          <w:color w:val="000000"/>
          <w:sz w:val="18"/>
        </w:rPr>
        <w:t xml:space="preserve">. </w:t>
      </w: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Risk-free interest rate</w:t>
      </w:r>
      <w:r>
        <w:rPr>
          <w:rFonts w:ascii="Work Sans;sans-serif" w:hAnsi="Work Sans;sans-serif"/>
          <w:b/>
          <w:color w:val="000000"/>
          <w:sz w:val="18"/>
        </w:rPr>
        <w:t xml:space="preserve">. </w:t>
      </w:r>
      <w:r>
        <w:rPr>
          <w:rFonts w:ascii="Work Sans;sans-serif" w:hAnsi="Work Sans;sans-serif"/>
          <w:b w:val="false"/>
          <w:color w:val="000000"/>
          <w:sz w:val="18"/>
        </w:rPr>
        <w:t>The risk-free interest rate assumption is based upon observed interest rates on the U.S. government securities appropriate for the expected term of our stock options.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volatility</w:t>
      </w:r>
      <w:r>
        <w:rPr>
          <w:rFonts w:ascii="Work Sans;sans-serif" w:hAnsi="Work Sans;sans-serif"/>
          <w:b/>
          <w:color w:val="000000"/>
          <w:sz w:val="18"/>
        </w:rPr>
        <w:t xml:space="preserve">. </w:t>
      </w: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companies’ common stock for a period equal to the expected term of the options. We periodically assess the comparable companies and other relevant factors used to measure expected volatility for future stock option grants.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dividend yield</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The dividend yield assumption is based on our history and expectation of dividend payouts. Other than the special dividends declared in 2015, 2017, 2018, 2020 and 2021 which resulted in corresponding reductions in the exercise price of the stock options, we have not declared any cash dividends on our common stock, and we do not anticipate paying any cash dividends in the foreseeable future.</w:t>
      </w:r>
    </w:p>
    <w:p>
      <w:pPr>
        <w:pStyle w:val="TextBody"/>
        <w:bidi w:val="0"/>
        <w:spacing w:lineRule="auto" w:line="288" w:before="0" w:after="0"/>
        <w:ind w:left="0" w:right="0" w:hanging="360"/>
        <w:jc w:val="left"/>
        <w:rPr/>
      </w:pPr>
      <w:r>
        <w:rPr>
          <w:color w:val="000000"/>
        </w:rPr>
        <w:t>•</w:t>
      </w:r>
      <w:r>
        <w:rPr>
          <w:rFonts w:ascii="Work Sans;sans-serif" w:hAnsi="Work Sans;sans-serif"/>
          <w:b/>
          <w:i/>
          <w:color w:val="000000"/>
          <w:sz w:val="18"/>
        </w:rPr>
        <w:t xml:space="preserve">Common stock valuation. </w:t>
      </w:r>
      <w:r>
        <w:rPr>
          <w:rFonts w:ascii="Work Sans;sans-serif" w:hAnsi="Work Sans;sans-serif"/>
          <w:b w:val="false"/>
          <w:color w:val="000000"/>
          <w:sz w:val="18"/>
        </w:rPr>
        <w:t>We utilize our common stock values as traded in the public market as an input into our valuation models.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 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any of the assumptions used in the Black-Scholes option pricing model change significantly, stock-based compensation for future awards may differ materially compared with the awards granted previously.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(loss) for 2023 and 2022 may have been materially different.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weighted-average assumptions that were used to calculate the grant-date fair-value of our stock option grants were as follows:</w:t>
      </w:r>
    </w:p>
    <w:tbl>
      <w:tblPr>
        <w:tblW w:w="5855" w:type="dxa"/>
        <w:jc w:val="center"/>
        <w:tblInd w:w="0" w:type="dxa"/>
        <w:tblLayout w:type="fixed"/>
        <w:tblCellMar>
          <w:top w:w="28" w:type="dxa"/>
          <w:left w:w="28" w:type="dxa"/>
          <w:bottom w:w="28" w:type="dxa"/>
          <w:right w:w="28" w:type="dxa"/>
        </w:tblCellMar>
      </w:tblPr>
      <w:tblGrid>
        <w:gridCol w:w="830"/>
        <w:gridCol w:w="731"/>
        <w:gridCol w:w="734"/>
        <w:gridCol w:w="445"/>
        <w:gridCol w:w="445"/>
        <w:gridCol w:w="445"/>
        <w:gridCol w:w="261"/>
        <w:gridCol w:w="261"/>
        <w:gridCol w:w="261"/>
        <w:gridCol w:w="261"/>
        <w:gridCol w:w="261"/>
        <w:gridCol w:w="657"/>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3.4%-3.8%</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50.4%-50.7%</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8"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pPr>
      <w:r>
        <w:rPr>
          <w:rFonts w:ascii="Work Sans;sans-serif" w:hAnsi="Work Sans;sans-serif"/>
          <w:b/>
          <w:i/>
          <w:color w:val="000000"/>
          <w:sz w:val="18"/>
        </w:rPr>
        <w:t>Restricted stock units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RSUs that vest upon the satisfaction of service-based vesting conditions, which is typically over a four-year period. For these RSUs, we recognize stock-based compensation expense on a straight-line basis over the vesting period of 4 years. RSUs with performance or market conditions are recognized using graded vesting.</w:t>
      </w:r>
    </w:p>
    <w:p>
      <w:pPr>
        <w:pStyle w:val="TextBody"/>
        <w:bidi w:val="0"/>
        <w:spacing w:lineRule="auto" w:line="288" w:before="240" w:after="120"/>
        <w:ind w:left="0" w:right="0" w:firstLine="450"/>
        <w:jc w:val="left"/>
        <w:rPr/>
      </w:pPr>
      <w:r>
        <w:rPr>
          <w:rFonts w:ascii="Work Sans;sans-serif" w:hAnsi="Work Sans;sans-serif"/>
          <w:b/>
          <w:i/>
          <w:color w:val="000000"/>
          <w:sz w:val="18"/>
        </w:rPr>
        <w:t>Award issuances and modifications in connection with our IPO.</w:t>
      </w:r>
      <w:r>
        <w:rPr>
          <w:color w:val="000000"/>
        </w:rPr>
        <w:t> </w:t>
      </w:r>
      <w:r>
        <w:rPr>
          <w:rFonts w:ascii="Work Sans;sans-serif" w:hAnsi="Work Sans;sans-serif"/>
          <w:b w:val="false"/>
          <w:color w:val="000000"/>
          <w:sz w:val="18"/>
        </w:rPr>
        <w:t>For retention purposes, in connection with our IPO, we amended certain vesting conditions of existing options and RSUs, and granted additional options and RSUs to our executive officers. See Note 15 to our consolidated financial statements included elsewhere in this Annual Report on Form 10-K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7A.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and 2022, we had cash and cash equivalents of $225.7 million and $189.1 million, respectively, which consisted of cash on deposit with banks and in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December 31, 2023 and 2022, and, consequently, we do not currently expect to be exposed to further fluctuations in interest rates for the foreseeable future. We would be subject to fluctuation in interest rates if we draw down under our 2021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foreign currency risks related to our revenue and expenses denominated in currencies other than our functional currency, the U.S. Dollar, principally the British pound sterling.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gain of $1.4 million in the year ended December 31, 2023. A 10% adverse change in foreign exchange rates on foreign-denominated accounts for the year ended December 31, 2023, including intercompany balances, would have resulted in a $0.7 million decrease in our reported foreign currency gain for the year ended December 31, 2023.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9"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INDEX TO CONSOLIDATED FINANCIAL STATEMENTS</w:t>
      </w:r>
    </w:p>
    <w:tbl>
      <w:tblPr>
        <w:tblW w:w="9240" w:type="dxa"/>
        <w:jc w:val="left"/>
        <w:tblInd w:w="0" w:type="dxa"/>
        <w:tblLayout w:type="fixed"/>
        <w:tblCellMar>
          <w:top w:w="28" w:type="dxa"/>
          <w:left w:w="28" w:type="dxa"/>
          <w:bottom w:w="28" w:type="dxa"/>
          <w:right w:w="28" w:type="dxa"/>
        </w:tblCellMar>
      </w:tblPr>
      <w:tblGrid>
        <w:gridCol w:w="3137"/>
        <w:gridCol w:w="2755"/>
        <w:gridCol w:w="2762"/>
        <w:gridCol w:w="171"/>
        <w:gridCol w:w="171"/>
        <w:gridCol w:w="244"/>
      </w:tblGrid>
      <w:tr>
        <w:trPr/>
        <w:tc>
          <w:tcPr>
            <w:tcW w:w="3137"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6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94">
              <w:r>
                <w:rPr>
                  <w:rStyle w:val="InternetLink"/>
                  <w:rFonts w:ascii="Work Sans;sans-serif" w:hAnsi="Work Sans;sans-serif"/>
                  <w:b w:val="false"/>
                  <w:color w:val="0000FF"/>
                  <w:sz w:val="18"/>
                  <w:u w:val="single"/>
                </w:rPr>
                <w:t>Report of Independent Registered Public Accounting Firm</w:t>
              </w:r>
            </w:hyperlink>
            <w:r>
              <w:rPr>
                <w:color w:val="000000"/>
              </w:rPr>
              <w:t xml:space="preserve"> </w:t>
            </w:r>
            <w:r>
              <w:rPr>
                <w:rFonts w:ascii="Work Sans;sans-serif" w:hAnsi="Work Sans;sans-serif"/>
                <w:b w:val="false"/>
                <w:color w:val="000000"/>
                <w:sz w:val="18"/>
              </w:rPr>
              <w:t>(PCAOB ID 238)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94">
              <w:r>
                <w:rPr>
                  <w:rStyle w:val="InternetLink"/>
                  <w:rFonts w:ascii="Work Sans;sans-serif" w:hAnsi="Work Sans;sans-serif"/>
                  <w:b w:val="false"/>
                  <w:color w:val="0000FF"/>
                  <w:sz w:val="18"/>
                  <w:u w:val="single"/>
                </w:rPr>
                <w:t>56</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97">
              <w:r>
                <w:rPr>
                  <w:rStyle w:val="InternetLink"/>
                  <w:rFonts w:ascii="Work Sans;sans-serif" w:hAnsi="Work Sans;sans-serif"/>
                  <w:b w:val="false"/>
                  <w:color w:val="0000FF"/>
                  <w:sz w:val="18"/>
                  <w:u w:val="single"/>
                </w:rPr>
                <w:t>Audited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97">
              <w:r>
                <w:rPr>
                  <w:rStyle w:val="InternetLink"/>
                  <w:rFonts w:ascii="Work Sans;sans-serif" w:hAnsi="Work Sans;sans-serif"/>
                  <w:b w:val="false"/>
                  <w:color w:val="0000FF"/>
                  <w:sz w:val="18"/>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97">
              <w:r>
                <w:rPr>
                  <w:rStyle w:val="InternetLink"/>
                  <w:rFonts w:ascii="Work Sans;sans-serif" w:hAnsi="Work Sans;sans-serif"/>
                  <w:b w:val="false"/>
                  <w:color w:val="0000FF"/>
                  <w:sz w:val="18"/>
                  <w:u w:val="single"/>
                </w:rPr>
                <w:t>58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00">
              <w:r>
                <w:rPr>
                  <w:rStyle w:val="InternetLink"/>
                  <w:rFonts w:ascii="Work Sans;sans-serif" w:hAnsi="Work Sans;sans-serif"/>
                  <w:b w:val="false"/>
                  <w:color w:val="0000FF"/>
                  <w:sz w:val="18"/>
                  <w:u w:val="single"/>
                </w:rPr>
                <w:t>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00">
              <w:r>
                <w:rPr>
                  <w:rStyle w:val="InternetLink"/>
                  <w:rFonts w:ascii="Work Sans;sans-serif" w:hAnsi="Work Sans;sans-serif"/>
                  <w:b w:val="false"/>
                  <w:color w:val="0000FF"/>
                  <w:sz w:val="18"/>
                  <w:u w:val="single"/>
                </w:rPr>
                <w:t>59</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03">
              <w:r>
                <w:rPr>
                  <w:rStyle w:val="InternetLink"/>
                  <w:rFonts w:ascii="Work Sans;sans-serif" w:hAnsi="Work Sans;sans-serif"/>
                  <w:b w:val="false"/>
                  <w:color w:val="0000FF"/>
                  <w:sz w:val="18"/>
                  <w:u w:val="single"/>
                </w:rPr>
                <w:t>Consolidated Statements of Comprehensive Income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03">
              <w:r>
                <w:rPr>
                  <w:rStyle w:val="InternetLink"/>
                  <w:rFonts w:ascii="Work Sans;sans-serif" w:hAnsi="Work Sans;sans-serif"/>
                  <w:b w:val="false"/>
                  <w:color w:val="0000FF"/>
                  <w:sz w:val="18"/>
                  <w:u w:val="single"/>
                </w:rPr>
                <w:t>60</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192b6c8a1a840ef9bcdc0117640117d_106">
              <w:r>
                <w:rPr>
                  <w:rStyle w:val="InternetLink"/>
                  <w:rFonts w:ascii="Work Sans;sans-serif" w:hAnsi="Work Sans;sans-serif"/>
                  <w:b w:val="false"/>
                  <w:color w:val="0000FF"/>
                  <w:sz w:val="18"/>
                  <w:u w:val="single"/>
                </w:rPr>
                <w:t>Consolidated Statements of Redeemable Convertible Preferred Stock and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06">
              <w:r>
                <w:rPr>
                  <w:rStyle w:val="InternetLink"/>
                  <w:rFonts w:ascii="Work Sans;sans-serif" w:hAnsi="Work Sans;sans-serif"/>
                  <w:b w:val="false"/>
                  <w:color w:val="0000FF"/>
                  <w:sz w:val="18"/>
                  <w:u w:val="single"/>
                </w:rPr>
                <w:t>61</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09">
              <w:r>
                <w:rPr>
                  <w:rStyle w:val="InternetLink"/>
                  <w:rFonts w:ascii="Work Sans;sans-serif" w:hAnsi="Work Sans;sans-serif"/>
                  <w:b w:val="false"/>
                  <w:color w:val="0000FF"/>
                  <w:sz w:val="18"/>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09">
              <w:r>
                <w:rPr>
                  <w:rStyle w:val="InternetLink"/>
                  <w:rFonts w:ascii="Work Sans;sans-serif" w:hAnsi="Work Sans;sans-serif"/>
                  <w:b w:val="false"/>
                  <w:color w:val="0000FF"/>
                  <w:sz w:val="18"/>
                  <w:u w:val="single"/>
                </w:rPr>
                <w:t>63</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b6c8a1a840ef9bcdc0117640117d_112">
              <w:r>
                <w:rPr>
                  <w:rStyle w:val="InternetLink"/>
                  <w:rFonts w:ascii="Work Sans;sans-serif" w:hAnsi="Work Sans;sans-serif"/>
                  <w:b w:val="false"/>
                  <w:color w:val="0000FF"/>
                  <w:sz w:val="18"/>
                  <w:u w:val="singl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b6c8a1a840ef9bcdc0117640117d_112">
              <w:r>
                <w:rPr>
                  <w:rStyle w:val="InternetLink"/>
                  <w:rFonts w:ascii="Work Sans;sans-serif" w:hAnsi="Work Sans;sans-serif"/>
                  <w:b w:val="false"/>
                  <w:color w:val="0000FF"/>
                  <w:sz w:val="18"/>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60"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Report of Independent Registered Public Accounting Firm</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To the Board of Directors and Stockholders of LegalZoom.com, Inc.</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Opinions on the Financial Statements and Internal Control over Financial Reporting</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have audited the accompanying consolidated balance sheets of LegalZoom.com, Inc. and its subsidiaries (the “Company”) as of December 31, 2023 and 2022, and the related consolidated statements of operations, of comprehensive income (loss), of redeemable convertible preferred stock and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 </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Change in Accounting Principle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As discussed in Note 2 to the consolidated financial statements, the Company changed the manner in which it accounts for leases in 2022.</w:t>
      </w:r>
    </w:p>
    <w:p>
      <w:pPr>
        <w:pStyle w:val="TextBody"/>
        <w:bidi w:val="0"/>
        <w:spacing w:lineRule="auto" w:line="288" w:before="120" w:after="120"/>
        <w:jc w:val="left"/>
        <w:rPr/>
      </w:pPr>
      <w:r>
        <w:rPr>
          <w:rFonts w:ascii="Work Sans;sans-serif" w:hAnsi="Work Sans;sans-serif"/>
          <w:b/>
          <w:i/>
          <w:color w:val="000000"/>
          <w:sz w:val="18"/>
        </w:rPr>
        <w:t>Basis for Opinions</w:t>
      </w:r>
      <w:r>
        <w:rPr>
          <w:color w:val="000000"/>
        </w:rPr>
        <w:t xml:space="preserve">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Definition and Limitations of Internal Control over Financial Reporting</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1"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Critical Audit Matters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As described in Note 2 to the consolidated financial statements, the Company’s total consolidated revenue was $660.7 million for the year ended December 31, 2023. The Company recognizes revenue when the performance obligation is satisfied by transferring the promised good or service to the customer. For transaction-based services, revenue is generally recognized at a point-in-time when the services are delivered to the customer. For subscription-based services, revenue is generally recognized on a straight-line basis over the subscription term. Revenue earned from leads generated to third-party providers is recognized at a point-in-time when the related performance-based criteria have been met. Services can generally either be purchased on a stand-alone basis or bundled together as part of a package of services. Accordingly, a significant number of the Company’s arrangements include multiple performance obligations. The transaction price is based on the contractual amounts and is allocated to each separate performance obligation based on the amount of consideration which management expects to be entitled in exchange for the services provided.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principal considerations for our determination that performing procedures relating to revenue recognition is a critical audit matter are (i) a high degree of auditor effort in performing procedures related to the Company’s revenue recognition and (ii) as disclosed by management, material weaknesses existed during the year related to this matter. </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at the transaction price based on contractual amounts. These procedures also included, among others (i) testing the revenue recognized for a sample of revenue transactions by obtaining and inspecting source documents, such as purchase orders, invoices, customer contracts, proof of shipment, and subsequent payment receipts and (ii) testing a sample of outstanding customer invoice balances as of December 31, 2023 by obtaining and inspecting source documents, such as purchase orders, invoices, customer contracts, proof of shipment, and subsequent payment receipts.</w:t>
      </w:r>
    </w:p>
    <w:p>
      <w:pPr>
        <w:pStyle w:val="TextBody"/>
        <w:bidi w:val="0"/>
        <w:spacing w:before="120" w:after="12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Los Angeles, California</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February 29, 2024</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have served as the Company’s auditor since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2"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090"/>
        <w:gridCol w:w="2106"/>
        <w:gridCol w:w="2074"/>
        <w:gridCol w:w="226"/>
        <w:gridCol w:w="946"/>
        <w:gridCol w:w="109"/>
        <w:gridCol w:w="109"/>
        <w:gridCol w:w="109"/>
        <w:gridCol w:w="109"/>
        <w:gridCol w:w="226"/>
        <w:gridCol w:w="946"/>
        <w:gridCol w:w="155"/>
      </w:tblGrid>
      <w:tr>
        <w:trPr/>
        <w:tc>
          <w:tcPr>
            <w:tcW w:w="3090"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Accounts receivable, net of allowances of $4,906 and $4,730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Current assets held for 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241,680 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 (amortized cost of $836 and $812)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405,395 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164,200 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249,202 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 (Note 13)</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December 31, 2023 and 2022, none issued or outstanding at December 31, 2023 and 2022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and 1,000,000 shares authorized; 188,538 and 190,822 shares issued and outstanding at December 31, 2023 and 2022,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1,032,550 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(891,862)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Total stockholders’ equity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142,375 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405,395 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3"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53"/>
        <w:gridCol w:w="1678"/>
        <w:gridCol w:w="1679"/>
        <w:gridCol w:w="226"/>
        <w:gridCol w:w="946"/>
        <w:gridCol w:w="109"/>
        <w:gridCol w:w="109"/>
        <w:gridCol w:w="109"/>
        <w:gridCol w:w="109"/>
        <w:gridCol w:w="226"/>
        <w:gridCol w:w="946"/>
        <w:gridCol w:w="109"/>
        <w:gridCol w:w="109"/>
        <w:gridCol w:w="109"/>
        <w:gridCol w:w="109"/>
        <w:gridCol w:w="226"/>
        <w:gridCol w:w="996"/>
        <w:gridCol w:w="157"/>
      </w:tblGrid>
      <w:tr>
        <w:trPr/>
        <w:tc>
          <w:tcPr>
            <w:tcW w:w="225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575,080 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408,884 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385,716 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279,281 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470,792 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(85,076)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(28,045)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Loss on debt extinguishment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(7,748)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Income (loss) before income taxes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(119,615)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(0.67)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attributable to common stockholders: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161,424 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Diluted</w:t>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161,424 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64"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426"/>
        <w:gridCol w:w="1736"/>
        <w:gridCol w:w="1642"/>
        <w:gridCol w:w="226"/>
        <w:gridCol w:w="826"/>
        <w:gridCol w:w="109"/>
        <w:gridCol w:w="109"/>
        <w:gridCol w:w="109"/>
        <w:gridCol w:w="109"/>
        <w:gridCol w:w="226"/>
        <w:gridCol w:w="874"/>
        <w:gridCol w:w="109"/>
        <w:gridCol w:w="109"/>
        <w:gridCol w:w="109"/>
        <w:gridCol w:w="109"/>
        <w:gridCol w:w="226"/>
        <w:gridCol w:w="994"/>
        <w:gridCol w:w="157"/>
      </w:tblGrid>
      <w:tr>
        <w:trPr/>
        <w:tc>
          <w:tcPr>
            <w:tcW w:w="242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comprehensive income (loss), net of tax:</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Unrealized gains (losses),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change in available-for-sale debt securities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unrealized gain (loss) on cash flow hedges: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Unrealized gain (loss) on interest rate cap and swaps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Reclassification of prior hedge effectiveness and losses from interest rate cap to net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Reclassification to net income (loss) upon discontinuance of interest rate swaps and prior hedge effectiveness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net changes in cash flow hedges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other comprehensive (loss)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(96,632)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5"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Redeemable Convertible Preferred Stock and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4544" w:type="dxa"/>
        <w:jc w:val="left"/>
        <w:tblInd w:w="0" w:type="dxa"/>
        <w:tblLayout w:type="fixed"/>
        <w:tblCellMar>
          <w:top w:w="28" w:type="dxa"/>
          <w:left w:w="28" w:type="dxa"/>
          <w:bottom w:w="28" w:type="dxa"/>
          <w:right w:w="28" w:type="dxa"/>
        </w:tblCellMar>
      </w:tblPr>
      <w:tblGrid>
        <w:gridCol w:w="764"/>
        <w:gridCol w:w="368"/>
        <w:gridCol w:w="369"/>
        <w:gridCol w:w="420"/>
        <w:gridCol w:w="421"/>
        <w:gridCol w:w="271"/>
        <w:gridCol w:w="109"/>
        <w:gridCol w:w="109"/>
        <w:gridCol w:w="109"/>
        <w:gridCol w:w="226"/>
        <w:gridCol w:w="826"/>
        <w:gridCol w:w="109"/>
        <w:gridCol w:w="109"/>
        <w:gridCol w:w="109"/>
        <w:gridCol w:w="109"/>
        <w:gridCol w:w="109"/>
        <w:gridCol w:w="109"/>
        <w:gridCol w:w="109"/>
        <w:gridCol w:w="473"/>
        <w:gridCol w:w="473"/>
        <w:gridCol w:w="271"/>
        <w:gridCol w:w="117"/>
        <w:gridCol w:w="117"/>
        <w:gridCol w:w="117"/>
        <w:gridCol w:w="244"/>
        <w:gridCol w:w="568"/>
        <w:gridCol w:w="122"/>
        <w:gridCol w:w="109"/>
        <w:gridCol w:w="109"/>
        <w:gridCol w:w="109"/>
        <w:gridCol w:w="226"/>
        <w:gridCol w:w="946"/>
        <w:gridCol w:w="109"/>
        <w:gridCol w:w="109"/>
        <w:gridCol w:w="109"/>
        <w:gridCol w:w="109"/>
        <w:gridCol w:w="251"/>
        <w:gridCol w:w="1068"/>
        <w:gridCol w:w="122"/>
        <w:gridCol w:w="109"/>
        <w:gridCol w:w="109"/>
        <w:gridCol w:w="109"/>
        <w:gridCol w:w="325"/>
        <w:gridCol w:w="1212"/>
        <w:gridCol w:w="159"/>
        <w:gridCol w:w="109"/>
        <w:gridCol w:w="109"/>
        <w:gridCol w:w="109"/>
        <w:gridCol w:w="263"/>
        <w:gridCol w:w="1118"/>
        <w:gridCol w:w="180"/>
      </w:tblGrid>
      <w:tr>
        <w:trPr/>
        <w:tc>
          <w:tcPr>
            <w:tcW w:w="7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Series A Redeemable</w:t>
              <w:b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Total</w:t>
              <w:br/>
              <w:t>Stockholders’</w:t>
              <w:br/>
              <w:t>Equity (Deficit)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2020</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(639,348)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(13,827)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(550,632)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vesting of restricted stock awards and ESPP</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1,245 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(2,342)</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113,270 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Conversion of redeemable convertible preferred stock to common stock in connection with initial public offering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70,906 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in connection with initial public offering, net of underwriting discounts and commissions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581,833 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Private placement of common stock, net of underwriting discounts and commissions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85,050 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(5,636)</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issuance and repayments of full recourse notes receivable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Special 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12,032 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2021</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198,084 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(748,012)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197,551 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exercise of stock options and ESPP</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66"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tbl>
      <w:tblPr>
        <w:tblW w:w="13953" w:type="dxa"/>
        <w:jc w:val="left"/>
        <w:tblInd w:w="0" w:type="dxa"/>
        <w:tblLayout w:type="fixed"/>
        <w:tblCellMar>
          <w:top w:w="28" w:type="dxa"/>
          <w:left w:w="28" w:type="dxa"/>
          <w:bottom w:w="28" w:type="dxa"/>
          <w:right w:w="28" w:type="dxa"/>
        </w:tblCellMar>
      </w:tblPr>
      <w:tblGrid>
        <w:gridCol w:w="869"/>
        <w:gridCol w:w="315"/>
        <w:gridCol w:w="317"/>
        <w:gridCol w:w="270"/>
        <w:gridCol w:w="270"/>
        <w:gridCol w:w="271"/>
        <w:gridCol w:w="109"/>
        <w:gridCol w:w="109"/>
        <w:gridCol w:w="109"/>
        <w:gridCol w:w="376"/>
        <w:gridCol w:w="431"/>
        <w:gridCol w:w="109"/>
        <w:gridCol w:w="109"/>
        <w:gridCol w:w="109"/>
        <w:gridCol w:w="109"/>
        <w:gridCol w:w="109"/>
        <w:gridCol w:w="109"/>
        <w:gridCol w:w="109"/>
        <w:gridCol w:w="360"/>
        <w:gridCol w:w="361"/>
        <w:gridCol w:w="271"/>
        <w:gridCol w:w="117"/>
        <w:gridCol w:w="117"/>
        <w:gridCol w:w="117"/>
        <w:gridCol w:w="244"/>
        <w:gridCol w:w="568"/>
        <w:gridCol w:w="122"/>
        <w:gridCol w:w="109"/>
        <w:gridCol w:w="109"/>
        <w:gridCol w:w="109"/>
        <w:gridCol w:w="226"/>
        <w:gridCol w:w="1126"/>
        <w:gridCol w:w="109"/>
        <w:gridCol w:w="109"/>
        <w:gridCol w:w="109"/>
        <w:gridCol w:w="109"/>
        <w:gridCol w:w="251"/>
        <w:gridCol w:w="1068"/>
        <w:gridCol w:w="122"/>
        <w:gridCol w:w="109"/>
        <w:gridCol w:w="109"/>
        <w:gridCol w:w="109"/>
        <w:gridCol w:w="368"/>
        <w:gridCol w:w="1150"/>
        <w:gridCol w:w="178"/>
        <w:gridCol w:w="109"/>
        <w:gridCol w:w="109"/>
        <w:gridCol w:w="109"/>
        <w:gridCol w:w="266"/>
        <w:gridCol w:w="1113"/>
        <w:gridCol w:w="182"/>
      </w:tblGrid>
      <w:tr>
        <w:trPr/>
        <w:tc>
          <w:tcPr>
            <w:tcW w:w="8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Series A Redeemable</w:t>
              <w:b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Total</w:t>
              <w:br/>
              <w:t>Stockholders’</w:t>
              <w:br/>
              <w:t>Equity (Deficit)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vesting of restricted stock units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82,995 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Repurchase and retirement of common stock</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(95,117)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(95,126)</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loss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2022</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190,822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1,032,550 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(891,862)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142,375 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exercise of stock options and ESPP</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8,445 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Issuance of common stock upon vesting of restricted stock units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(9,587)</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70,071 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Repurchase and retirement of common stock</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(54,873)</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ork Sans;sans-serif" w:hAnsi="Work Sans;sans-serif"/>
                <w:b w:val="false"/>
                <w:color w:val="000000"/>
                <w:sz w:val="18"/>
              </w:rPr>
              <w:t xml:space="preserve">Stock repurchase costs </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 repurchase excise tax</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2023</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188,538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1,101,474 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(933,061)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168,834 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7"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376"/>
        <w:gridCol w:w="1712"/>
        <w:gridCol w:w="1722"/>
        <w:gridCol w:w="226"/>
        <w:gridCol w:w="826"/>
        <w:gridCol w:w="109"/>
        <w:gridCol w:w="109"/>
        <w:gridCol w:w="109"/>
        <w:gridCol w:w="109"/>
        <w:gridCol w:w="226"/>
        <w:gridCol w:w="871"/>
        <w:gridCol w:w="109"/>
        <w:gridCol w:w="109"/>
        <w:gridCol w:w="109"/>
        <w:gridCol w:w="109"/>
        <w:gridCol w:w="226"/>
        <w:gridCol w:w="991"/>
        <w:gridCol w:w="157"/>
      </w:tblGrid>
      <w:tr>
        <w:trPr/>
        <w:tc>
          <w:tcPr>
            <w:tcW w:w="237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to reconcile net income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prior hedge effectiveness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right-of-use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Loss on debt extinguishment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7,955 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Discontinuance of interest rate swaps and write-off of prior hedge effectiveness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financial guarantee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derivative instruments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other equity security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foreign exchange (gain)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58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Changes in operating assets and liabilities, net of effects of business combinations, asset acquisition and disposal of business: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54,152 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Acquisitions,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(61,523)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Asset acquisition, net of cash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acquisition working capital adjustment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upon extinguishment of interest rate swaps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other equity security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8"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 (continued)</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272"/>
        <w:gridCol w:w="1689"/>
        <w:gridCol w:w="1700"/>
        <w:gridCol w:w="226"/>
        <w:gridCol w:w="946"/>
        <w:gridCol w:w="109"/>
        <w:gridCol w:w="109"/>
        <w:gridCol w:w="109"/>
        <w:gridCol w:w="109"/>
        <w:gridCol w:w="226"/>
        <w:gridCol w:w="946"/>
        <w:gridCol w:w="109"/>
        <w:gridCol w:w="109"/>
        <w:gridCol w:w="109"/>
        <w:gridCol w:w="109"/>
        <w:gridCol w:w="226"/>
        <w:gridCol w:w="946"/>
        <w:gridCol w:w="156"/>
      </w:tblGrid>
      <w:tr>
        <w:trPr/>
        <w:tc>
          <w:tcPr>
            <w:tcW w:w="227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(77,673)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financing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Repayment of finance and capital lease obligations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debt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Repayment of 2018 Term Loan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(524,300)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Repayment of hybrid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upon extinguishment of hybrid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Repurchase and retirement of common stock</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stock repurchase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special dividends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issuance of common stock in initial public offering, net of underwriting discounts and commissions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581,833 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private placement, net of underwriting discounts and commissions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stock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issuance of stock under employee stock plans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provided by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123,359 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cash equivalents and restricted cash equivalent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cash equivalents and restricted cash equivalent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99,827 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and restricted cash equivalent, at beginning of the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at end of the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Supplemental cash flow data</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paid during the year for: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Non-cash operating, investing, and financing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assets obtained in exchange for new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stock-based compensation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 included in accounts payable and accrued expenses and other 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Conversion of Series A redeemable convertible preferred stock into common stock in connection with initial public offering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hedged interest rate swaps and interest rate cap</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stock repurchase excise tax</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9"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 provider of services that meet the legal needs of small businesses and consumers. Our position at business inception allows us to become a trusted business advisor, supporting the evolving needs of a new business across its lifecycle, and we have expanded our platform to include professional expertise and other products, both legal and non-legal, to better meet the needs of small businesses. Along with business formation, our offerings include ongoing compliance and tax advice and filings,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Initial Public Offering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prior term loan.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Summary of Significant Accounting Policies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accompanying consolidated financial statements are presented in accordance with accounting principles generally accepted in the United States of America, or GAAP. All intercompany balances and transactions have been eliminated in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occasion, we enter into relationships or investments with other entities that may be a variable interest entity, or VIE. We analyze our interests, including agreements, loans, guarantees, and equity investments on a periodic basis to determine if such interests are variable interests. If variable interests are identified, then the related entity is assessed to determine if it is a VIE. If we determine that the entity is a VIE, we then assess if we must consolidate the VIE as the primary beneficiary. Our determination of whether we are the primary beneficiary is based upon qualitative and quantitative analyses, which assess the purpose and design of the VIE, the nature of the VIE’s risks and the risks that we absorb, the power to direct activities that most significantly impact the economic performance of the VIE, and the obligation to absorb losses or the right to receive benefits that could be significant to the VIE.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Beginning in the fourth quarter of 2023, we include partner revenue in transaction and subscription revenue to conform with how we evaluate our performance. This change had no impact on total revenue. Prior period disaggregated revenue disclosures have been conformed to the current period presentation.</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Certain other reclassifications have been made to prior periods amounts to conform to the current period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70"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fair value of derivative instruments and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perform valuations of assets acquired and liabilities assumed for an acquisition and allocate the purchase price to their respective net tangible and intangible assets. Determining the fair value of assets acquired and liabilities assumed requires management to use judgment and estimates, including the selection of valuation methodologies, estimates of cash flows, discount rates and selection of comparable companies. We generally engage the assistance of a third-party valuation firm in determining fair values of assets acquired and liabilities assumed and contingent consideration, if any, in a business combination.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accompanying consolidated statements of operations.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Asset Acquisitions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evaluate acquisitions to determine whether the acquisition should be classified as either a business combination or an asset acquisition. Acquisitions for which substantially all of the fair value of the gross assets acquired are concentrated in a single identifiable asset or a group of similar identifiable assets are accounted for as an asset acquisition. If the gross assets are not concentrated in a single asset or group of similar assets, we then determine if the set of assets acquired represents a business. A business is an integrated set of activities and assets capable of being conducted and managed for the purpose of providing a return. Depending on the nature of the acquisition, judgment may be required to determine if the set of assets acquired is a business combination or not. We allocate the purchase price on a relative fair value basis and capitalize direct acquisition related costs as part of the purchase price. In making estimates of fair values for purposes of allocating the purchase price, we utilize an independent third-party to value the net tangible and identified intangible assets in connection with the acquisition.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Chief Executive Officer, as the Chief Operating Decision Maker organizes our company, manages resource allocations, and measures performance on the basis of one operating segment.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outside of the U.S., based on the location of the customer, represented less than 1% of our revenue for the years ended December 31, 2023, 2022 and 2021. Our property and equipment and right-of-use, or ROU, assets located outside of the U.S. were immaterial as of December 31, 2023 and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Foreign Currency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British Pound Sterling is the functional currency for our foreign subsidiaries domiciled in the U.K.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(loss) income as a component of our consolidated statements of redeemable convertible preferred stock and stockholders’ equity. We recognized foreign currency transaction gain in the accompanying consolidated statement of operations of $1.4 million for 2023 and losses of $3.6 million and $0.9 million for 2022 and 2021,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1"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used to measure fair value. A financial instrument’s categorization within the fair value hierarchy is based upon the lowest level of input that is significant to the fair value measurement. The fair value hierarchy is as follows:</w:t>
      </w:r>
    </w:p>
    <w:tbl>
      <w:tblPr>
        <w:tblW w:w="10205" w:type="dxa"/>
        <w:jc w:val="left"/>
        <w:tblInd w:w="0" w:type="dxa"/>
        <w:tblLayout w:type="fixed"/>
        <w:tblCellMar>
          <w:top w:w="28" w:type="dxa"/>
          <w:left w:w="28" w:type="dxa"/>
          <w:bottom w:w="28" w:type="dxa"/>
          <w:right w:w="28" w:type="dxa"/>
        </w:tblCellMar>
      </w:tblPr>
      <w:tblGrid>
        <w:gridCol w:w="363"/>
        <w:gridCol w:w="319"/>
        <w:gridCol w:w="324"/>
        <w:gridCol w:w="2861"/>
        <w:gridCol w:w="2613"/>
        <w:gridCol w:w="3725"/>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1 —</w:t>
            </w:r>
          </w:p>
        </w:tc>
        <w:tc>
          <w:tcPr>
            <w:tcW w:w="9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Quoted prices in active markets for identical assets and liabilities.</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2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Quoted prices for identical assets and liabilities in markets that are not active, quoted prices for similar assets and liabilities in active markets or financial instruments for which significant inputs are observable, either directly or indirectly.</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3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Unobservable inputs that are supported by little or no market activity and that are significant to the fair value of the assets or liabilities.</w:t>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and 2022, our financial assets recorded at fair value on a recurring basis consist of cash equivalents and available-for-sale debt securities. At December 31, 2022, our financial liabilities recorded at fair value on a recurring basis consisted of contingent consideration from the acquisition of United Agency Services Corp, or UA Services. The cash equivalent consists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 Contingent consideration is valued using the present value and probability of the estimated future cash outflow, which include inputs that represent Level 3 inputs in the fair value hierarchy.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Due to a large and diverse customer base, no individual customer represented more than 10% of total revenue in December 31, 2023, 2022 and 2021, respectively. At December 31, 2023 and 2022, there were no customers with an outstanding balance of 10% or more of our accounts receivable balance.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Cash and Cash Equivalents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Cash and cash equivalents consist of highly liquid investments with original maturities of ninety days or less at the date of purchase. At December 31, 2023 and 2022, our cash consisted of bank account deposits and our cash equivalents consisted of $209.0 million and $130.2 million, respectively, invested in money market funds.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December 31, 2023 and 2022,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Property and equipment are stated at cost, less accumulated depreciation. Repairs and maintenance are expensed as incurred whereas significant renewals and enhancements are capitalized. When assets are retired or otherwise disposed of, the cost and the related accumulated depreciation are removed from the respective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72"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accounts and any resulting gain or loss is reflected in our results of operations. Depreciation is calculated using the straight-line method over the estimated useful lives of the related assets as follows:</w:t>
      </w:r>
    </w:p>
    <w:tbl>
      <w:tblPr>
        <w:tblW w:w="7364" w:type="dxa"/>
        <w:jc w:val="left"/>
        <w:tblInd w:w="0" w:type="dxa"/>
        <w:tblLayout w:type="fixed"/>
        <w:tblCellMar>
          <w:top w:w="28" w:type="dxa"/>
          <w:left w:w="28" w:type="dxa"/>
          <w:bottom w:w="28" w:type="dxa"/>
          <w:right w:w="28" w:type="dxa"/>
        </w:tblCellMar>
      </w:tblPr>
      <w:tblGrid>
        <w:gridCol w:w="1925"/>
        <w:gridCol w:w="1690"/>
        <w:gridCol w:w="1695"/>
        <w:gridCol w:w="601"/>
        <w:gridCol w:w="601"/>
        <w:gridCol w:w="852"/>
      </w:tblGrid>
      <w:tr>
        <w:trPr/>
        <w:tc>
          <w:tcPr>
            <w:tcW w:w="192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Useful Life</w:t>
              <w:br/>
              <w:t>(Years)</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Purchased and internally developed internal-use software</w:t>
            </w:r>
          </w:p>
        </w:tc>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5–30</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Land improvements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7</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Land</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Indefinite</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Shorter of lease term</w:t>
              <w:br/>
              <w:t>or useful life</w:t>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Internal-use Software and Cloud Computing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Software development costs include costs to develop software to be used to meet internal needs and applications used to deliver our services. We capitalize development costs related to these software applications once the preliminary project stage is complete and it is probable that the project will be completed and the software will be used to perform the function intended. We amortize internal-use software costs on a straight-line basis over their estimated useful life of three years commencing when the internal-use software is substantially complete and ready for its intended purpose. Costs related to development of internal-use software are included in the accompanying consolidated balance sheets in property and equipment, net. Costs related to implementation of cloud computing arrangements that do not include a software license are included in the accompanying consolidated balance sheets in prepaid expenses and other current and non-current assets and are amortized over the contractual term of the underlying service arrangement.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Intangible Assets and Other Long-Lived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are stated at cost, net of accumulated amortization. Intangible assets with finite lives are amortized on a straight-line basis over their estimated useful lives, which approximates the pattern in which the economic benefits are consumed. We amortize our intangible assets over an estimated useful life of two to six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assess the impairment of long-lived assets, which consist primarily of property and equipment, right of use assets, acquired intangible assets, and capitalized internal-use software costs, whenever events or changes in circumstances indicate that such assets might be impaired and the carrying value may not be recoverable. Impairment testing is performed at an asset level that represents the lowest level for which identifiable cash flows are largely independent of the cash flows of other assets and liabilities, or an asset group. If an asset group is considered impaired, an impairment loss equal to the excess of the asset group’s carrying value over their fair value is recorded. Fair value is determined based on the present value of estimated expected future cash flows using a discount rate commensurate with the risk involved, quoted market prices, or appraised values, depending on the nature of the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73"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Derivative Financial Instruments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Prior to our IPO in 2021, derivative financial instruments, which included interest rate swaps, an interest rate cap, and a financial guarantee relating to a former executive officer, were recorded at fair value. For derivatives that qualified for hedge accounting, specifically as cash flow hedges, the change in fair value of the derivatives was recorded as an unrealized gain (loss), net of taxes, in the accompanying consolidated statements of comprehensive (loss) income. For derivatives that did not qualify for hedge accounting, the change in the fair value of our derivatives related to our long-term debt were recorded in interest expense, net, and the change in the fair value of our financial guarantee was recorded in other income, net, in the accompanying consolidated statements of operations. In 2021, our derivative positions were extinguished in connection with our IPO and full repayment of our long-term debt.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and 2022, we held long-term investments of certain privately held companies through the purchase of convertible promissory notes. These investments are classified as available-for-sale debt securities. For available-for-sale debt securities that have the estimated fair values below their amortized cost basis, we evaluate our intent to sell the security or whether we will more likely than not be required to sell the security before recovery of its amortized cost basis. If either of these criteria are met, the security’s amortized cost basis is written down to its fair value through earnings. If these criteria are not met, we evaluate whether the decline in fair value has resulted from credit loss or other factors. If the assessment indicates a credit loss exists, the credit-related portion of the loss is recorded as allowance for credit loss with a corresponding credit loss expense, included in the consolidated statement of operations. If the assessment indicates a credit loss does not exist, impairment is recognized in other comprehensive (loss) income, net of applicable taxes.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hold investments in equity securities of certain privately held companies, which do not have readily determinable fair values. We have elected to measure these non-marketable investments at cost, with remeasurements to fair value only upon the occurrence of observable price changes in orderly transactions for identical or similar securities of the same issuer, or in the event of any impairment. This election is reassessed each reporting period to determine whether a non-marketable equity security has a readily determinable fair value, in which case they would no longer be eligible for this election. We evaluate our non-marketable equity securities for impairment at each reporting period based on a qualitative assessment that considers various potential impairment indicators. If an impairment exists, a loss is recognized in the consolidated statements of operations for the amount by which the carrying value exceeds the fair value of the investment. We include investments in equity securities within other assets in the accompanying consolidated balance sheets.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Held for Sale</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classify long-lived assets or asset groups we plan to sell as held for sale on our consolidated balance sheets only after certain criteria have been met including: management has the authority and commits to a plan to sell the asset, the asset is available for immediate sale in its present condition, an active program to locate a buyer and the plan to sell the asset have been initiated, the sale of the asset is probable within twelve months, the asset is being actively marketed at a reasonable sales price relative to its current fair value, and it is unlikely that the plan to sell will be withdrawn or that significant changes to the plan will be made. We record assets or asset groups held for sale at the lower of their carrying value or fair value less costs to sell. Once classified as held for sale, depreciation and amortization is not recorded for any long-lived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Leases</w:t>
      </w:r>
    </w:p>
    <w:p>
      <w:pPr>
        <w:pStyle w:val="TextBody"/>
        <w:bidi w:val="0"/>
        <w:spacing w:lineRule="auto" w:line="268" w:before="0" w:after="0"/>
        <w:ind w:left="0" w:right="0" w:firstLine="450"/>
        <w:jc w:val="left"/>
        <w:rPr/>
      </w:pPr>
      <w:r>
        <w:rPr>
          <w:rFonts w:ascii="Work Sans;sans-serif" w:hAnsi="Work Sans;sans-serif"/>
          <w:b w:val="false"/>
          <w:color w:val="000000"/>
          <w:sz w:val="18"/>
        </w:rPr>
        <w:t xml:space="preserve">On January 1, 2022, we adopted Financial Accounting Standards Board, or FASB, Accounting Standards Codification, or ASC, No. 842, </w:t>
      </w:r>
      <w:r>
        <w:rPr>
          <w:rFonts w:ascii="Work Sans;sans-serif" w:hAnsi="Work Sans;sans-serif"/>
          <w:b w:val="false"/>
          <w:i/>
          <w:color w:val="000000"/>
          <w:sz w:val="18"/>
        </w:rPr>
        <w:t xml:space="preserve">Leases, </w:t>
      </w:r>
      <w:r>
        <w:rPr>
          <w:rFonts w:ascii="Work Sans;sans-serif" w:hAnsi="Work Sans;sans-serif"/>
          <w:b w:val="false"/>
          <w:color w:val="000000"/>
          <w:sz w:val="18"/>
        </w:rPr>
        <w:t xml:space="preserve">and related amendments, using the modified retrospective method. Financial information related to periods prior to adoption is as originally reported under the FASB, ASC No. 840, </w:t>
      </w:r>
      <w:r>
        <w:rPr>
          <w:rFonts w:ascii="Work Sans;sans-serif" w:hAnsi="Work Sans;sans-serif"/>
          <w:b w:val="false"/>
          <w:i/>
          <w:color w:val="000000"/>
          <w:sz w:val="18"/>
        </w:rPr>
        <w:t>Leases</w:t>
      </w:r>
      <w:r>
        <w:rPr>
          <w:rFonts w:ascii="Work Sans;sans-serif" w:hAnsi="Work Sans;sans-serif"/>
          <w:b w:val="false"/>
          <w:color w:val="000000"/>
          <w:sz w:val="18"/>
        </w:rPr>
        <w:t>. On January 1, 2022, we recorded operating lease ROU assets of $5.7 million and operating lease liabilities of $5.9 million. The difference between the leased assets and lease liabilities represents the existing deferred rent liabilities balance at adoption,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new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74"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also made accounting policy elections, including a short-term lease exception policy, permitting us to not apply the recognition requirements of this standard to short-term leases, which are leases with expected terms of twelve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determined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consolidated balance sheets. Leases with an initial term of twelve months or less are not recorded in our accompanying consolidated balance sheet.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agreements may contain variable lease payments. We include variable lease payments that depend on an index or a rate and exclude those which depend on facts or circumstances occurring after the commencement date, other than the passage of time.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Debt Issuance Costs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Debt issuance costs associated with our term loans are deducted from the carrying value of current and long-term debt in the accompanying consolidated balance sheets and are amortized over the term of the loan using the effective interest method. Debt issuance costs associated with revolving facilities are classified as other assets in the accompanying consolidated balance sheets and are amortized over the term of the respective facility on a straight-line basis over the term of the revolving facilities. Debt issuance costs are amortized to interest expense, net in the accompanying consolidated statements of operations. In 2021, upon the full repayment of our long-term debt in connection with our IPO, we recorded a loss on debt extinguishment of $7.7 million, which mainly consisted of unamortized debt issuance costs.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Offering Costs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record certain legal, accounting, and other third-party fees in other assets that are directly associated with in-process equity financings until such financings are consummated. After consummation, these costs are recorded in stockholders’ equity as a reduction from the proceeds of the offering. Should the equity financing no longer be considered probable of being consummated, the deferred offering costs are expensed in the consolidated statements of operations within income from operations.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incurred $5.6 million related to our IPO, which is included in additional-paid in capital in the accompanying consolidated statements of redeemable convertible preferred stock and stockholders’ equity. There were no deferred stock issuance costs recognized in other assets as of December 31, 2023 or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75" name="Frame7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transaction and subscription revenue is as follows (in thousands):</w:t>
      </w:r>
    </w:p>
    <w:tbl>
      <w:tblPr>
        <w:tblW w:w="5891" w:type="dxa"/>
        <w:jc w:val="left"/>
        <w:tblInd w:w="0" w:type="dxa"/>
        <w:tblLayout w:type="fixed"/>
        <w:tblCellMar>
          <w:top w:w="28" w:type="dxa"/>
          <w:left w:w="28" w:type="dxa"/>
          <w:bottom w:w="28" w:type="dxa"/>
          <w:right w:w="28" w:type="dxa"/>
        </w:tblCellMar>
      </w:tblPr>
      <w:tblGrid>
        <w:gridCol w:w="488"/>
        <w:gridCol w:w="429"/>
        <w:gridCol w:w="432"/>
        <w:gridCol w:w="226"/>
        <w:gridCol w:w="946"/>
        <w:gridCol w:w="109"/>
        <w:gridCol w:w="109"/>
        <w:gridCol w:w="109"/>
        <w:gridCol w:w="109"/>
        <w:gridCol w:w="226"/>
        <w:gridCol w:w="946"/>
        <w:gridCol w:w="109"/>
        <w:gridCol w:w="109"/>
        <w:gridCol w:w="109"/>
        <w:gridCol w:w="109"/>
        <w:gridCol w:w="226"/>
        <w:gridCol w:w="94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281,644 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generally pay for transactions in advance by credit or debit card except for certain services provided under installment plans where we allow customers to pay for their order in three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350"/>
                <wp:effectExtent l="0" t="0" r="0" b="0"/>
                <wp:wrapNone/>
                <wp:docPr id="76" name="Frame7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Revenue earned from leads generated to third-party providers is recognized at a point-in-time when the related performance-based criteria have been met. We assess whether performance criteria have been met on a cost-per-click or cost-per-action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elected the practical expedient not to adjust the promised amount of consideration for the effects of a significant financing component if the period between revenue recognition and when the customer pays for the product or service will be one year or less.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in the U.K. and since December 2021, tax advisory and preparation services through our fulfilled tax subscription, LZ Tax. For these services, revenue includes filing and similar fees. Our alternative business structures, or ABS, offer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third-parties, including deed transfer, accounting, tax, business data protection, revenue is recognized net of fees payable to third-parties. For revenue earned from leads generated to third-party providers, we receive a fee for the referral of our customer to a third-party provider or we retain a portion of the fee paid by the customer and share the remainder with a third-party. The third-party providers control the service to the customer and are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77" name="Frame7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At December 31, 2023 and 2022, there was $1.7 million and $1.9 million, respectively, in deferred cost of revenue included in prepaid expenses and other current assets in the accompanying consolidated balance sheets. Filing fees of $88.1 million, $74.1 million and $79.8 million were recorded in cost of revenue in the accompanying consolidated statements of operations for years ended December 31, 2023, 2022, and 2021,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Sales and Marketing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 Advertising expenses, consisting of customer acquisition media costs, were $145.3 million, $174.6 million and $195.4 million for the years ended December 31, 2023, 2022, and 2021,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Technology and Development Expenses</w:t>
      </w:r>
    </w:p>
    <w:p>
      <w:pPr>
        <w:pStyle w:val="TextBody"/>
        <w:bidi w:val="0"/>
        <w:spacing w:lineRule="auto" w:line="288" w:before="120" w:after="120"/>
        <w:ind w:left="0" w:right="0" w:firstLine="450"/>
        <w:jc w:val="left"/>
        <w:rPr/>
      </w:pPr>
      <w:r>
        <w:rPr>
          <w:rFonts w:ascii="Work Sans;sans-serif" w:hAnsi="Work Sans;sans-serif"/>
          <w:b w:val="false"/>
          <w:color w:val="000000"/>
          <w:sz w:val="18"/>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 as previously described under </w:t>
      </w:r>
      <w:r>
        <w:rPr>
          <w:rFonts w:ascii="Work Sans;sans-serif" w:hAnsi="Work Sans;sans-serif"/>
          <w:b w:val="false"/>
          <w:i/>
          <w:color w:val="000000"/>
          <w:sz w:val="18"/>
        </w:rPr>
        <w:t>Internal-use Software and Cloud Computing Arrangements</w:t>
      </w:r>
      <w:r>
        <w:rPr>
          <w:rFonts w:ascii="Work Sans;sans-serif" w:hAnsi="Work Sans;sans-serif"/>
          <w:b w:val="false"/>
          <w:color w:val="000000"/>
          <w:sz w:val="18"/>
        </w:rPr>
        <w: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General and Administrative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Black-Scholes option pricing model and the Monte Carlo simulation model requires us to make certain assumptions including the fair value of the underlying common stock, the expected term, the expected volatility, the risk-free interest rate and the dividend yield.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fair value of the shares of common stock underlying stock options and RSUs is based upon our publicly listed share price on the date of grant. Prior to our IPO, the fair value of the shares of common stock was determined by the board of directors. Because there was no public market for our common stock, the board of directors determined the fair value of the common stock at the time of the grant of options and RSUs by considering a number of objective and subjective factors including valuation of comparable companies, sales of common stock to unrelated third-parties, operating and financial performance and general and industry-specific economic outlook, amongst other factors. The fair value was determined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350"/>
                <wp:effectExtent l="0" t="0" r="0" b="0"/>
                <wp:wrapNone/>
                <wp:docPr id="78" name="Frame7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pPr>
      <w:r>
        <w:rPr>
          <w:rFonts w:ascii="Work Sans;sans-serif" w:hAnsi="Work Sans;sans-serif"/>
          <w:b w:val="false"/>
          <w:color w:val="000000"/>
          <w:sz w:val="18"/>
        </w:rPr>
        <w:t xml:space="preserve">with applicable elements of the practice aid issued by the American Institute of Certified Public Accountants titled </w:t>
      </w:r>
      <w:r>
        <w:rPr>
          <w:rFonts w:ascii="Work Sans;sans-serif" w:hAnsi="Work Sans;sans-serif"/>
          <w:b w:val="false"/>
          <w:i/>
          <w:color w:val="000000"/>
          <w:sz w:val="18"/>
        </w:rPr>
        <w:t>Valuation of Privately Held Company Equity Securities Issued as Compensation</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company’s common stock for a period equal to the expected term of the options. We periodically assess the comparable companies and other relevant factors used to measure expected volatility for future stock option grants.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risk-free interest rate assumption is based upon observed interest rates on the U.S. government securities appropriate for the expected term of our 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dividend yield assumption is based on our history and expectation of dividend payouts. Other than the special dividends declared in 2021 and 2020, which resulted in corresponding reductions in the exercise price of the stock options, we have not declared or paid any cash dividends on our common stock, and we do not anticipate paying any cash dividends in the foreseeable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(loss) for the years ended December 31, 2023, 2022, and 2021 may have been materially different.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occasion we are involved in legal proceedings, claims, and regulatory, indirect tax examinations or government inquiries and investigations that may arise in the ordinary course of business. 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other relevant information available to us. The determination of the likelihood of loss or the range of loss requires significant management judgment. Legal fees and other costs associated with such actions are expensed as incurred.</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income (loss).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79" name="Frame7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tax positions as a component of the income tax provision. At December 31, 2023 and 2022, accrued penalties and interest related to uncertain tax positions were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Income (Loss) Per Share Attributable to Common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apply the two-class method for calculating net income per share. Under the two-class method, in periods where we generate net income, net income is allocated between common stock and other participating securities based on their participation rights. Prior to our IPO, our participating securities consisted of redeemable convertible preferred stock, which participated in dividends, if declared. For periods in which we report a net loss, the participating securities are not contractually obligated to share in our losses, and accordingly, no loss is allocated to the participating securities. Basic net income (loss) per share is calculated by dividing net income (loss) attributable to common stockholders by the weighted-average number of shares of common stock outstanding, net of unvested restricted stock, if any, during the period. We compute diluted net income (loss) per share under the two-class method where income is reallocated between common stock, potential common stock and participating securities. Potential common stock includes stock options, restricted stock units, restricted stock awards and employee stock purchase plans, or ESPPs and RSUs computed using the treasury stock method.</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December 31, 2022, we qualified as an emerging growth company, or EGC, and were allowed by the Jumpstart Our Business Startups Act to delay adoption of new or revised accounting pronouncements applicable to public companies until such pronouncements were made applicable to private companies. We became a large accelerated filer and no longer qualified as an EGC at the conclusion of the year ended December 31, 2022. The adoption dates discussed below for recently adopted accounting pronouncements reflect the transition periods required as a result of becoming a large accelerated filer as of December 31, 2022. We are required to adopt all future new or revised accounting pronouncements in accordance with public company timelines.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2016, the FASB issued Accounting Standards Update, or ASU,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which revises the impairment model to utilize an expected loss methodology in place of the currently used incurred loss methodology, which results in more timely recognition of losses on financial instruments, including, but not limited to, available-for-sale debt securities and accounts receivable. We adopted ASU 2016-13 effective January 1, 2022.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In March 2020, the FASB issued ASU 2020-04,</w:t>
      </w:r>
      <w:r>
        <w:rPr>
          <w:color w:val="000000"/>
        </w:rPr>
        <w:t xml:space="preserve"> </w:t>
      </w:r>
      <w:r>
        <w:rPr>
          <w:rFonts w:ascii="Work Sans;sans-serif" w:hAnsi="Work Sans;sans-serif"/>
          <w:b w:val="false"/>
          <w:i/>
          <w:color w:val="000000"/>
          <w:sz w:val="18"/>
        </w:rPr>
        <w:t>Reference Rate Reform (Topic 848) — Facilitation of the Effects of Reference Rate Reform on Financial Reporting</w:t>
      </w:r>
      <w:r>
        <w:rPr>
          <w:rFonts w:ascii="Work Sans;sans-serif" w:hAnsi="Work Sans;sans-serif"/>
          <w:b w:val="false"/>
          <w:color w:val="000000"/>
          <w:sz w:val="18"/>
        </w:rPr>
        <w:t xml:space="preserve">, or Topic 848, that provides optional relief to applying reference rate reform to contracts, hedging relationships, and other transactions that reference the LIBOR. Also, in January 2021, the FASB issued ASU No. 2021-01, </w:t>
      </w:r>
      <w:r>
        <w:rPr>
          <w:rFonts w:ascii="Work Sans;sans-serif" w:hAnsi="Work Sans;sans-serif"/>
          <w:b w:val="false"/>
          <w:i/>
          <w:color w:val="000000"/>
          <w:sz w:val="18"/>
        </w:rPr>
        <w:t xml:space="preserve">Reference Rate Reform (Topic 848) — Scope, </w:t>
      </w:r>
      <w:r>
        <w:rPr>
          <w:rFonts w:ascii="Work Sans;sans-serif" w:hAnsi="Work Sans;sans-serif"/>
          <w:b w:val="false"/>
          <w:color w:val="000000"/>
          <w:sz w:val="18"/>
        </w:rPr>
        <w:t>to clarify that cash flow hedges are eligible for certain optional expedients and exceptions for the application of subsequent assessment methods to assume perfect effectiveness as previously presented in ASU No. 2020-04. We adopted the provisions of Topic 848 upon issuance of this accounting standard and the adoption did not have a material impact to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August 2020, the FASB issued ASU 2020-06, </w:t>
      </w:r>
      <w:r>
        <w:rPr>
          <w:rFonts w:ascii="Work Sans;sans-serif" w:hAnsi="Work Sans;sans-serif"/>
          <w:b w:val="false"/>
          <w:i/>
          <w:color w:val="000000"/>
          <w:sz w:val="18"/>
        </w:rPr>
        <w:t>Debt—Debt with Conversion and Other Options (Subtopic 470-20) and Derivatives and Hedging—Contracts in Entity's Own Equity (Subtopic 815-40): Accounting for Convertible Instruments and Contracts in an Entity's Own Equity</w:t>
      </w:r>
      <w:r>
        <w:rPr>
          <w:rFonts w:ascii="Work Sans;sans-serif" w:hAnsi="Work Sans;sans-serif"/>
          <w:b w:val="false"/>
          <w:color w:val="000000"/>
          <w:sz w:val="18"/>
        </w:rPr>
        <w:t>. This standard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We adopted ASU 2020-06 on January 1, 2022 and the adoption of this accounting standard did not have a material impact on our consolidated financial statements.</w:t>
      </w:r>
    </w:p>
    <w:p>
      <w:pPr>
        <w:pStyle w:val="TextBody"/>
        <w:bidi w:val="0"/>
        <w:spacing w:lineRule="auto" w:line="268" w:before="0" w:after="0"/>
        <w:ind w:left="0" w:right="0" w:firstLine="450"/>
        <w:jc w:val="left"/>
        <w:rPr/>
      </w:pPr>
      <w:r>
        <w:rPr>
          <w:rFonts w:ascii="Work Sans;sans-serif" w:hAnsi="Work Sans;sans-serif"/>
          <w:b w:val="false"/>
          <w:color w:val="000000"/>
          <w:sz w:val="18"/>
        </w:rPr>
        <w:t xml:space="preserve">In June 2022, the FASB issued ASU 2022-03, </w:t>
      </w:r>
      <w:r>
        <w:rPr>
          <w:rFonts w:ascii="Work Sans;sans-serif" w:hAnsi="Work Sans;sans-serif"/>
          <w:b w:val="false"/>
          <w:i/>
          <w:color w:val="000000"/>
          <w:sz w:val="18"/>
        </w:rPr>
        <w:t>Fair Value Measurement—Fair Value Measurement of Equity Securities Subject to Contractual Sale Restrictions (Topic 820)</w:t>
      </w:r>
      <w:r>
        <w:rPr>
          <w:rFonts w:ascii="Work Sans;sans-serif" w:hAnsi="Work Sans;sans-serif"/>
          <w:b w:val="false"/>
          <w:color w:val="000000"/>
          <w:sz w:val="18"/>
        </w:rPr>
        <w:t>, or ASU 2022-03,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early adopted ASU 2022-03 during the three months ended June 30,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FASB issued ASU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xml:space="preserve">, which requires that a buyer in a supplier finance program disclose qualitative and quantitative information about its supplier finance programs. We adopted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350"/>
                <wp:effectExtent l="0" t="0" r="0" b="0"/>
                <wp:wrapNone/>
                <wp:docPr id="80" name="Frame7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ASU 2022-04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pStyle w:val="TextBody"/>
        <w:bidi w:val="0"/>
        <w:spacing w:lineRule="auto" w:line="288" w:before="180" w:after="120"/>
        <w:jc w:val="left"/>
        <w:rPr>
          <w:rFonts w:ascii="Work Sans;sans-serif" w:hAnsi="Work Sans;sans-serif"/>
          <w:b w:val="false"/>
          <w:i/>
          <w:color w:val="000000"/>
          <w:sz w:val="18"/>
        </w:rPr>
      </w:pPr>
      <w:r>
        <w:rPr>
          <w:rFonts w:ascii="Work Sans;sans-serif" w:hAnsi="Work Sans;sans-serif"/>
          <w:b w:val="false"/>
          <w:i/>
          <w:color w:val="000000"/>
          <w:sz w:val="18"/>
        </w:rPr>
        <w:t>Accounting Pronouncements Not Yet Adopted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2023, the FASB issued ASU 2023-07, </w:t>
      </w:r>
      <w:r>
        <w:rPr>
          <w:rFonts w:ascii="Work Sans;sans-serif" w:hAnsi="Work Sans;sans-serif"/>
          <w:b w:val="false"/>
          <w:i/>
          <w:color w:val="000000"/>
          <w:sz w:val="18"/>
        </w:rPr>
        <w:t>Segment Reporting (Topic 280): Improvements to Reportable Segment Disclosures</w:t>
      </w:r>
      <w:r>
        <w:rPr>
          <w:rFonts w:ascii="Work Sans;sans-serif" w:hAnsi="Work Sans;sans-serif"/>
          <w:b w:val="false"/>
          <w:color w:val="000000"/>
          <w:sz w:val="18"/>
        </w:rPr>
        <w:t>,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December 2023, the FASB issued ASU 2023-09, </w:t>
      </w:r>
      <w:r>
        <w:rPr>
          <w:rFonts w:ascii="Work Sans;sans-serif" w:hAnsi="Work Sans;sans-serif"/>
          <w:b w:val="false"/>
          <w:i/>
          <w:color w:val="000000"/>
          <w:sz w:val="18"/>
        </w:rPr>
        <w:t xml:space="preserve">Income Taxes (Topic 740): Improvements to Income Tax Disclosures, </w:t>
      </w:r>
      <w:r>
        <w:rPr>
          <w:rFonts w:ascii="Work Sans;sans-serif" w:hAnsi="Work Sans;sans-serif"/>
          <w:b w:val="false"/>
          <w:color w:val="000000"/>
          <w:sz w:val="18"/>
        </w:rPr>
        <w:t>which requires entities to disclose more detailed information in the reconciliation of their statutory tax rate to their effective tax rate. This accounting standard is effective for fiscal years beginning after December 15, 2024, and interim periods within fiscal years beginning after December 15, 2025. ASU 2023-09 will be applied prospectively with an option for retroactive application to each period in the financial statements, and early adoption is permitted. We are currently evaluating the impact of the adoption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2320"/>
        <w:gridCol w:w="2028"/>
        <w:gridCol w:w="2034"/>
        <w:gridCol w:w="226"/>
        <w:gridCol w:w="706"/>
        <w:gridCol w:w="109"/>
        <w:gridCol w:w="109"/>
        <w:gridCol w:w="109"/>
        <w:gridCol w:w="109"/>
        <w:gridCol w:w="226"/>
        <w:gridCol w:w="706"/>
        <w:gridCol w:w="109"/>
        <w:gridCol w:w="109"/>
        <w:gridCol w:w="109"/>
        <w:gridCol w:w="109"/>
        <w:gridCol w:w="226"/>
        <w:gridCol w:w="706"/>
        <w:gridCol w:w="155"/>
      </w:tblGrid>
      <w:tr>
        <w:trPr/>
        <w:tc>
          <w:tcPr>
            <w:tcW w:w="232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Add (less): allowance for credit losses recognized in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third-party providers that are no longer considered 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81" name="Frame8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7193" w:type="dxa"/>
        <w:jc w:val="left"/>
        <w:tblInd w:w="0" w:type="dxa"/>
        <w:tblLayout w:type="fixed"/>
        <w:tblCellMar>
          <w:top w:w="28" w:type="dxa"/>
          <w:left w:w="28" w:type="dxa"/>
          <w:bottom w:w="28" w:type="dxa"/>
          <w:right w:w="28" w:type="dxa"/>
        </w:tblCellMar>
      </w:tblPr>
      <w:tblGrid>
        <w:gridCol w:w="1631"/>
        <w:gridCol w:w="1433"/>
        <w:gridCol w:w="1435"/>
        <w:gridCol w:w="226"/>
        <w:gridCol w:w="826"/>
        <w:gridCol w:w="109"/>
        <w:gridCol w:w="109"/>
        <w:gridCol w:w="109"/>
        <w:gridCol w:w="109"/>
        <w:gridCol w:w="226"/>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7449" w:type="dxa"/>
        <w:jc w:val="left"/>
        <w:tblInd w:w="0" w:type="dxa"/>
        <w:tblLayout w:type="fixed"/>
        <w:tblCellMar>
          <w:top w:w="28" w:type="dxa"/>
          <w:left w:w="28" w:type="dxa"/>
          <w:bottom w:w="28" w:type="dxa"/>
          <w:right w:w="28" w:type="dxa"/>
        </w:tblCellMar>
      </w:tblPr>
      <w:tblGrid>
        <w:gridCol w:w="1722"/>
        <w:gridCol w:w="1514"/>
        <w:gridCol w:w="1519"/>
        <w:gridCol w:w="226"/>
        <w:gridCol w:w="826"/>
        <w:gridCol w:w="109"/>
        <w:gridCol w:w="109"/>
        <w:gridCol w:w="109"/>
        <w:gridCol w:w="109"/>
        <w:gridCol w:w="226"/>
        <w:gridCol w:w="82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December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sales allowances relating to charge-backs, sales credits and refunds consisted of the following (in thousands):</w:t>
      </w:r>
    </w:p>
    <w:tbl>
      <w:tblPr>
        <w:tblW w:w="6927" w:type="dxa"/>
        <w:jc w:val="left"/>
        <w:tblInd w:w="0" w:type="dxa"/>
        <w:tblLayout w:type="fixed"/>
        <w:tblCellMar>
          <w:top w:w="28" w:type="dxa"/>
          <w:left w:w="28" w:type="dxa"/>
          <w:bottom w:w="28" w:type="dxa"/>
          <w:right w:w="28" w:type="dxa"/>
        </w:tblCellMar>
      </w:tblPr>
      <w:tblGrid>
        <w:gridCol w:w="1124"/>
        <w:gridCol w:w="989"/>
        <w:gridCol w:w="992"/>
        <w:gridCol w:w="226"/>
        <w:gridCol w:w="706"/>
        <w:gridCol w:w="109"/>
        <w:gridCol w:w="109"/>
        <w:gridCol w:w="109"/>
        <w:gridCol w:w="109"/>
        <w:gridCol w:w="226"/>
        <w:gridCol w:w="706"/>
        <w:gridCol w:w="109"/>
        <w:gridCol w:w="109"/>
        <w:gridCol w:w="109"/>
        <w:gridCol w:w="109"/>
        <w:gridCol w:w="226"/>
        <w:gridCol w:w="70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2021</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increase in sales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utilization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8321" w:type="dxa"/>
        <w:jc w:val="left"/>
        <w:tblInd w:w="0" w:type="dxa"/>
        <w:tblLayout w:type="fixed"/>
        <w:tblCellMar>
          <w:top w:w="28" w:type="dxa"/>
          <w:left w:w="28" w:type="dxa"/>
          <w:bottom w:w="28" w:type="dxa"/>
          <w:right w:w="28" w:type="dxa"/>
        </w:tblCellMar>
      </w:tblPr>
      <w:tblGrid>
        <w:gridCol w:w="1499"/>
        <w:gridCol w:w="1315"/>
        <w:gridCol w:w="1325"/>
        <w:gridCol w:w="226"/>
        <w:gridCol w:w="826"/>
        <w:gridCol w:w="109"/>
        <w:gridCol w:w="109"/>
        <w:gridCol w:w="109"/>
        <w:gridCol w:w="109"/>
        <w:gridCol w:w="226"/>
        <w:gridCol w:w="826"/>
        <w:gridCol w:w="109"/>
        <w:gridCol w:w="109"/>
        <w:gridCol w:w="109"/>
        <w:gridCol w:w="109"/>
        <w:gridCol w:w="226"/>
        <w:gridCol w:w="82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Deferred revenue as of December 31, 2023 and 2022 was $168.4 million and $165.1 million, respectively. Revenue recognized in 2023, 2022 and 2021 that was included in deferred revenue at the beginning of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350"/>
                <wp:effectExtent l="0" t="0" r="0" b="0"/>
                <wp:wrapNone/>
                <wp:docPr id="82" name="Frame8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was $163.4 million, $146.6 million and $127.6 million, respectively. We expect to recognize substantially all of the deferred revenue as of December 31, 2023 as revenue in 2024.</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Assets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September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December 31, 2023, the total carrying value of the assets held for sale remains at $22.7 million as follows:</w:t>
      </w:r>
    </w:p>
    <w:tbl>
      <w:tblPr>
        <w:tblW w:w="5845" w:type="dxa"/>
        <w:jc w:val="left"/>
        <w:tblInd w:w="0" w:type="dxa"/>
        <w:tblLayout w:type="fixed"/>
        <w:tblCellMar>
          <w:top w:w="28" w:type="dxa"/>
          <w:left w:w="28" w:type="dxa"/>
          <w:bottom w:w="28" w:type="dxa"/>
          <w:right w:w="28" w:type="dxa"/>
        </w:tblCellMar>
      </w:tblPr>
      <w:tblGrid>
        <w:gridCol w:w="1237"/>
        <w:gridCol w:w="1084"/>
        <w:gridCol w:w="1098"/>
        <w:gridCol w:w="109"/>
        <w:gridCol w:w="109"/>
        <w:gridCol w:w="109"/>
        <w:gridCol w:w="392"/>
        <w:gridCol w:w="1437"/>
        <w:gridCol w:w="270"/>
      </w:tblGrid>
      <w:tr>
        <w:trPr/>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December 31,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Land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estimated fair value less costs to sell the assets held for sale exceed their carrying values and hence no impairment was necessary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Acquisitions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Revvsales, Inc.</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2022, we completed an asset acquisition of Revvsales Inc, or Revv, consisting substantially of acquired developed technology for their self-service document automation and electronic signature platform. Revv’s proprietary technology enhanced our forms library and legal template offerings and has been leveraged to develop modern product experiences and services for small businesses. A purchase price of $6.6 million, which was subject to customary adjustments, was paid at closing and funded by our available cash on hand. The acquisition was accounted for as an asset acquisition because substantially all the value of the assets acquired were concentrated in the acquired technology. Revv’s operations have been included in our consolidated financial statements commencing on the acquisition date.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allocated the accumulated cost of the acquisition to the assets acquired based on their relative fair values. The accumulated cost of the acquisition included direct acquisition-related costs and applicable taxes. The estimated fair value of developed technology was $6.5 million and an assembled workforce of $0.1 million, which were determined by using a replacement cost approach. The replacement cost approach consists of developing an estimate of the current cost of a similar new asset having the nearest equivalent utility to the asset being valued. The developed technology rights and assembled workforce is amortized over a weighted-average period of three years by using the straight-line method.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Separate from the asset acquisition, up to $2.6 million was payable to certain of the sellers on the first and second anniversaries of the asset acquisition date as compensation for maintaining an assembled workforce. During the year ended December 31, 2023 a payment of $1.3 million was made to these sellers pursuant to the foregoing compensation arrangement.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United Agency Services, Corp.</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August 2022, we acquired certain assets and liabilities of UA Services, a company providing registered agent services and corporate compliance solutions for $3.5 million, of which $2.6 million was paid in cash on the acquisition date and up to $1.0 million was payable in cash within twelve months from the acquisition date based upon the achievement of certain earnout metrics. During the year ended December 31, 2023, we recorded a $0.8 million reduction in fair value of contingent consideration as a component of cost of revenue because the earnout metrics were not achieved. Furthermore, an additional payment of up to $0.4 million to the seller of UA Services was contingent on certain service conditions being met. This amount was excluded from the purchase consideration and was recorded as compensation expense in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acquisition was completed in order to build a more durable registered agency platform and has been accounted for as a business combination. The purchase price was allocated to the assets acquired and liabilities assumed. Goodwill of $3.3 million arising from the acquisition consisted largely of the assembled workforce and synergies expected from combining our operations. The acquired goodwill was deductible for tax purposes. There were no intangible assets acquired in connection with this acquisition. Acquisition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350"/>
                <wp:effectExtent l="0" t="0" r="0" b="0"/>
                <wp:wrapNone/>
                <wp:docPr id="83" name="Frame8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related to this transaction of approximately $0.4 million were expensed as incurred and are included in general and administrative expenses in the accompanying consolidated statements of operations during the year ended December 31,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revenue and earnings of the acquired business were included in our results of operations since the acquisition date and were not material to the consolidated financial results for the year ended December 31, 2022. Pro forma revenues and results of operations for this acquisition are not presented as the impact on our consolidated financial statements for the year ended December 31, 2022 was immaterial.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Earth Class Mail, Inc.</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November 2021, we acquired all of the outstanding equity interests in Earth Class Mail, Inc., or Earth Class Mail, a company that provides virtual mailbox solutions for small businesses, in line with our strategy to scale our existing business through building in-house adjacencies, for $61.2 million. The purchase price was reduced during the year ended December 31, 2022 due to a working capital adjustment of $0.3 million and immaterial measurement period adjustments. </w:t>
      </w:r>
    </w:p>
    <w:tbl>
      <w:tblPr>
        <w:tblW w:w="6729" w:type="dxa"/>
        <w:jc w:val="left"/>
        <w:tblInd w:w="0" w:type="dxa"/>
        <w:tblLayout w:type="fixed"/>
        <w:tblCellMar>
          <w:top w:w="28" w:type="dxa"/>
          <w:left w:w="28" w:type="dxa"/>
          <w:bottom w:w="28" w:type="dxa"/>
          <w:right w:w="28" w:type="dxa"/>
        </w:tblCellMar>
      </w:tblPr>
      <w:tblGrid>
        <w:gridCol w:w="987"/>
        <w:gridCol w:w="868"/>
        <w:gridCol w:w="874"/>
        <w:gridCol w:w="277"/>
        <w:gridCol w:w="1014"/>
        <w:gridCol w:w="133"/>
        <w:gridCol w:w="109"/>
        <w:gridCol w:w="109"/>
        <w:gridCol w:w="109"/>
        <w:gridCol w:w="658"/>
        <w:gridCol w:w="658"/>
        <w:gridCol w:w="933"/>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Estimated useful life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48,617 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6 years</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 years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26 months</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Property and equipment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3-5 years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tax liability</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purchase consideration</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61,210 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Intangible assets acquired from Earth Class Mail included customer relationships of $10.6 million, developed technology of $5.4 million and trade names of $0.2 million, which are being amortized over their estimated useful life using the straight-line method. The excess of the purchase price over the estimated fair value of the net assets acquired was recorded as goodwill.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resulting goodwill of $48.6 million arising from the acquisition consisted largely of the assembled workforce and synergies expected from combining Earth Class Mail into our operations. The acquired goodwill was deductible for tax purposes. Acquisition-related costs, including legal, regulatory, and consulting costs amounted to $1.4 million and were included within general and administrative expenses in our consolidated statement of operations during the year ended December 31, 2021.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revenue and earnings of the acquired business were included in our results of operations since the acquisition date and were not material to the consolidated financial results for the year ended December 31, 2021. Pro forma revenues and results of operations for this acquisition are not presented as the impact on our consolidated financial statements for the year ended December 31, 2021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Investments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2019, we invested in Legal Vision Pty Ltd., or Legal Vision, an Australian proprietary limited company that provides online legal services to small and medium size businesses, through the purchase of a convertible promissory note for a total of Australian Dollar, or AUD, $1.0 million ($0.7 million). The convertible promissory note has a maturity term of ten years, which is convertible into Legal Vision’s common stock. The underlying conversion feature is automatically exercisable upon an exit event including an IPO, merger or sale, upon a new financing round, or at our election. At December 31, 2023, we do not hold any equity interests or in-substance common stock in Legal Vision, and accordingly, we have classified the convertible promissory note as an investment in an available-for-sale debt security in the accompanying consolidated balance sheets.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fair value of the convertible promissory note is based on unobservable inputs that are categorized as Level 3 in the fair value hierarchy. We determined that the conversion option on the Legal Vision convertible promissory note will not have material value until Legal Vision executes on its business plans to drive growth, which consequently will drive the fair value of the associated conversion option in excess of the carrying value of the convertible promissory note. Accordingly, the fair value of the convertible debt approximated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350"/>
                <wp:effectExtent l="0" t="0" r="0" b="0"/>
                <wp:wrapNone/>
                <wp:docPr id="84" name="Frame8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carrying value as of December 31, 2023 and 2022. At December 31, 2023 and 2022, the fair value of our available-for-sale debt security in Legal Vision was AUD $1.7 million ($1.2 million) and AUD $1.5 million ($1.0 million), respectively, with the change due to fair value adjustments during the period. In 2023, key assumptions used in the Monte Carlo simulation model to determine the fair value of the convertible promissory note in Legal Vision were: expected term of 5.3 years, risk-free rate of 3.7% and volatility of 60%. The increase in fair value was recognized in other comprehensive (loss) income for the year ended December 31, 2023.</w:t>
      </w:r>
    </w:p>
    <w:p>
      <w:pPr>
        <w:pStyle w:val="TextBody"/>
        <w:bidi w:val="0"/>
        <w:spacing w:lineRule="auto" w:line="288" w:before="120" w:after="120"/>
        <w:ind w:left="0" w:right="0" w:firstLine="450"/>
        <w:jc w:val="left"/>
        <w:rPr/>
      </w:pPr>
      <w:r>
        <w:rPr>
          <w:rFonts w:ascii="Work Sans;sans-serif" w:hAnsi="Work Sans;sans-serif"/>
          <w:b w:val="false"/>
          <w:color w:val="000000"/>
          <w:sz w:val="18"/>
        </w:rPr>
        <w:t>Since the Legal Vision convertible promissory note has a contractual maturity date that exceeds</w:t>
      </w:r>
      <w:r>
        <w:rPr>
          <w:color w:val="000000"/>
        </w:rPr>
        <w:t xml:space="preserve"> </w:t>
      </w:r>
      <w:r>
        <w:rPr>
          <w:rFonts w:ascii="Work Sans;sans-serif" w:hAnsi="Work Sans;sans-serif"/>
          <w:b w:val="false"/>
          <w:color w:val="000000"/>
          <w:sz w:val="18"/>
        </w:rPr>
        <w:t>one year and we do not intend to liquidate in the next twelve months, we have classified the convertible promissory note as a noncurrent available-for-sale debt security in the accompanying consolidated balance sheets as of December 31, 2023 and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hold an equity investment in LawPath, Pty Ltd, or LawPath, an Australian proprietary limited company that provides an online legal platform to individuals and small and medium size businesses. In October 2021, we invested an additional AUD $1.5 million ($1.1 million). The change in fair value, due to an orderly transaction, in our other equity securities was $1.8 million for the year ended December 31, 2021, which was recognized in other income (expense), net in our consolidated statements of operations. At both December 31, 2023 and 2022 the carrying amount of our investment in LawPath was $4.4 million. The investment in LawPath does not have a readily determinable fair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December 2018, we purchased shares of Class C nonvoting common units in Mylo, LLC, or Mylo, a digital insurance broker that services small and medium size businesses, for $3.0 million, resulting in a 4% interest in Mylo. In December 2022, we fully impaired our investment in Mylo and incurred a loss of $3.0 million as the fair value of our investment was determined to be zero based upon an observable sale of their common equity. Therefore, we recognized an impairment of $3.0 million in our consolidated statements of operations during the year ended December 31, 2022.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other impairments of our investments during the years ended December 31, 2023, 2022, and 2021. At December 31, 2023 and 2022, the carrying value of these investments is included in other assets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Property and equipment, net, consisted of the following (in thousands):</w:t>
      </w:r>
    </w:p>
    <w:tbl>
      <w:tblPr>
        <w:tblW w:w="7284" w:type="dxa"/>
        <w:jc w:val="left"/>
        <w:tblInd w:w="0" w:type="dxa"/>
        <w:tblLayout w:type="fixed"/>
        <w:tblCellMar>
          <w:top w:w="28" w:type="dxa"/>
          <w:left w:w="28" w:type="dxa"/>
          <w:bottom w:w="28" w:type="dxa"/>
          <w:right w:w="28" w:type="dxa"/>
        </w:tblCellMar>
      </w:tblPr>
      <w:tblGrid>
        <w:gridCol w:w="1662"/>
        <w:gridCol w:w="1462"/>
        <w:gridCol w:w="1466"/>
        <w:gridCol w:w="226"/>
        <w:gridCol w:w="826"/>
        <w:gridCol w:w="109"/>
        <w:gridCol w:w="109"/>
        <w:gridCol w:w="109"/>
        <w:gridCol w:w="109"/>
        <w:gridCol w:w="226"/>
        <w:gridCol w:w="82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Internal-use software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Purchased software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Software development in-progress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cost of property and equipment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Less: 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related to property and equipment was $20.2 million, $18.2 million and $15.7 million for 2023, 2022 and 2021,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and 2022 accumulated amortization in connection with internal-use software costs was $47.6 million and $41.0 million, respectively. In 2023, 2022 and 2021, we recorded amortization expense of $17.6 million, $14.6 million and $11.6 million, respectively, in connection with these costs. Software development in-progress consists primarily of internal-use software projects, which when placed in service, will provide enhancements and improvements to the operational and functional capabilities to our online platforms and our customer-facing website. In 2023, 2022 and 2021 we capitalized internal-use software development costs of $35.0 million, $21.4 million and $9.9 million respectively. In 2023 and 2022, no software development costs were impaired. In 2021, we impaired $0.9 million of capitalized software development costs related primarily to internal-use software projects that no longer met our business requirements or were no longer expected to be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350"/>
                <wp:effectExtent l="0" t="0" r="0" b="0"/>
                <wp:wrapNone/>
                <wp:docPr id="85" name="Frame8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conduct operations from certain leased facilities in various locations. At December 31, 2023, we had various non-cancelable operating leases for office space and equipment, which expire between January 2024, and November 2029, and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Operating lease liabilities on our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Leases consist of the following (in thousands):</w:t>
      </w:r>
    </w:p>
    <w:tbl>
      <w:tblPr>
        <w:tblW w:w="9378" w:type="dxa"/>
        <w:jc w:val="left"/>
        <w:tblInd w:w="0" w:type="dxa"/>
        <w:tblLayout w:type="fixed"/>
        <w:tblCellMar>
          <w:top w:w="28" w:type="dxa"/>
          <w:left w:w="28" w:type="dxa"/>
          <w:bottom w:w="28" w:type="dxa"/>
          <w:right w:w="28" w:type="dxa"/>
        </w:tblCellMar>
      </w:tblPr>
      <w:tblGrid>
        <w:gridCol w:w="683"/>
        <w:gridCol w:w="599"/>
        <w:gridCol w:w="608"/>
        <w:gridCol w:w="109"/>
        <w:gridCol w:w="109"/>
        <w:gridCol w:w="109"/>
        <w:gridCol w:w="1418"/>
        <w:gridCol w:w="1418"/>
        <w:gridCol w:w="1424"/>
        <w:gridCol w:w="109"/>
        <w:gridCol w:w="109"/>
        <w:gridCol w:w="109"/>
        <w:gridCol w:w="226"/>
        <w:gridCol w:w="706"/>
        <w:gridCol w:w="109"/>
        <w:gridCol w:w="109"/>
        <w:gridCol w:w="109"/>
        <w:gridCol w:w="109"/>
        <w:gridCol w:w="226"/>
        <w:gridCol w:w="82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 xml:space="preserve">Classification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the maturities of our remaining operating lease and finance lease liabilities were as follows (in thousands, except years and percentages):</w:t>
      </w:r>
    </w:p>
    <w:tbl>
      <w:tblPr>
        <w:tblW w:w="10205" w:type="dxa"/>
        <w:jc w:val="left"/>
        <w:tblInd w:w="0" w:type="dxa"/>
        <w:tblLayout w:type="fixed"/>
        <w:tblCellMar>
          <w:top w:w="28" w:type="dxa"/>
          <w:left w:w="28" w:type="dxa"/>
          <w:bottom w:w="28" w:type="dxa"/>
          <w:right w:w="28" w:type="dxa"/>
        </w:tblCellMar>
      </w:tblPr>
      <w:tblGrid>
        <w:gridCol w:w="1865"/>
        <w:gridCol w:w="1384"/>
        <w:gridCol w:w="1385"/>
        <w:gridCol w:w="109"/>
        <w:gridCol w:w="109"/>
        <w:gridCol w:w="109"/>
        <w:gridCol w:w="289"/>
        <w:gridCol w:w="906"/>
        <w:gridCol w:w="347"/>
        <w:gridCol w:w="109"/>
        <w:gridCol w:w="109"/>
        <w:gridCol w:w="109"/>
        <w:gridCol w:w="319"/>
        <w:gridCol w:w="574"/>
        <w:gridCol w:w="383"/>
        <w:gridCol w:w="109"/>
        <w:gridCol w:w="109"/>
        <w:gridCol w:w="109"/>
        <w:gridCol w:w="368"/>
        <w:gridCol w:w="1149"/>
        <w:gridCol w:w="255"/>
      </w:tblGrid>
      <w:tr>
        <w:trPr/>
        <w:tc>
          <w:tcPr>
            <w:tcW w:w="186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702" w:type="dxa"/>
            <w:gridSpan w:val="1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5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Total leases liabilities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10,104 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10,133 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Effects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1,087 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9,018 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3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3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6,968 </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2023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4.51 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2022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3350"/>
                <wp:effectExtent l="0" t="0" r="0" b="0"/>
                <wp:wrapNone/>
                <wp:docPr id="86" name="Frame8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72"/>
        <w:gridCol w:w="1469"/>
        <w:gridCol w:w="1471"/>
        <w:gridCol w:w="109"/>
        <w:gridCol w:w="109"/>
        <w:gridCol w:w="109"/>
        <w:gridCol w:w="375"/>
        <w:gridCol w:w="342"/>
        <w:gridCol w:w="854"/>
        <w:gridCol w:w="109"/>
        <w:gridCol w:w="109"/>
        <w:gridCol w:w="109"/>
        <w:gridCol w:w="353"/>
        <w:gridCol w:w="302"/>
        <w:gridCol w:w="722"/>
        <w:gridCol w:w="109"/>
        <w:gridCol w:w="109"/>
        <w:gridCol w:w="109"/>
        <w:gridCol w:w="485"/>
        <w:gridCol w:w="485"/>
        <w:gridCol w:w="69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695" w:type="dxa"/>
            <w:gridSpan w:val="12"/>
            <w:tcBorders/>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360"/>
              <w:jc w:val="center"/>
              <w:rPr>
                <w:rFonts w:ascii="Work Sans;sans-serif" w:hAnsi="Work Sans;sans-serif"/>
                <w:b/>
                <w:color w:val="000000"/>
                <w:sz w:val="18"/>
              </w:rPr>
            </w:pPr>
            <w:r>
              <w:rPr>
                <w:rFonts w:ascii="Work Sans;sans-serif" w:hAnsi="Work Sans;sans-serif"/>
                <w:b/>
                <w:color w:val="000000"/>
                <w:sz w:val="18"/>
              </w:rPr>
              <w:t>Total leases liabilities</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4.39 </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5.50 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component of our lease costs included in our consolidated statements of operations were as follows (in thousands):</w:t>
      </w:r>
    </w:p>
    <w:tbl>
      <w:tblPr>
        <w:tblW w:w="4749" w:type="dxa"/>
        <w:jc w:val="left"/>
        <w:tblInd w:w="0" w:type="dxa"/>
        <w:tblLayout w:type="fixed"/>
        <w:tblCellMar>
          <w:top w:w="28" w:type="dxa"/>
          <w:left w:w="28" w:type="dxa"/>
          <w:bottom w:w="28" w:type="dxa"/>
          <w:right w:w="28" w:type="dxa"/>
        </w:tblCellMar>
      </w:tblPr>
      <w:tblGrid>
        <w:gridCol w:w="710"/>
        <w:gridCol w:w="625"/>
        <w:gridCol w:w="629"/>
        <w:gridCol w:w="257"/>
        <w:gridCol w:w="802"/>
        <w:gridCol w:w="123"/>
        <w:gridCol w:w="123"/>
        <w:gridCol w:w="123"/>
        <w:gridCol w:w="123"/>
        <w:gridCol w:w="257"/>
        <w:gridCol w:w="802"/>
        <w:gridCol w:w="175"/>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2022</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cost</w:t>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cost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variable cost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 lease cost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lease cost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3,441 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changes in goodwill for 2023 and 2022 were as follows (in thousands):</w:t>
      </w:r>
    </w:p>
    <w:tbl>
      <w:tblPr>
        <w:tblW w:w="4671" w:type="dxa"/>
        <w:jc w:val="left"/>
        <w:tblInd w:w="0" w:type="dxa"/>
        <w:tblLayout w:type="fixed"/>
        <w:tblCellMar>
          <w:top w:w="28" w:type="dxa"/>
          <w:left w:w="28" w:type="dxa"/>
          <w:bottom w:w="28" w:type="dxa"/>
          <w:right w:w="28" w:type="dxa"/>
        </w:tblCellMar>
      </w:tblPr>
      <w:tblGrid>
        <w:gridCol w:w="1256"/>
        <w:gridCol w:w="1103"/>
        <w:gridCol w:w="1106"/>
        <w:gridCol w:w="226"/>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Amount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Acquisition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 currency translation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2022</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 currency translation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discussed in Note 5, we acquired UA Services in August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3350"/>
                <wp:effectExtent l="0" t="0" r="0" b="0"/>
                <wp:wrapNone/>
                <wp:docPr id="87" name="Frame8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Intangible Assets, net</w:t>
      </w:r>
    </w:p>
    <w:p>
      <w:pPr>
        <w:pStyle w:val="TextBody"/>
        <w:bidi w:val="0"/>
        <w:spacing w:lineRule="auto" w:line="288" w:before="30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604"/>
        <w:gridCol w:w="495"/>
        <w:gridCol w:w="497"/>
        <w:gridCol w:w="109"/>
        <w:gridCol w:w="109"/>
        <w:gridCol w:w="109"/>
        <w:gridCol w:w="1013"/>
        <w:gridCol w:w="1013"/>
        <w:gridCol w:w="1016"/>
        <w:gridCol w:w="109"/>
        <w:gridCol w:w="109"/>
        <w:gridCol w:w="109"/>
        <w:gridCol w:w="504"/>
        <w:gridCol w:w="382"/>
        <w:gridCol w:w="384"/>
        <w:gridCol w:w="109"/>
        <w:gridCol w:w="109"/>
        <w:gridCol w:w="109"/>
        <w:gridCol w:w="733"/>
        <w:gridCol w:w="381"/>
        <w:gridCol w:w="385"/>
        <w:gridCol w:w="109"/>
        <w:gridCol w:w="109"/>
        <w:gridCol w:w="109"/>
        <w:gridCol w:w="672"/>
        <w:gridCol w:w="335"/>
        <w:gridCol w:w="483"/>
      </w:tblGrid>
      <w:tr>
        <w:trPr/>
        <w:tc>
          <w:tcPr>
            <w:tcW w:w="6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2"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Work Sans;sans-serif" w:hAnsi="Work Sans;sans-serif"/>
                <w:b/>
                <w:color w:val="000000"/>
                <w:sz w:val="18"/>
              </w:rPr>
              <w:t>As of December 31, 2023</w:t>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Remaining 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6,774</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6,869</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w:t>
            </w:r>
          </w:p>
        </w:tc>
      </w:tr>
    </w:tbl>
    <w:tbl>
      <w:tblPr>
        <w:tblW w:w="10205" w:type="dxa"/>
        <w:jc w:val="left"/>
        <w:tblInd w:w="0" w:type="dxa"/>
        <w:tblLayout w:type="fixed"/>
        <w:tblCellMar>
          <w:top w:w="28" w:type="dxa"/>
          <w:left w:w="28" w:type="dxa"/>
          <w:bottom w:w="28" w:type="dxa"/>
          <w:right w:w="28" w:type="dxa"/>
        </w:tblCellMar>
      </w:tblPr>
      <w:tblGrid>
        <w:gridCol w:w="604"/>
        <w:gridCol w:w="495"/>
        <w:gridCol w:w="497"/>
        <w:gridCol w:w="109"/>
        <w:gridCol w:w="109"/>
        <w:gridCol w:w="109"/>
        <w:gridCol w:w="1014"/>
        <w:gridCol w:w="1014"/>
        <w:gridCol w:w="1017"/>
        <w:gridCol w:w="109"/>
        <w:gridCol w:w="109"/>
        <w:gridCol w:w="109"/>
        <w:gridCol w:w="504"/>
        <w:gridCol w:w="382"/>
        <w:gridCol w:w="384"/>
        <w:gridCol w:w="109"/>
        <w:gridCol w:w="109"/>
        <w:gridCol w:w="109"/>
        <w:gridCol w:w="733"/>
        <w:gridCol w:w="381"/>
        <w:gridCol w:w="385"/>
        <w:gridCol w:w="109"/>
        <w:gridCol w:w="109"/>
        <w:gridCol w:w="109"/>
        <w:gridCol w:w="672"/>
        <w:gridCol w:w="335"/>
        <w:gridCol w:w="480"/>
      </w:tblGrid>
      <w:tr>
        <w:trPr/>
        <w:tc>
          <w:tcPr>
            <w:tcW w:w="6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2022</w:t>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Remaining 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8,541</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10,124</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18,900</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discussed in Note 5, we acquired Revv in October 2022, UA Services in August 2022 and Earth Class Mail in November 2021. In 2023, 2022 and 2021, we recorded amortization expense of $5.2 million, $3.5 million and $1.0 million, respectively.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estimated future intangible assets amortization expense was as follows (in thousands):</w:t>
      </w:r>
    </w:p>
    <w:tbl>
      <w:tblPr>
        <w:tblW w:w="4367" w:type="dxa"/>
        <w:jc w:val="left"/>
        <w:tblInd w:w="0" w:type="dxa"/>
        <w:tblLayout w:type="fixed"/>
        <w:tblCellMar>
          <w:top w:w="28" w:type="dxa"/>
          <w:left w:w="28" w:type="dxa"/>
          <w:bottom w:w="28" w:type="dxa"/>
          <w:right w:w="28" w:type="dxa"/>
        </w:tblCellMar>
      </w:tblPr>
      <w:tblGrid>
        <w:gridCol w:w="1205"/>
        <w:gridCol w:w="1060"/>
        <w:gridCol w:w="1065"/>
        <w:gridCol w:w="226"/>
        <w:gridCol w:w="335"/>
        <w:gridCol w:w="476"/>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color w:val="000000"/>
                <w:sz w:val="18"/>
              </w:rPr>
            </w:pPr>
            <w:r>
              <w:rPr>
                <w:rFonts w:ascii="Work Sans;sans-serif" w:hAnsi="Work Sans;sans-serif"/>
                <w:b/>
                <w:color w:val="000000"/>
                <w:sz w:val="18"/>
              </w:rPr>
              <w:t>For Years Ending December 31,</w:t>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5,082</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2025</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4,510</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1,473</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future amortization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Long-term Debt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2018, we entered into an amended first lien credit and guaranty agreement, or 2018 Credit Facility, which consisted of a first lien term loan facility, or 2018 Term Loan, with a principal amount of $535.0 million and a 2018 Revolving Facility of $40.0 million, or 2018 Revolving Facility. In July 2021, upon the completion of our IPO, we repaid the then outstanding principal of $521.6 million of our 2018 Term Loan in full. We incurred a loss on debt extinguishment of $7.7 million related to unamortized debt issuance costs. 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as well as borrowings on same-day notice, referred to as swingline loans, in an amount of up to $10.0 million. Additional debt issuance costs of $0.8 million were allocated to the 2021 Revolving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3350"/>
                <wp:effectExtent l="0" t="0" r="0" b="0"/>
                <wp:wrapNone/>
                <wp:docPr id="88" name="Frame8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interest rate margins under the 2021 Revolving Facility are subject to one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2023 and 2022, we had no amounts outstanding under our 2021 Revolving Facility or any outstanding letters of credit. We were in compliance with all financial covenants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Derivative Financial Instruments</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Interest Rate Swaps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April 2019, we entered into two interest rate swaps, or initial swaps, to manage cash flow exposure and exposure to interest rate fluctuations under our 2018 Term Loan. The initial swaps would have matured in April 2022. Under the swap agreements, we were required to pay interest at a fixed rate of 2.3% per annum and receive interest at a variable rate indexed to one-month LIBOR. The initial notional amount of each initial swap was $66.0 million.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initial swaps were accounted for as cash flow hedges as the transactions were executed to hedge our future interest payments.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June 30, 2021, the interest rate swap contracts had an aggregate notional amount of $394.2 million, which were designated as cash flow hedges. In July 2021, upon the full repayment of our 2018 Term Loan, our interest rate swaps were discontinued as cash flow hedges and were subsequently extinguished. We paid $13.6 million to extinguish our interest rate swaps and hybrid debt. Upon discontinuance of the interest rate swaps as cash flow hedges, the unrealized losses of $9.2 million for the intervening period were recognized in interest expense,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interest rate swaps outstanding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3350"/>
                <wp:effectExtent l="0" t="0" r="0" b="0"/>
                <wp:wrapNone/>
                <wp:docPr id="89" name="Frame8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impact from losses from our interest rate cap, interest rate swaps, and hybrid debt in our consolidated statements of operations were as follows (in thousands):</w:t>
      </w:r>
    </w:p>
    <w:tbl>
      <w:tblPr>
        <w:tblW w:w="9059" w:type="dxa"/>
        <w:jc w:val="left"/>
        <w:tblInd w:w="0" w:type="dxa"/>
        <w:tblLayout w:type="fixed"/>
        <w:tblCellMar>
          <w:top w:w="28" w:type="dxa"/>
          <w:left w:w="28" w:type="dxa"/>
          <w:bottom w:w="28" w:type="dxa"/>
          <w:right w:w="28" w:type="dxa"/>
        </w:tblCellMar>
      </w:tblPr>
      <w:tblGrid>
        <w:gridCol w:w="2272"/>
        <w:gridCol w:w="1993"/>
        <w:gridCol w:w="2004"/>
        <w:gridCol w:w="1289"/>
        <w:gridCol w:w="619"/>
        <w:gridCol w:w="882"/>
      </w:tblGrid>
      <w:tr>
        <w:trPr/>
        <w:tc>
          <w:tcPr>
            <w:tcW w:w="227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Settlement of interest rate swaps</w:t>
            </w:r>
          </w:p>
        </w:tc>
        <w:tc>
          <w:tcPr>
            <w:tcW w:w="1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1,052</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prior hedge effectiveness</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3,095</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Fair value adjustment of interest rate swap</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interest rate cap premium</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 on hybrid debt</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368</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Discontinuance of interest rate swaps and prior hedge effectiveness</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Work Sans;sans-serif" w:hAnsi="Work Sans;sans-serif"/>
                <w:b w:val="false"/>
                <w:color w:val="000000"/>
                <w:sz w:val="18"/>
              </w:rPr>
            </w:pPr>
            <w:r>
              <w:rPr>
                <w:rFonts w:ascii="Work Sans;sans-serif" w:hAnsi="Work Sans;sans-serif"/>
                <w:b w:val="false"/>
                <w:color w:val="000000"/>
                <w:sz w:val="18"/>
              </w:rPr>
              <w:t>9,240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recorded in interest expense, net</w:t>
            </w:r>
          </w:p>
        </w:tc>
        <w:tc>
          <w:tcPr>
            <w:tcW w:w="1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14,147</w:t>
            </w:r>
          </w:p>
        </w:tc>
      </w:tr>
    </w:tbl>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Financial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September 2019, we provided a financial guarantee relating to a former executive officer upon their voluntary termination. The executive officer entered into a personal loan with a financial institution for $50.0 million with a three-year term. The personal loan was collateralized by personal assets, an investment portfolio and our common stock owned by the former executive officer. We provided a financial guarantee to the financial institution up to $25.0 million had the former executive officer defaulted or not met certain collateral requirements throughout the term of the personal loan. We deposited $25.0 million into a money market fund with the financial institution, or restricted cash equivalent, to evidence this financial guarantee. Had the former executive officer not met certain collateral requirements or defaulted on the personal loan, the financial institution would have had the ability to use our restricted cash equivalent for any shortfall up to $25.0 million. In that event, we would have had full recourse against the former executive officer to recover the amount retained by the financial institution up to $25.0 million. The personal loan was required to be repaid by the former executive officer prior to our making a public filing with the Securities and Exchange Commission, or SEC, for our IPO, or September 2022, whichever came first. In the event of our IPO, the former executive officer had the option to sell up to $25.0 million of his common stock back to us to pay off the personal loan with the financial institution.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financial guarantee was accounted for as a derivative at fair value with changes in fair value recorded in other income, net in our consolidated statements of operations. The financial guarantee had a term of three years and matured in September 2022. In June 2021, the financial guarantee was terminated and we recognized a gain of $0.1 million from the cancellation of our financial guarantee derivative in other income (expense), net in the accompanying consolidated statements of operations. The associated restricted cash equivalent of $25.0 million became unrestricted and was reclassified to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$46.5 million over a four year period, of which $32.8 million remains to be paid as of December 31,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3350"/>
                <wp:effectExtent l="0" t="0" r="0" b="0"/>
                <wp:wrapNone/>
                <wp:docPr id="90" name="Frame8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14. Stockholders’ Equity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March 1, 2022, our board of directors approved a stock repurchase program, or 2022 stock repurchase program, authorizing us to repurchase up to $150.0 million of our common stock, with no fixed expiration. In September 2023, we repurchased a total of 4,718,755 shares of our common stock for a total repurchase of $45.1 million directly from a selling stockholder, who was a related party due to the selling stockholder’s then-ownership of our common stock, in a private, non-underwritten transaction at a price of $9.55 per share, which was equal to the price paid by the underwriters to the selling stockholder in a concurrent secondary public offering. The repurchase was recorded as a reduction to stockholders' equity. Upon this repurchase, no further repurchases were available under our 2022 stock repurchase program. The secondary offering of 16,100,000 shares of our common stock by a selling stockholder was completed at a price to the public of $10.00 per share before underwriting discounts and commissions. All direct and incremental costs incurred in connection with the secondary offering were expensed because we did not receive any proceeds from the sale of shares of common stock in the secondary offering.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2023, a selling stockholder, who was a related party due to the selling stockholder’s then-ownership in our common stock, sold 15,099,993 shares of our common stock in an underwritten public offering. We did not offer any shares of common stock in this secondary offering and did not receive any proceeds from the sale of shares of common stock by the selling stockholder. All direct and incremental costs incurred in connection with the secondary offering were expensed because we did not receive any proceeds from the sale of shares of common stock in the secondary offering.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2023, our board of directors approved a new stock repurchase program, or 2023 stock repurchase program, authorizing repurchases of up to $100.0 million of our common stock, with no fixed expiration. Stock repurchases under both 2023 and 2022 programs authorized us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also, from time to time, entered and may enter into Rule 10b5-1 plans to facilitate repurchases of our shares of common stock under this authorization. Neither stock repurchase program obligated us to acquire any particular amount of common stock and each could be modified, suspended or terminated at any time at the discretion of our board of directors.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2023, we repurchased a total of 5,867,835 shares of our common stock through open market purchases using Rule 10b5-1 plans and in the above private, non-underwritten transaction, at an average per share price of $9.35 for a total repurchase of $54.9 million including broker commission. During the year ended December 31, 2022, using the Rule 10b5-1 plans, we repurchased a total of 9,256,268 shares of our common stock through open market purchases at an average per share price of $10.28 for a total repurchase of $95.1 million including broker commission. The repurchases were recorded as a reduction to our accumulated deficit in the accompanying consolidated statements of redeemable convertible preferred stock and stockholders’ equity. We have made additional open market repurchases under the 2023 stock repurchase program subsequent to December 31, 2023 of 897,385 shares of our common stock, amounting to $9.2 million, as of the date of filing.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We have recognized $0.2 million excise tax liability as of December 31, 2023 because the fair market value of stock repurchases exceeded the fair market value of stock issuances during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15.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Equity Incentive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June 2021, our board of directors adopted our 2021 Equity Incentive Plan, or 2021 Plan. All equity-based awards going forward will be granted under the 2021 Plan. An aggregate of 18,946,871 shares of our common stock were reserved for issuance under our 2021 Plan, as well as any future automatic annual increases in the number of shares of common stock reserved for issuance under our 2021 Plan.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terms of the 2021 Plan, both incentive and nonqualified stock options could be granted with exercise prices not less than the fair market value of our common stock on the date of grant. Options granted pursuant to the 2021 Plan will vest at the rate specified in the stock option agreement. Under the 2021 Plan, if an option holder’s service relationship with us or any of our affiliates ceases for any reason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3350"/>
                <wp:effectExtent l="0" t="0" r="0" b="0"/>
                <wp:wrapNone/>
                <wp:docPr id="91" name="Frame9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disability, death, or cause, the option holder may generally exercise any vested options for a period of three months following the cessation of service. If under our 2021 Plan, shares subject to stock awards expire or terminate without being exercised in full or are paid out in cash rather than in shares, such awards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2021 Plan, RSU awards are granted under RSU award agreements adopted by the administrator. RSU awards may be granted for any form of legal consideration that may be acceptable to our board of directors and permissible under applicable law. An RSU award may be settled by cash, delivery of stock, a combination of cash and stock as deemed appropriate by the administrator, or in any other form of consideration set forth in the RSU award agreement. Additionally, dividend equivalents may be credited in respect of shares covered by a RSU award. Except as otherwise provided in the applicable award agreement, or other written agreement between us and the recipient, RSU awards that have not vested will be forfeited once the participant’s continuous service ends for any reason.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Employee Stock Purchase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June 2021, our board of directors adopted our 2021 Employee Stock Purchase Plan, or 2021 ESPP. We authorized the issuance of 3,552,538 shares of common stock under the 2021 ESPP, as well as any future automatic annual increases in the number of shares of common stock reserved for issuance under our 2021 Employee Stock Purchase Plan. Our 2021 ESPP is implemented through a series of offerings under which eligible employees are granted rights to purchase shares of our common stock on specified dates during such offerings at a discounted price per share.</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ESPP purchases are settled with common stock from the ESPP’s previously-authorized and available pool of shares. The stock-based compensation expense incurred in 2023, 2022 and 2021 was $0.7 million, $0.7 million and $0.4 million, respectively. Our policy is to issue new common stock upon the exercise of stock options.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2016 Stock Option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the 2021 Plan, we granted stock options under our 2016 Stock Option Plan, or 2016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terms of the 2016 Plan, both incentive and nonqualified stock options were granted with exercise prices not less than the fair value of the underlying common stock on the date of grant. Options granted pursuant to the 2016 Plan vest over periods of up to five years and expire ten years from the grant date. If a 2016 Plan option expires and is not exercised, such as if an employee does not exercise vested 2016 Plan options within thirty days of termination, then these options would revert back to the 2016 Plan’s option pool.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exercise price of all options granted was based on the estimated fair market value of our common stock as determined by the board of directors at the date of grant or date of modification.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consolidated statements of operations and balance sheets (in thousands):</w:t>
      </w:r>
    </w:p>
    <w:tbl>
      <w:tblPr>
        <w:tblW w:w="8352" w:type="dxa"/>
        <w:jc w:val="left"/>
        <w:tblInd w:w="0" w:type="dxa"/>
        <w:tblLayout w:type="fixed"/>
        <w:tblCellMar>
          <w:top w:w="28" w:type="dxa"/>
          <w:left w:w="28" w:type="dxa"/>
          <w:bottom w:w="28" w:type="dxa"/>
          <w:right w:w="28" w:type="dxa"/>
        </w:tblCellMar>
      </w:tblPr>
      <w:tblGrid>
        <w:gridCol w:w="1467"/>
        <w:gridCol w:w="1287"/>
        <w:gridCol w:w="1296"/>
        <w:gridCol w:w="226"/>
        <w:gridCol w:w="826"/>
        <w:gridCol w:w="109"/>
        <w:gridCol w:w="109"/>
        <w:gridCol w:w="109"/>
        <w:gridCol w:w="109"/>
        <w:gridCol w:w="226"/>
        <w:gridCol w:w="826"/>
        <w:gridCol w:w="109"/>
        <w:gridCol w:w="109"/>
        <w:gridCol w:w="109"/>
        <w:gridCol w:w="109"/>
        <w:gridCol w:w="226"/>
        <w:gridCol w:w="94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113,506 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3350"/>
                <wp:effectExtent l="0" t="0" r="0" b="0"/>
                <wp:wrapNone/>
                <wp:docPr id="92" name="Frame9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option activity for the year ended December 31, 2023 is as follows (in thousands, except weighted-average exercise price and remaining contract life):</w:t>
      </w:r>
    </w:p>
    <w:tbl>
      <w:tblPr>
        <w:tblW w:w="10205" w:type="dxa"/>
        <w:jc w:val="left"/>
        <w:tblInd w:w="0" w:type="dxa"/>
        <w:tblLayout w:type="fixed"/>
        <w:tblCellMar>
          <w:top w:w="28" w:type="dxa"/>
          <w:left w:w="28" w:type="dxa"/>
          <w:bottom w:w="28" w:type="dxa"/>
          <w:right w:w="28" w:type="dxa"/>
        </w:tblCellMar>
      </w:tblPr>
      <w:tblGrid>
        <w:gridCol w:w="1557"/>
        <w:gridCol w:w="1366"/>
        <w:gridCol w:w="1370"/>
        <w:gridCol w:w="413"/>
        <w:gridCol w:w="413"/>
        <w:gridCol w:w="396"/>
        <w:gridCol w:w="109"/>
        <w:gridCol w:w="109"/>
        <w:gridCol w:w="109"/>
        <w:gridCol w:w="254"/>
        <w:gridCol w:w="794"/>
        <w:gridCol w:w="123"/>
        <w:gridCol w:w="109"/>
        <w:gridCol w:w="109"/>
        <w:gridCol w:w="109"/>
        <w:gridCol w:w="435"/>
        <w:gridCol w:w="435"/>
        <w:gridCol w:w="436"/>
        <w:gridCol w:w="109"/>
        <w:gridCol w:w="109"/>
        <w:gridCol w:w="109"/>
        <w:gridCol w:w="230"/>
        <w:gridCol w:w="843"/>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Remaining</w:t>
              <w:br/>
              <w:t>Contractual</w:t>
              <w:br/>
              <w:t>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Aggregate</w:t>
              <w:br/>
              <w:t>Intrinsic</w:t>
              <w:br/>
              <w:t>Value</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17,155 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(743)</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20,486 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34,571 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Vested and expected to vest at December 31, 2023</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20,486 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34,571 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Exercisable at December 31,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14,021 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aggregate intrinsic values in the table above represents the difference, if any, between the fair value per share of our common stock and the option exercise prices multiplied by the number of options at the respective balance sheet dates. The total intrinsic value of stock options exercised in 2023, 2022 and 2021 was $2.2 million, $3.9 million and $13.5 million, respectively. During the years ended December 31, 2023, 2022, and 2021, the Company recorded stock-based compensation expense related to stock option awards of $22.0 million, $40.1 million, and $73.6 million, respectively. At December 31, 2023, total remaining stock-based compensation expense for unvested stock options was $25.5 million, which is expected to be recognized over a weighted-average period of 2.6 years.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weighted-average grant-date fair value per share of options granted using the Black-Scholes option pricing model for 2023, 2022 and 2021 was $4.40, $6.61 and $11.78, respectively. There was no tax benefit for 2023. There was a realized tax benefit of $2.6 million and $12.3 million for tax deductions from stock options exercised in 2022 and 2021, respectively. All tax effects related to stock-based compensation have been recorded in our provision for income taxes in the accompanying consolidated statements of operations. Vesting of the options granted to the members of our senior leadership team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 acquiring entity (or its parent) in connection with such change-in-control.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weighted-average assumptions that were used to calculate the grant-date fair value of our stock option grants using the Black-Scholes option pricing model were as follows:</w:t>
      </w:r>
    </w:p>
    <w:tbl>
      <w:tblPr>
        <w:tblW w:w="6284" w:type="dxa"/>
        <w:jc w:val="left"/>
        <w:tblInd w:w="0" w:type="dxa"/>
        <w:tblLayout w:type="fixed"/>
        <w:tblCellMar>
          <w:top w:w="28" w:type="dxa"/>
          <w:left w:w="28" w:type="dxa"/>
          <w:bottom w:w="28" w:type="dxa"/>
          <w:right w:w="28" w:type="dxa"/>
        </w:tblCellMar>
      </w:tblPr>
      <w:tblGrid>
        <w:gridCol w:w="830"/>
        <w:gridCol w:w="731"/>
        <w:gridCol w:w="734"/>
        <w:gridCol w:w="444"/>
        <w:gridCol w:w="444"/>
        <w:gridCol w:w="446"/>
        <w:gridCol w:w="151"/>
        <w:gridCol w:w="151"/>
        <w:gridCol w:w="151"/>
        <w:gridCol w:w="233"/>
        <w:gridCol w:w="233"/>
        <w:gridCol w:w="377"/>
        <w:gridCol w:w="151"/>
        <w:gridCol w:w="151"/>
        <w:gridCol w:w="151"/>
        <w:gridCol w:w="233"/>
        <w:gridCol w:w="233"/>
        <w:gridCol w:w="440"/>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3.4%-3.8%</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50.4%-50.7%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During the years ended December 31, 2023, 2022, and 2021, the Company recorded stock-based compensation expense for the IPO Options of $2.0 million, $4.5 million, and $3.2 million, respectively. At December 31, 2023, total remaining stock-based compensation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3350"/>
                <wp:effectExtent l="0" t="0" r="0" b="0"/>
                <wp:wrapNone/>
                <wp:docPr id="93" name="Frame9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unvested stock options was $1.1 million, which is expected to be recognized over a weighted-average requisite service period of approximately 1.6 years.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Restricted and Performance Stock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RSUs and performance stock units, or PSUs, activity for the year ended December 31, 2023 is as follows (in thousands, except weighted-average grant-date fair value):</w:t>
      </w:r>
    </w:p>
    <w:tbl>
      <w:tblPr>
        <w:tblW w:w="6701" w:type="dxa"/>
        <w:jc w:val="left"/>
        <w:tblInd w:w="0" w:type="dxa"/>
        <w:tblLayout w:type="fixed"/>
        <w:tblCellMar>
          <w:top w:w="28" w:type="dxa"/>
          <w:left w:w="28" w:type="dxa"/>
          <w:bottom w:w="28" w:type="dxa"/>
          <w:right w:w="28" w:type="dxa"/>
        </w:tblCellMar>
      </w:tblPr>
      <w:tblGrid>
        <w:gridCol w:w="1223"/>
        <w:gridCol w:w="1073"/>
        <w:gridCol w:w="1078"/>
        <w:gridCol w:w="594"/>
        <w:gridCol w:w="594"/>
        <w:gridCol w:w="596"/>
        <w:gridCol w:w="109"/>
        <w:gridCol w:w="109"/>
        <w:gridCol w:w="109"/>
        <w:gridCol w:w="253"/>
        <w:gridCol w:w="790"/>
        <w:gridCol w:w="173"/>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Weighted-</w:t>
              <w:br/>
              <w:t>Average</w:t>
              <w:br/>
              <w:t>Grant-</w:t>
              <w:br/>
              <w:t>Date 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2022</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8,879 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Granted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9,974 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Cancelled/forfeited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(1,405)</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Vested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(3,441)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2023</w:t>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14,007 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vested RSUs in 2023, 2022 and 2021, were $36.6 million and $18.5 million and $18.1 million, respectively. Our RSUs consist of time-based RSUs and RSUs with performance conditions. For the years ended December 31, 2023, 2022 and 2021, total stock-based compensation expense related to RSUs was $47.3 million, $41.4 million and $38.6 million, respectively. At December 31, 2023, total remaining stock-based compensation expense for unvested RSU awards is $112.1 million, which is expected to be recognized over a weighted-average period of 2.7 years. There was no tax benefit for 2023 and 2022. There was a realized tax benefit of $3.5 million for tax deductions from RSU settlements in 2021.</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2023, we also granted 1.3 million PSUs to members of our senior leadership team. Vesting of the PSUs is contingent upon the recipient’s continuous employment over the requisite service period and is subject to fulfillment by the Company of predefined performance criteria. Such awards will be earned only if certain performance targets established by and under the direction of the compensation committee of the board of directors are met during the performance period. The number of PSUs subject to vesting is determined at the end of the performance period and may equal zero percent (0%) to one hundred and fifty percent (150%) of the target award based upon Company’s achievement of certain revenue, profitability, and market share targets. If the performance criteria are achieved, 75% of the PSUs will vest on the date the compensation committee of the board of directors certifies achievement of the performance criteria, and the remaining 25% of the PSUs will vest on the one year anniversary of such certification date. PSUs are measured based on the fair market value of the underlying stock on the date of grant and recognized as expense over the employee’s requisite service period using graded vesting attribution method to the extent it is probable that the performance conditions will be achieved. At December 31, 2023, the awards were not probable of vesting, and, consequently, no stock-based compensation expense related to these PSU awards was recognized during the year ended December 31, 2023. In the event of a change-in-control (as defined in the employment agreement between the Company and each recipient of the performance award), the vesting conditions of the PSUs will be modified resulting in a vesting of a greater of (i) one hundred percent (100%) of the target award, or (ii) the number of shares commensurate with the Company’s market share for the trailing 12-month period ending on the date that is the end of the nearest month prior to the date of the change of control, provided that 75% of such PSUs will vest on June 30, 2024 and the remaining 25% of such PSUs will vest on June 30, 2025, subject to the recipients continuing to be service providers through each such date and accelerated if the acquirer does not assume the awards in an economically equivalent manner.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2022, we granted 211,864 PSUs, with a grant date fair value of $2.0 million to certain employees where 25% and 50% of the PSUs vest upon the first and second anniversaries, respectively, from the Revv asset acquisition date should certain headcount thresholds be maintained, and 25% will vest upon the third anniversary from the Revv asset acquisition date. For the years ended December 31, 2023 and 2022, stock-based compensation expense for these PSUs was $0.8 million and $0.1 million, respectively, and was recognized on a graded vesting basis. At December 31, 2023, the remaining stock-based compensation expense for unvested PSUs is $0.9 million, which is expected to be recognized over a weighted-average requisite service period of approximately 1.4 years.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June 2021, we granted 388,389 RSUs with a grant date fair value of $10.9 million to our executive officers that were contingent on the effectiveness of the registration statement of our IPO, or IPO RSUs. As the IPO was a performance condition, no stock-based compensation expense for the IPO RSUs was recognized until our IPO registration statement was declared effective. Stock-based compensation expense for the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3350"/>
                <wp:effectExtent l="0" t="0" r="0" b="0"/>
                <wp:wrapNone/>
                <wp:docPr id="94" name="Frame9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ended December 31, 2023, 2022 and 2021 was $1.9 million, $4.3 million, and $3.1 million, respectively. At December 31, 2023, the remaining stock-based compensation expense for unvested PSUs was $1.1 million, which is expected to be recognized over a weighted-average requisite service period of approximately 1.6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Upon the effectiveness of our IPO and through December 31, 2021, there were 550,091 RSUs that vested. Such shares of common stock were settled until after the lock-up period relating to our IPO that ended in the fourth quarter of 2021.</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granted 1,338,028 liquidity event RSUs, or LERSUs, to various employees, which only vest upon the achievement of up to four years of service and upon the consummation of a change in control, or CIC event, which included an IPO. If the recipient employee terminates for any reason other than for cause, the employee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Upon the effective date of our IPO registration statement on June 29, 2021, we commenced recognition of stock-based compensation for all LERSUs, as the CIC performance event and service conditions for vested RSUs were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Stock-option and RSU activity described above, including total stock-based compensation expense recognized and total remaining stock-based compensation expense, is inclusive of awards modified during the period as discussed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Modification of Stock-Based Compensation Awards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May 2023, the compensation committee of the board of directors approved amendments to the terms of the stock option and RSU awards granted to members of our senior leadership team during the year ended December 31, 2022, whereby the vesting of such stock options and RSUs will be accelerated upon (i) a qualifying termination that occurs during the CIC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stock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June 2021, we modified the vesting conditions of certain stock options and RSUs as described below.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 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3350"/>
                <wp:effectExtent l="0" t="0" r="0" b="0"/>
                <wp:wrapNone/>
                <wp:docPr id="95" name="Frame9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recognized stock-based compensation expense of $23.3 million from the effective date of our IPO registration statement through June 30, 2021 and we recognized stock-based compensation of $24.1 million during the six months ended December 31, 2021. Stock-based compensation expense for the years ended December 31, 2023 and 2022 was $5.9 million and $19.9 million, respectively. At December 31, 2023, remaining compensation of $0.9 million will be recognized over a remaining weighted-average service period of 0.7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modified the vesting conditions of 3,627,936 outstanding 2019 performance options of an executive officer so that in the event of an IPO, the modified 2019 performance options will vest monthly over a four years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expense of $6.6 million from the effective date of our IPO registration statement through June 30, 2021 and we recognized stock-based compensation of $6.7 million during the six months ended December 31, 2021. Stock-based compensation expense for the years ended December 31, 2023 and 2022 was $0.9 million and $5.0 million, respectively. There is no remaining compensation expense to be recognized as of December 31, 2023.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$0.2 million from the effective date of our IPO registration statement through June 30, 2021 and we recognized stock-based compensation of $1.2 million during the six months ended December 31, 2021. Stock-based compensation expense for the years ended December 31, 2023 and 2022 was $0.3 million and $0.6 million, respectively. At December 31, 2023, remaining compensation expense of $0.1 million will be recognized over a remaining weighted-average service period of 0.8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$7.4 million from the effective date of our IPO registration statement through June 30, 2021 and we recognized stock-based compensation of $15.8 million during the six months ended December 31, 2021. Stock-based compensation expense for the years ended December 31, 2023 and 2022 was $5.0 million and $13.0 million, respectively. At December 31, 2023, remaining compensation expense of $1.2 million will be recognized over a remaining weighted-average service period of 0.9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2021, we modified 63,235 vested options to extend the exercise period for terminated employees who were not able to exercise their options during the IPO lock-up period. We recognized $1.4 million in incremental stock-based compensation related to this modification during the year ended December 31, 2021.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the modified 2020 performance options, 2019 performance option, performance RSUs and LERSUs were remeasured using the fair value of our common stock, as approved by the Pricing Committee of our board of directors, which was $25.50 per share, the midpoint of the price range set forth on the cover page of the preliminary prospectus filed with the SEC on June 21, 2021 as part of our registration statement on Form S-1.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3350"/>
                <wp:effectExtent l="0" t="0" r="0" b="0"/>
                <wp:wrapNone/>
                <wp:docPr id="96" name="Frame9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16. Net Income (Loss) Per Share Attributable to Common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(loss) income per share attributable to common stockholders (in thousands, except per share amounts):</w:t>
      </w:r>
    </w:p>
    <w:tbl>
      <w:tblPr>
        <w:tblW w:w="10205" w:type="dxa"/>
        <w:jc w:val="left"/>
        <w:tblInd w:w="0" w:type="dxa"/>
        <w:tblLayout w:type="fixed"/>
        <w:tblCellMar>
          <w:top w:w="28" w:type="dxa"/>
          <w:left w:w="28" w:type="dxa"/>
          <w:bottom w:w="28" w:type="dxa"/>
          <w:right w:w="28" w:type="dxa"/>
        </w:tblCellMar>
      </w:tblPr>
      <w:tblGrid>
        <w:gridCol w:w="2107"/>
        <w:gridCol w:w="1846"/>
        <w:gridCol w:w="1863"/>
        <w:gridCol w:w="226"/>
        <w:gridCol w:w="826"/>
        <w:gridCol w:w="109"/>
        <w:gridCol w:w="109"/>
        <w:gridCol w:w="109"/>
        <w:gridCol w:w="109"/>
        <w:gridCol w:w="226"/>
        <w:gridCol w:w="868"/>
        <w:gridCol w:w="109"/>
        <w:gridCol w:w="109"/>
        <w:gridCol w:w="109"/>
        <w:gridCol w:w="109"/>
        <w:gridCol w:w="226"/>
        <w:gridCol w:w="988"/>
        <w:gridCol w:w="157"/>
      </w:tblGrid>
      <w:tr>
        <w:trPr/>
        <w:tc>
          <w:tcPr>
            <w:tcW w:w="210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2021</w:t>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Numerator: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stockholders—basic and diluted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(108,664)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Denominator:</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(loss) income per share attributable to common stockholders—basic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161,424 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RSUs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(loss) income per share attributable to common stockholders—diluted</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161,424 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(loss) income per share attributable to common stockholders—basic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(0.67)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(loss) income per share attributable to common stockholders—diluted</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(0.67)</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attributable to common stockholders because they are anti-dilutive (in thousands):</w:t>
      </w:r>
    </w:p>
    <w:tbl>
      <w:tblPr>
        <w:tblW w:w="7299" w:type="dxa"/>
        <w:jc w:val="left"/>
        <w:tblInd w:w="0" w:type="dxa"/>
        <w:tblLayout w:type="fixed"/>
        <w:tblCellMar>
          <w:top w:w="28" w:type="dxa"/>
          <w:left w:w="28" w:type="dxa"/>
          <w:bottom w:w="28" w:type="dxa"/>
          <w:right w:w="28" w:type="dxa"/>
        </w:tblCellMar>
      </w:tblPr>
      <w:tblGrid>
        <w:gridCol w:w="1211"/>
        <w:gridCol w:w="1065"/>
        <w:gridCol w:w="1068"/>
        <w:gridCol w:w="413"/>
        <w:gridCol w:w="413"/>
        <w:gridCol w:w="196"/>
        <w:gridCol w:w="137"/>
        <w:gridCol w:w="137"/>
        <w:gridCol w:w="137"/>
        <w:gridCol w:w="413"/>
        <w:gridCol w:w="413"/>
        <w:gridCol w:w="196"/>
        <w:gridCol w:w="137"/>
        <w:gridCol w:w="137"/>
        <w:gridCol w:w="137"/>
        <w:gridCol w:w="413"/>
        <w:gridCol w:w="413"/>
        <w:gridCol w:w="263"/>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15,274 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18,183 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26,174 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18,997 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3350"/>
                <wp:effectExtent l="0" t="0" r="0" b="0"/>
                <wp:wrapNone/>
                <wp:docPr id="97" name="Frame9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17. 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668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52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2022</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Contingent consideration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2023, we recorded a $0.8 million reduction in fair value of contingent consideration from our acquisition of UAS as a component of cost of revenue because the earnout metrics were not achieved. There was no change in the fair value of the contingent consideration from our acquisition of UAS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18. Restructuring</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initiate cost reduction activities to integrate acquired businesses, to align our workforce with strategic business activities, or to improve efficiencies in our operations. In 2023 and 2022, we incurred $3.7 million and $1.9 million, respectively, in severance and related termination benefits costs related to a reduction in headcount in our U.S. workforce. In 2023, we also incurred $1.0 million in severance and related termination benefits costs related to the reduction of our U.K. headcount. The 2023 reduction in the U.S. and U.K. headcount was substantially complete by December 31, 2023. Restructuring expenses include salary and benefits for the impacted employees and are included in general and administrative expenses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19.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are the domestic and foreign components of our income (loss) before income taxes (in thousands):</w:t>
      </w:r>
    </w:p>
    <w:tbl>
      <w:tblPr>
        <w:tblW w:w="8187" w:type="dxa"/>
        <w:jc w:val="left"/>
        <w:tblInd w:w="0" w:type="dxa"/>
        <w:tblLayout w:type="fixed"/>
        <w:tblCellMar>
          <w:top w:w="28" w:type="dxa"/>
          <w:left w:w="28" w:type="dxa"/>
          <w:bottom w:w="28" w:type="dxa"/>
          <w:right w:w="28" w:type="dxa"/>
        </w:tblCellMar>
      </w:tblPr>
      <w:tblGrid>
        <w:gridCol w:w="1342"/>
        <w:gridCol w:w="1180"/>
        <w:gridCol w:w="1183"/>
        <w:gridCol w:w="226"/>
        <w:gridCol w:w="826"/>
        <w:gridCol w:w="109"/>
        <w:gridCol w:w="109"/>
        <w:gridCol w:w="109"/>
        <w:gridCol w:w="109"/>
        <w:gridCol w:w="226"/>
        <w:gridCol w:w="916"/>
        <w:gridCol w:w="109"/>
        <w:gridCol w:w="109"/>
        <w:gridCol w:w="109"/>
        <w:gridCol w:w="109"/>
        <w:gridCol w:w="226"/>
        <w:gridCol w:w="103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(119,195)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income (loss) before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(119,615)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3350"/>
                <wp:effectExtent l="0" t="0" r="0" b="0"/>
                <wp:wrapNone/>
                <wp:docPr id="98" name="Frame9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details for the provision for (benefit from) for income taxes by jurisdiction are as follows (in thousands):</w:t>
      </w:r>
    </w:p>
    <w:tbl>
      <w:tblPr>
        <w:tblW w:w="8277" w:type="dxa"/>
        <w:jc w:val="left"/>
        <w:tblInd w:w="0" w:type="dxa"/>
        <w:tblLayout w:type="fixed"/>
        <w:tblCellMar>
          <w:top w:w="28" w:type="dxa"/>
          <w:left w:w="28" w:type="dxa"/>
          <w:bottom w:w="28" w:type="dxa"/>
          <w:right w:w="28" w:type="dxa"/>
        </w:tblCellMar>
      </w:tblPr>
      <w:tblGrid>
        <w:gridCol w:w="1493"/>
        <w:gridCol w:w="1306"/>
        <w:gridCol w:w="1326"/>
        <w:gridCol w:w="226"/>
        <w:gridCol w:w="826"/>
        <w:gridCol w:w="109"/>
        <w:gridCol w:w="109"/>
        <w:gridCol w:w="109"/>
        <w:gridCol w:w="109"/>
        <w:gridCol w:w="226"/>
        <w:gridCol w:w="706"/>
        <w:gridCol w:w="109"/>
        <w:gridCol w:w="109"/>
        <w:gridCol w:w="109"/>
        <w:gridCol w:w="109"/>
        <w:gridCol w:w="226"/>
        <w:gridCol w:w="916"/>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Current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current provision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provision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(benefit from) income tax</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left"/>
        <w:rPr>
          <w:rFonts w:ascii="Work Sans;sans-serif" w:hAnsi="Work Sans;sans-serif"/>
          <w:b w:val="false"/>
          <w:color w:val="000000"/>
          <w:sz w:val="18"/>
        </w:rPr>
      </w:pPr>
      <w:r>
        <w:rPr>
          <w:rFonts w:ascii="Work Sans;sans-serif" w:hAnsi="Work Sans;sans-serif"/>
          <w:b w:val="false"/>
          <w:color w:val="000000"/>
          <w:sz w:val="18"/>
        </w:rPr>
        <w:t>The provision for income taxes for the year ended December 31, 2023 and 2022 reflected the impact of a change in U.S. tax law effective January 1, 2022, which requires the capitalization and amortization of research and development expenditures incurred after December 31, 2021.</w:t>
      </w:r>
    </w:p>
    <w:p>
      <w:pPr>
        <w:pStyle w:val="TextBody"/>
        <w:bidi w:val="0"/>
        <w:spacing w:lineRule="auto" w:line="288" w:before="120" w:after="120"/>
        <w:ind w:left="0" w:right="0" w:firstLine="720"/>
        <w:jc w:val="left"/>
        <w:rPr>
          <w:rFonts w:ascii="Work Sans;sans-serif" w:hAnsi="Work Sans;sans-serif"/>
          <w:b w:val="false"/>
          <w:color w:val="000000"/>
          <w:sz w:val="18"/>
        </w:rPr>
      </w:pPr>
      <w:r>
        <w:rPr>
          <w:rFonts w:ascii="Work Sans;sans-serif" w:hAnsi="Work Sans;sans-serif"/>
          <w:b w:val="false"/>
          <w:color w:val="000000"/>
          <w:sz w:val="18"/>
        </w:rPr>
        <w:t>In August 2022, the Inflation Reduction Act of 2022, or IRA, was enacted. The IRA introduced a 15% alternative minimum tax based on the financial statement income of certain large corporations, effective for tax years beginning after December 31, 2022. The Company considered the applicable tax law changes concluding there is no impact to the Company’s tax provision for the twelve months ended December 31, 2023.</w:t>
      </w:r>
    </w:p>
    <w:p>
      <w:pPr>
        <w:pStyle w:val="TextBody"/>
        <w:bidi w:val="0"/>
        <w:spacing w:lineRule="auto" w:line="288" w:before="120" w:after="120"/>
        <w:ind w:left="0" w:right="0" w:firstLine="720"/>
        <w:jc w:val="left"/>
        <w:rPr>
          <w:rFonts w:ascii="Work Sans;sans-serif" w:hAnsi="Work Sans;sans-serif"/>
          <w:b w:val="false"/>
          <w:color w:val="000000"/>
          <w:sz w:val="18"/>
        </w:rPr>
      </w:pPr>
      <w:r>
        <w:rPr>
          <w:rFonts w:ascii="Work Sans;sans-serif" w:hAnsi="Work Sans;sans-serif"/>
          <w:b w:val="false"/>
          <w:color w:val="000000"/>
          <w:sz w:val="18"/>
        </w:rPr>
        <w:t>The provision for (benefit from) income taxes for December 31, 2023, 2022, and 2021, differed from the amounts computed by applying the U.S. Federal income tax rate of 21% to income (loss) before income taxes as a result of the following (in thousands):</w:t>
      </w:r>
    </w:p>
    <w:tbl>
      <w:tblPr>
        <w:tblW w:w="9717" w:type="dxa"/>
        <w:jc w:val="left"/>
        <w:tblInd w:w="0" w:type="dxa"/>
        <w:tblLayout w:type="fixed"/>
        <w:tblCellMar>
          <w:top w:w="28" w:type="dxa"/>
          <w:left w:w="28" w:type="dxa"/>
          <w:bottom w:w="28" w:type="dxa"/>
          <w:right w:w="28" w:type="dxa"/>
        </w:tblCellMar>
      </w:tblPr>
      <w:tblGrid>
        <w:gridCol w:w="1936"/>
        <w:gridCol w:w="1704"/>
        <w:gridCol w:w="1715"/>
        <w:gridCol w:w="226"/>
        <w:gridCol w:w="826"/>
        <w:gridCol w:w="109"/>
        <w:gridCol w:w="109"/>
        <w:gridCol w:w="109"/>
        <w:gridCol w:w="109"/>
        <w:gridCol w:w="226"/>
        <w:gridCol w:w="916"/>
        <w:gridCol w:w="109"/>
        <w:gridCol w:w="109"/>
        <w:gridCol w:w="109"/>
        <w:gridCol w:w="109"/>
        <w:gridCol w:w="226"/>
        <w:gridCol w:w="91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 at statutory rate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income taxes, net of federal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Rate differential on foreign earnings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Research and development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Nondeductible stock-based compensation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Unrecognized tax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Non-deductible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(benefit from) income taxes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tax effects of temporary differences that give rise to significant portions of our deferred tax assets and liabilities consisted of the following as of December 31, 2023 and 2022, (in thousands):</w:t>
      </w:r>
    </w:p>
    <w:tbl>
      <w:tblPr>
        <w:tblW w:w="4678" w:type="dxa"/>
        <w:jc w:val="center"/>
        <w:tblInd w:w="0" w:type="dxa"/>
        <w:tblLayout w:type="fixed"/>
        <w:tblCellMar>
          <w:top w:w="28" w:type="dxa"/>
          <w:left w:w="28" w:type="dxa"/>
          <w:bottom w:w="28" w:type="dxa"/>
          <w:right w:w="28" w:type="dxa"/>
        </w:tblCellMar>
      </w:tblPr>
      <w:tblGrid>
        <w:gridCol w:w="930"/>
        <w:gridCol w:w="817"/>
        <w:gridCol w:w="818"/>
        <w:gridCol w:w="228"/>
        <w:gridCol w:w="531"/>
        <w:gridCol w:w="110"/>
        <w:gridCol w:w="110"/>
        <w:gridCol w:w="110"/>
        <w:gridCol w:w="110"/>
        <w:gridCol w:w="228"/>
        <w:gridCol w:w="531"/>
        <w:gridCol w:w="155"/>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assets</w:t>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on investment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3350"/>
                <wp:effectExtent l="0" t="0" r="0" b="0"/>
                <wp:wrapNone/>
                <wp:docPr id="99" name="Frame9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v:textbox>
                <w10:wrap type="none"/>
              </v:rect>
            </w:pict>
          </mc:Fallback>
        </mc:AlternateContent>
      </w:r>
    </w:p>
    <w:p>
      <w:pPr>
        <w:pStyle w:val="TextBody"/>
        <w:bidi w:val="0"/>
        <w:spacing w:before="0" w:after="0"/>
        <w:jc w:val="center"/>
        <w:rPr/>
      </w:pPr>
      <w:r>
        <w:rPr/>
      </w:r>
    </w:p>
    <w:tbl>
      <w:tblPr>
        <w:tblW w:w="6143" w:type="dxa"/>
        <w:jc w:val="center"/>
        <w:tblInd w:w="0" w:type="dxa"/>
        <w:tblLayout w:type="fixed"/>
        <w:tblCellMar>
          <w:top w:w="28" w:type="dxa"/>
          <w:left w:w="28" w:type="dxa"/>
          <w:bottom w:w="28" w:type="dxa"/>
          <w:right w:w="28" w:type="dxa"/>
        </w:tblCellMar>
      </w:tblPr>
      <w:tblGrid>
        <w:gridCol w:w="1250"/>
        <w:gridCol w:w="1098"/>
        <w:gridCol w:w="1101"/>
        <w:gridCol w:w="226"/>
        <w:gridCol w:w="826"/>
        <w:gridCol w:w="109"/>
        <w:gridCol w:w="109"/>
        <w:gridCol w:w="109"/>
        <w:gridCol w:w="109"/>
        <w:gridCol w:w="226"/>
        <w:gridCol w:w="82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operating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Tax credit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research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tax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Valuation allowance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liabilities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 and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evaluated the realizability of net deferred tax assets and determined it is more likely than not that separate state net operating losses, state net operating losses from the acquisition of LegalInc, capital loss carryovers from the acquisition of Earth Class Mail, the deferred tax assets for Pulse IP, LLC and Pulse Business, LLC, and foreign deferred tax assets will not be realized based on the available objective evidence and have recorded a valuation allowance on such deferred tax assets.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valuation allowance:</w:t>
      </w:r>
    </w:p>
    <w:p>
      <w:pPr>
        <w:pStyle w:val="TextBody"/>
        <w:bidi w:val="0"/>
        <w:spacing w:before="120" w:after="120"/>
        <w:ind w:left="0" w:right="0" w:firstLine="450"/>
        <w:jc w:val="left"/>
        <w:rPr/>
      </w:pPr>
      <w:r>
        <w:rPr/>
      </w:r>
    </w:p>
    <w:tbl>
      <w:tblPr>
        <w:tblW w:w="9147" w:type="dxa"/>
        <w:jc w:val="left"/>
        <w:tblInd w:w="0" w:type="dxa"/>
        <w:tblLayout w:type="fixed"/>
        <w:tblCellMar>
          <w:top w:w="28" w:type="dxa"/>
          <w:left w:w="28" w:type="dxa"/>
          <w:bottom w:w="28" w:type="dxa"/>
          <w:right w:w="28" w:type="dxa"/>
        </w:tblCellMar>
      </w:tblPr>
      <w:tblGrid>
        <w:gridCol w:w="1798"/>
        <w:gridCol w:w="1581"/>
        <w:gridCol w:w="1586"/>
        <w:gridCol w:w="226"/>
        <w:gridCol w:w="826"/>
        <w:gridCol w:w="109"/>
        <w:gridCol w:w="109"/>
        <w:gridCol w:w="109"/>
        <w:gridCol w:w="109"/>
        <w:gridCol w:w="226"/>
        <w:gridCol w:w="826"/>
        <w:gridCol w:w="109"/>
        <w:gridCol w:w="109"/>
        <w:gridCol w:w="109"/>
        <w:gridCol w:w="109"/>
        <w:gridCol w:w="226"/>
        <w:gridCol w:w="82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2021</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in current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valuation prior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 valuation allowance from acquisitions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Net changes in the valuation allowance in the years ended December 31, 2023, 2022, and 2021 include changes recorded through earnings relating to losses primarily from foreign operations and to a lesser extent valuation allowances established relating to acquired businesses.</w:t>
      </w:r>
    </w:p>
    <w:p>
      <w:pPr>
        <w:pStyle w:val="TextBody"/>
        <w:bidi w:val="0"/>
        <w:spacing w:lineRule="auto" w:line="288" w:before="120" w:after="120"/>
        <w:ind w:left="0" w:right="0" w:firstLine="450"/>
        <w:jc w:val="left"/>
        <w:rPr/>
      </w:pPr>
      <w:r>
        <w:rPr>
          <w:rFonts w:ascii="Work Sans;sans-serif" w:hAnsi="Work Sans;sans-serif"/>
          <w:b w:val="false"/>
          <w:color w:val="000000"/>
          <w:sz w:val="18"/>
        </w:rPr>
        <w:t>At December 31, 2023 and 2022, we had federal net operating loss, or NOL, carryforwards of $17.2 million and $16.8 million, respectively, which will begin to expire in 2032. At December 31, 2023, and 2022, we had state NOL carryforwards of $38.2 million and $59.9 million, respectively, which will begin to expire in 2028. At December 31, 2023 and 2022, we had foreign NOL carryforwards of $30.3 million and $33.6 million, respectively, which can be carried forward indefinitely and are not subject to expiration. At December 31, 2023, our federal tax credit carryforwards were immaterial. At December 31, 2022, we had federal tax credit carryforwards of $7.1 million, which will begin to expire in 2039. At December 31, 2023 and 2022, we had state tax credit carryforwards of $12.6 million and $10.8 million, respectively, which carry forward indefinitely. Our domestic entities may be subject to an annual limitation on the utilization of NOL and credit carryforwards based on changes in ownership as defined by Section 382 of the</w:t>
      </w:r>
      <w:r>
        <w:rPr>
          <w:color w:val="000000"/>
        </w:rPr>
        <w:t xml:space="preserve"> </w:t>
      </w:r>
      <w:r>
        <w:rPr>
          <w:rFonts w:ascii="Work Sans;sans-serif" w:hAnsi="Work Sans;sans-serif"/>
          <w:b w:val="false"/>
          <w:i/>
          <w:color w:val="000000"/>
          <w:sz w:val="18"/>
        </w:rPr>
        <w:t>Internal Revenue Code of 1986</w:t>
      </w:r>
      <w:r>
        <w:rPr>
          <w:rFonts w:ascii="Work Sans;sans-serif" w:hAnsi="Work Sans;sans-serif"/>
          <w:b w:val="false"/>
          <w:color w:val="000000"/>
          <w:sz w:val="18"/>
        </w:rPr>
        <w:t>. In 2021 we acquired Earth Class Mail and in 2022 we acquired Revvsales Inc. Both were structured as stock acquisitions. Since there was a change in ownership, the acquired NOL carryforwards are subject to an annual Section 382 limitation on the utilization of the NOL carryforwards.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had foreign operations since 2013. We have not provided for U.S. income taxes on the undistributed earnings and other outside temporary differences of foreign subsidiaries as they are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3350"/>
                <wp:effectExtent l="0" t="0" r="0" b="0"/>
                <wp:wrapNone/>
                <wp:docPr id="100" name="Frame9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indefinitely reinvested outside the U.S. At December 31, 2023, 2022, and 2021, the amount of temporary differences related to undistributed earnings and other outside temporary differences upon which U.S. income taxes are not material to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changes in unrecognized tax benefits for the years ended December 31, 2023, 2022, and 2021 (in thousands):</w:t>
      </w:r>
    </w:p>
    <w:tbl>
      <w:tblPr>
        <w:tblW w:w="6601" w:type="dxa"/>
        <w:jc w:val="left"/>
        <w:tblInd w:w="0" w:type="dxa"/>
        <w:tblLayout w:type="fixed"/>
        <w:tblCellMar>
          <w:top w:w="28" w:type="dxa"/>
          <w:left w:w="28" w:type="dxa"/>
          <w:bottom w:w="28" w:type="dxa"/>
          <w:right w:w="28" w:type="dxa"/>
        </w:tblCellMar>
      </w:tblPr>
      <w:tblGrid>
        <w:gridCol w:w="1789"/>
        <w:gridCol w:w="1571"/>
        <w:gridCol w:w="1575"/>
        <w:gridCol w:w="312"/>
        <w:gridCol w:w="114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Unrealized Tax</w:t>
              <w:br/>
              <w:t>Benefits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2020</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7,231 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Reductions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2021</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7,873 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2022</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8,920 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2023</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recognized, $11.5 million of unrecognized tax benefits, excluding interest and penalties, would reduce our annual effective tax rate. Due to the uncertain and complex application of tax laws and regulations, it is possible that the ultimate resolution of uncertain positions may result in liabilities that could be materially different from these estimates. In such an event, we will record additional tax expense or benefit in the period in which resolution occurs. Our policy is to recognize interest and penalties related to income tax matters in income tax expense. At December 31, 2023 and 2022, accrued interest and penalties related to income tax positions were not material to our consolidated financial statements. We do not anticipate that unrecognized tax benefits will materially change within the next twelve months.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2020 through 2022 and state income tax returns for the tax years 2008 through 2022 remain open to examination. We are under examination in one state which is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20. Related Party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related party transactions disclosed in Note 14, in 2021, we incurred software and software maintenance fees of $0.9 million, from two software vendors controlled by our then-largest stockholder.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21. 401(k) Savings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 defined contribution savings plan under Section 401(k) of the Internal Revenue Code. This plan covers substantially all employees who meet minimum age and service requirements and allows participants to defer a portion of their annual compensation on a pre-tax basis. Under the 401(k) plan, matching contributions are based upon the amount of the employees’ contributions subject to certain limitations. We contributed $4.0 million, $3.7 million, and $2.3 million to the 401(k) plan in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22. Accumulated Other Comprehensive (Loss) Income</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accumulated other comprehensive (loss) income consisted of the following:</w:t>
      </w:r>
    </w:p>
    <w:tbl>
      <w:tblPr>
        <w:tblW w:w="8607" w:type="dxa"/>
        <w:jc w:val="left"/>
        <w:tblInd w:w="0" w:type="dxa"/>
        <w:tblLayout w:type="fixed"/>
        <w:tblCellMar>
          <w:top w:w="28" w:type="dxa"/>
          <w:left w:w="28" w:type="dxa"/>
          <w:bottom w:w="28" w:type="dxa"/>
          <w:right w:w="28" w:type="dxa"/>
        </w:tblCellMar>
      </w:tblPr>
      <w:tblGrid>
        <w:gridCol w:w="1618"/>
        <w:gridCol w:w="1423"/>
        <w:gridCol w:w="1429"/>
        <w:gridCol w:w="257"/>
        <w:gridCol w:w="804"/>
        <w:gridCol w:w="125"/>
        <w:gridCol w:w="109"/>
        <w:gridCol w:w="109"/>
        <w:gridCol w:w="109"/>
        <w:gridCol w:w="338"/>
        <w:gridCol w:w="608"/>
        <w:gridCol w:w="165"/>
        <w:gridCol w:w="109"/>
        <w:gridCol w:w="109"/>
        <w:gridCol w:w="109"/>
        <w:gridCol w:w="246"/>
        <w:gridCol w:w="771"/>
        <w:gridCol w:w="16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3350"/>
                <wp:effectExtent l="0" t="0" r="0" b="0"/>
                <wp:wrapNone/>
                <wp:docPr id="101" name="Frame10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96</w:t>
                      </w:r>
                    </w:p>
                  </w:txbxContent>
                </v:textbox>
                <w10:wrap type="none"/>
              </v:rect>
            </w:pict>
          </mc:Fallback>
        </mc:AlternateContent>
      </w:r>
    </w:p>
    <w:p>
      <w:pPr>
        <w:pStyle w:val="TextBody"/>
        <w:bidi w:val="0"/>
        <w:spacing w:before="0" w:after="0"/>
        <w:jc w:val="center"/>
        <w:rPr/>
      </w:pPr>
      <w:r>
        <w:rPr/>
      </w:r>
    </w:p>
    <w:tbl>
      <w:tblPr>
        <w:tblW w:w="8696" w:type="dxa"/>
        <w:jc w:val="left"/>
        <w:tblInd w:w="0" w:type="dxa"/>
        <w:tblLayout w:type="fixed"/>
        <w:tblCellMar>
          <w:top w:w="28" w:type="dxa"/>
          <w:left w:w="28" w:type="dxa"/>
          <w:bottom w:w="28" w:type="dxa"/>
          <w:right w:w="28" w:type="dxa"/>
        </w:tblCellMar>
      </w:tblPr>
      <w:tblGrid>
        <w:gridCol w:w="1652"/>
        <w:gridCol w:w="1451"/>
        <w:gridCol w:w="1456"/>
        <w:gridCol w:w="257"/>
        <w:gridCol w:w="804"/>
        <w:gridCol w:w="125"/>
        <w:gridCol w:w="109"/>
        <w:gridCol w:w="109"/>
        <w:gridCol w:w="109"/>
        <w:gridCol w:w="332"/>
        <w:gridCol w:w="618"/>
        <w:gridCol w:w="161"/>
        <w:gridCol w:w="109"/>
        <w:gridCol w:w="109"/>
        <w:gridCol w:w="109"/>
        <w:gridCol w:w="246"/>
        <w:gridCol w:w="771"/>
        <w:gridCol w:w="169"/>
      </w:tblGrid>
      <w:tr>
        <w:trPr/>
        <w:tc>
          <w:tcPr>
            <w:tcW w:w="165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2023</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income: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27" w:type="dxa"/>
        <w:jc w:val="left"/>
        <w:tblInd w:w="0" w:type="dxa"/>
        <w:tblLayout w:type="fixed"/>
        <w:tblCellMar>
          <w:top w:w="28" w:type="dxa"/>
          <w:left w:w="28" w:type="dxa"/>
          <w:bottom w:w="28" w:type="dxa"/>
          <w:right w:w="28" w:type="dxa"/>
        </w:tblCellMar>
      </w:tblPr>
      <w:tblGrid>
        <w:gridCol w:w="1618"/>
        <w:gridCol w:w="1423"/>
        <w:gridCol w:w="1429"/>
        <w:gridCol w:w="253"/>
        <w:gridCol w:w="809"/>
        <w:gridCol w:w="124"/>
        <w:gridCol w:w="109"/>
        <w:gridCol w:w="109"/>
        <w:gridCol w:w="109"/>
        <w:gridCol w:w="332"/>
        <w:gridCol w:w="618"/>
        <w:gridCol w:w="161"/>
        <w:gridCol w:w="109"/>
        <w:gridCol w:w="109"/>
        <w:gridCol w:w="109"/>
        <w:gridCol w:w="243"/>
        <w:gridCol w:w="796"/>
        <w:gridCol w:w="16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2022</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loss: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33"/>
        <w:gridCol w:w="1829"/>
        <w:gridCol w:w="1833"/>
        <w:gridCol w:w="226"/>
        <w:gridCol w:w="906"/>
        <w:gridCol w:w="109"/>
        <w:gridCol w:w="109"/>
        <w:gridCol w:w="109"/>
        <w:gridCol w:w="109"/>
        <w:gridCol w:w="226"/>
        <w:gridCol w:w="792"/>
        <w:gridCol w:w="109"/>
        <w:gridCol w:w="109"/>
        <w:gridCol w:w="109"/>
        <w:gridCol w:w="109"/>
        <w:gridCol w:w="226"/>
        <w:gridCol w:w="904"/>
        <w:gridCol w:w="158"/>
      </w:tblGrid>
      <w:tr>
        <w:trPr/>
        <w:tc>
          <w:tcPr>
            <w:tcW w:w="223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2021</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 hedges:</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 on interest rate swaps and cap</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Reclassification of losses from interest rate cap to net loss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Reclassification of prior hedge effectiveness to net loss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Reclassification to net loss upon extinguishment of interest rate swaps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loss:</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3350"/>
                <wp:effectExtent l="0" t="0" r="0" b="0"/>
                <wp:wrapNone/>
                <wp:docPr id="102" name="Frame10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97</w:t>
                      </w:r>
                    </w:p>
                  </w:txbxContent>
                </v:textbox>
                <w10:wrap type="none"/>
              </v:rect>
            </w:pict>
          </mc:Fallback>
        </mc:AlternateContent>
      </w:r>
    </w:p>
    <w:p>
      <w:pPr>
        <w:pStyle w:val="TextBody"/>
        <w:bidi w:val="0"/>
        <w:spacing w:before="0" w:after="0"/>
        <w:jc w:val="center"/>
        <w:rPr/>
      </w:pPr>
      <w:r>
        <w:rPr/>
      </w:r>
    </w:p>
    <w:tbl>
      <w:tblPr>
        <w:tblW w:w="7101" w:type="dxa"/>
        <w:jc w:val="left"/>
        <w:tblInd w:w="0" w:type="dxa"/>
        <w:tblLayout w:type="fixed"/>
        <w:tblCellMar>
          <w:top w:w="28" w:type="dxa"/>
          <w:left w:w="28" w:type="dxa"/>
          <w:bottom w:w="28" w:type="dxa"/>
          <w:right w:w="28" w:type="dxa"/>
        </w:tblCellMar>
      </w:tblPr>
      <w:tblGrid>
        <w:gridCol w:w="1010"/>
        <w:gridCol w:w="888"/>
        <w:gridCol w:w="891"/>
        <w:gridCol w:w="226"/>
        <w:gridCol w:w="916"/>
        <w:gridCol w:w="109"/>
        <w:gridCol w:w="109"/>
        <w:gridCol w:w="109"/>
        <w:gridCol w:w="109"/>
        <w:gridCol w:w="241"/>
        <w:gridCol w:w="753"/>
        <w:gridCol w:w="117"/>
        <w:gridCol w:w="109"/>
        <w:gridCol w:w="109"/>
        <w:gridCol w:w="109"/>
        <w:gridCol w:w="226"/>
        <w:gridCol w:w="91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3350"/>
                <wp:effectExtent l="0" t="0" r="0" b="0"/>
                <wp:wrapNone/>
                <wp:docPr id="103" name="Frame10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 Changes in and Disagreements With Accountants on Accounting and Financial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9A.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management, with the participation of our principal executive officer and principal financial officer, evaluated the effectiveness of our disclosure controls and procedures (as defined in Rules 13a-15(e) and 15d-15(e) under the Exchange Act) as of December 31, 2023. Disclosure controls and procedures include controls and procedures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 In designing and evaluating our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such evaluation, our principal executive officer and principal financial officer concluded that our disclosure controls and procedures were effective at the reasonable assurance level as of December 31, 2023.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Management’s Annual Report on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officers and effected by our Board of Directors, our management and other personnel, to provide reasonable assurance regarding the reliability of financial reporting and the preparation of financial statements for external purposes in accordance with generally accepted accounting principles in the United States, or GAAP.</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assessed the effectiveness of our internal control over financial reporting as of December 31, 2023. In making this assessment, our management used the criteria set forth by the Committee of Sponsoring Organizations of the Treadway Commission (“COSO”) in Internal Control-Integrated Framework (2013). Based on this assessment, our management concluded that, as of December 31, 2023, our internal control over financial reporting was effective based on those criteria.</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effectiveness of our internal control over financial reporting as of December 31, 2023 has been audited by PricewaterhouseCoopers LLP, an independent registered public accounting firm, as stated in their report which is included in Part II, Item 8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Remediation of Previously Reported Material Weaknesses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previously disclosed in Item 9A of our Annual Report on Form 10-K for the year ended December 31, 2022, our management identified material weaknesses in our internal control over financial reporting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we previously reported were as follows: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to address the initial application of complex accounting standards and accounting of non-routine, unusual or complex events and transactions.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over our financial statement close process. Specifically, we did not design and maintain effective controls over the income tax provision and certain account analyses and account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3350"/>
                <wp:effectExtent l="0" t="0" r="0" b="0"/>
                <wp:wrapNone/>
                <wp:docPr id="104" name="Frame10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with the participation of the Audit Committee and the Board of Directors, began the implementation of certain remediation measures in 2022 and continued to develop remediation plans and implemented additional measures throughout 2023. The actions we took to remediate the material weaknesses included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hired several experienced accounting, financial reporting and internal control personnel and refined our key control roles and responsibilities;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provided additional internal control training programs to all accounting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designed and implemented controls to address the identification, accounting for, and review of non-routine, unusual or complex events and transactions and initial applications of complex accounting standards, including the continued engagement of external consultants to provide support and to assist us in our evaluation of such transactions;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designed and implemented relevant controls to enable effective and timely review of the income tax provision and certain account analyses and account reconciliations, including the identification of relevant supporting documentation, assessment of the reliability of reports and spreadsheets used, and retention of sufficient detailed evidence of review procedures performed.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Through testing of our internal controls completed during the quarter ended December 31, 2023, our management determined that the controls related to the remediation actions discussed above were effectively designed and operated effectively for a sufficient period of time to enable us to conclude that the material weaknesses have been remediated as of December 31, 2023.</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Other than the remediation of the material weaknesses described above, there have been no changes in our internal control over financial reporting during the three months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9B. Other Information</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9C. Disclosure Regarding Foreign Jurisdictions That Prevent Inspections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3350"/>
                <wp:effectExtent l="0" t="0" r="0" b="0"/>
                <wp:wrapNone/>
                <wp:docPr id="105" name="Frame10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10. Directors, Executive Officers and Corporate Governance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 Code of Business Conduct and Ethics that applies to all employees, including all officers, and members of our board of directors. Our Code of Business Conduct and Ethics incorporates guidelines designed to deter wrongdoing and to promote honest and ethical conduct and compliance with applicable laws and regulations. Our Code of Business Conduct and Ethics is published on our Investor Relations website at https://investors.legalzoom.com. To the extent that disclosure is required by rules adopted by the SEC and The Nasdaq Stock Market LLC, we intend to promptly disclose amendments to our Code of Business Conduct and Ethics, or waivers of such provisions granted to executive officers and directors, on our Investor Relations website.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other information required by this Item 10 is incorporated herein by reference from the information contained in our Proxy Statement for our 2024 Annual Meeting of Stockholders, which will be filed with the SEC no later than 120 days after the end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11. Executive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11 is incorporated herein by reference from the information contained in our Proxy Statement for our 2024 Annual Meeting of Stockholders, which will be filed with the SEC no later than 120 days after the end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12. Security Ownership of Certain Beneficial Owners and Management and Related Stockholder Matters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12 is incorporated herein by reference from the information contained in our Proxy Statement for our 2024 Annual Meeting of Stockholders, which will be filed with the SEC no later than 120 days after the end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13. Certain Relationships and Related Transactions, and Director Independence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13 is incorporated herein by reference from the information contained in our Proxy Statement for our 2024 Annual Meeting of Stockholders, which will be filed with the SEC no later than 120 days after the end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14. Principal Accountant Fees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14 is incorporated herein by reference from the information contained in our Proxy Statement for our 2024 Annual Meeting of Stockholders, which will be filed with the SEC no later than 120 days after the end of our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3350"/>
                <wp:effectExtent l="0" t="0" r="0" b="0"/>
                <wp:wrapNone/>
                <wp:docPr id="106" name="Frame10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Item 15. Exhibits and Financial Statements Schedules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 The following documents are filed as a part of this Annual Report on Form 10-K: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(1) Financial Statements Index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See Index to Financial Statements at Item 8 herein.</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(2) Financial Statement Schedules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All financial statement schedules have been omitted because the information required to be set forth therein is not applicable or is shown in the consolidated financial statements or notes thereto.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(3) Index to Exhibits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 xml:space="preserve">See the exhibits listed below under Part (b).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 Exhibits</w:t>
      </w:r>
    </w:p>
    <w:p>
      <w:pPr>
        <w:pStyle w:val="TextBody"/>
        <w:bidi w:val="0"/>
        <w:spacing w:lineRule="auto" w:line="288" w:before="120" w:after="120"/>
        <w:ind w:left="0" w:right="0" w:firstLine="270"/>
        <w:jc w:val="left"/>
        <w:rPr>
          <w:rFonts w:ascii="Work Sans;sans-serif" w:hAnsi="Work Sans;sans-serif"/>
          <w:b w:val="false"/>
          <w:color w:val="000000"/>
          <w:sz w:val="18"/>
        </w:rPr>
      </w:pPr>
      <w:r>
        <w:rPr>
          <w:rFonts w:ascii="Work Sans;sans-serif" w:hAnsi="Work Sans;sans-serif"/>
          <w:b w:val="false"/>
          <w:color w:val="000000"/>
          <w:sz w:val="18"/>
        </w:rPr>
        <w:t>The exhibits listed below are furnished or filed as part of this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32"/>
        <w:gridCol w:w="2812"/>
        <w:gridCol w:w="2819"/>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Certificate of Incorporation of LegalZoom.com, Inc. </w:t>
            </w:r>
            <w:hyperlink r:id="rId3">
              <w:r>
                <w:rPr>
                  <w:rStyle w:val="InternetLink"/>
                  <w:rFonts w:ascii="Work Sans;sans-serif" w:hAnsi="Work Sans;sans-serif"/>
                  <w:b w:val="false"/>
                  <w:color w:val="0000FF"/>
                  <w:sz w:val="16"/>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6"/>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Bylaws of LegalZoom.com, Inc. </w:t>
            </w:r>
            <w:hyperlink r:id="rId4">
              <w:r>
                <w:rPr>
                  <w:rStyle w:val="InternetLink"/>
                  <w:rFonts w:ascii="Work Sans;sans-serif" w:hAnsi="Work Sans;sans-serif"/>
                  <w:b w:val="false"/>
                  <w:color w:val="0000FF"/>
                  <w:sz w:val="16"/>
                  <w:u w:val="single"/>
                </w:rPr>
                <w:t>(incorporated by reference to Exhibit 3.4 to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LegalZoom.com, Inc.’s Common Stock Certificate </w:t>
            </w:r>
            <w:hyperlink r:id="rId5">
              <w:r>
                <w:rPr>
                  <w:rStyle w:val="InternetLink"/>
                  <w:rFonts w:ascii="Work Sans;sans-serif" w:hAnsi="Work Sans;sans-serif"/>
                  <w:b w:val="false"/>
                  <w:color w:val="0000FF"/>
                  <w:sz w:val="16"/>
                  <w:u w:val="single"/>
                </w:rPr>
                <w:t>(incorporated by reference to Exhibit 4.1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Fourth Amended and Restated Investors’ Rights Agreement, by and among LegalZoom.com, Inc. and certain of its stockholders, dated June 18, 2021 </w:t>
            </w:r>
            <w:hyperlink r:id="rId6">
              <w:r>
                <w:rPr>
                  <w:rStyle w:val="InternetLink"/>
                  <w:rFonts w:ascii="Work Sans;sans-serif" w:hAnsi="Work Sans;sans-serif"/>
                  <w:b w:val="false"/>
                  <w:color w:val="0000FF"/>
                  <w:sz w:val="16"/>
                  <w:u w:val="single"/>
                </w:rPr>
                <w:t>(incorporated by reference to Exhibit 4.2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Work Sans;sans-serif" w:hAnsi="Work Sans;sans-serif"/>
                  <w:b w:val="false"/>
                  <w:color w:val="0000FF"/>
                  <w:sz w:val="16"/>
                  <w:u w:val="single"/>
                </w:rPr>
                <w:t>Description of our Common Stock</w:t>
              </w:r>
            </w:hyperlink>
            <w:r>
              <w:rPr>
                <w:color w:val="000000"/>
              </w:rPr>
              <w:t xml:space="preserve"> </w:t>
            </w:r>
            <w:r>
              <w:rPr>
                <w:rFonts w:ascii="Work Sans;sans-serif" w:hAnsi="Work Sans;sans-serif"/>
                <w:b w:val="false"/>
                <w:color w:val="000000"/>
                <w:sz w:val="16"/>
              </w:rPr>
              <w:t>(incorporated by reference to Exhibit 4.3 to the Company’s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2016 Stock Incentive Plan and forms of award agreements </w:t>
            </w:r>
            <w:hyperlink r:id="rId8">
              <w:r>
                <w:rPr>
                  <w:rStyle w:val="InternetLink"/>
                  <w:rFonts w:ascii="Work Sans;sans-serif" w:hAnsi="Work Sans;sans-serif"/>
                  <w:b w:val="false"/>
                  <w:color w:val="0000FF"/>
                  <w:sz w:val="16"/>
                  <w:u w:val="single"/>
                </w:rPr>
                <w:t>(incorporated by reference to Exhibit 10.1 of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Equity Incentive Plan and forms of award agreements </w:t>
            </w:r>
            <w:hyperlink r:id="rId9">
              <w:r>
                <w:rPr>
                  <w:rStyle w:val="InternetLink"/>
                  <w:rFonts w:ascii="Work Sans;sans-serif" w:hAnsi="Work Sans;sans-serif"/>
                  <w:b w:val="false"/>
                  <w:color w:val="0000FF"/>
                  <w:sz w:val="16"/>
                  <w:u w:val="single"/>
                </w:rPr>
                <w:t>(incorporated by reference to Exhibit 10.2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Employee Stock Purchase Plan </w:t>
            </w:r>
            <w:hyperlink r:id="rId10">
              <w:r>
                <w:rPr>
                  <w:rStyle w:val="InternetLink"/>
                  <w:rFonts w:ascii="Work Sans;sans-serif" w:hAnsi="Work Sans;sans-serif"/>
                  <w:b w:val="false"/>
                  <w:color w:val="0000FF"/>
                  <w:sz w:val="16"/>
                  <w:u w:val="single"/>
                </w:rPr>
                <w:t>(incorporated by reference to Exhibit 10.3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Form of RSU Grant Notice (C-Team) (</w:t>
            </w:r>
            <w:hyperlink r:id="rId11">
              <w:r>
                <w:rPr>
                  <w:rStyle w:val="InternetLink"/>
                  <w:rFonts w:ascii="Work Sans;sans-serif" w:hAnsi="Work Sans;sans-serif"/>
                  <w:b w:val="false"/>
                  <w:color w:val="000080"/>
                  <w:sz w:val="16"/>
                  <w:u w:val="single"/>
                </w:rPr>
                <w:t>incorporated by reference to Exhibit 1</w:t>
              </w:r>
            </w:hyperlink>
            <w:hyperlink r:id="rId12">
              <w:r>
                <w:rPr>
                  <w:rStyle w:val="InternetLink"/>
                  <w:rFonts w:ascii="Work Sans;sans-serif" w:hAnsi="Work Sans;sans-serif"/>
                  <w:b w:val="false"/>
                  <w:color w:val="000080"/>
                  <w:sz w:val="16"/>
                  <w:u w:val="single"/>
                </w:rPr>
                <w:t>0</w:t>
              </w:r>
            </w:hyperlink>
            <w:hyperlink r:id="rId13">
              <w:r>
                <w:rPr>
                  <w:rStyle w:val="InternetLink"/>
                  <w:rFonts w:ascii="Work Sans;sans-serif" w:hAnsi="Work Sans;sans-serif"/>
                  <w:b w:val="false"/>
                  <w:color w:val="000080"/>
                  <w:sz w:val="16"/>
                  <w:u w:val="single"/>
                </w:rPr>
                <w:t>.2 to the Company</w:t>
              </w:r>
            </w:hyperlink>
            <w:hyperlink r:id="rId14">
              <w:r>
                <w:rPr>
                  <w:rStyle w:val="InternetLink"/>
                  <w:rFonts w:ascii="Work Sans;sans-serif" w:hAnsi="Work Sans;sans-serif"/>
                  <w:b w:val="false"/>
                  <w:color w:val="000080"/>
                  <w:sz w:val="16"/>
                  <w:u w:val="single"/>
                </w:rPr>
                <w:t>’</w:t>
              </w:r>
            </w:hyperlink>
            <w:hyperlink r:id="rId15">
              <w:r>
                <w:rPr>
                  <w:rStyle w:val="InternetLink"/>
                  <w:rFonts w:ascii="Work Sans;sans-serif" w:hAnsi="Work Sans;sans-serif"/>
                  <w:b w:val="false"/>
                  <w:color w:val="000080"/>
                  <w:sz w:val="16"/>
                  <w:u w:val="single"/>
                </w:rPr>
                <w:t>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Form of Option Grant Notice (C-Team) (</w:t>
            </w:r>
            <w:hyperlink r:id="rId16">
              <w:r>
                <w:rPr>
                  <w:rStyle w:val="InternetLink"/>
                  <w:rFonts w:ascii="Work Sans;sans-serif" w:hAnsi="Work Sans;sans-serif"/>
                  <w:b w:val="false"/>
                  <w:color w:val="000080"/>
                  <w:sz w:val="16"/>
                  <w:u w:val="single"/>
                </w:rPr>
                <w:t>incorporated by reference to Exhibit 10.</w:t>
              </w:r>
            </w:hyperlink>
            <w:hyperlink r:id="rId17">
              <w:r>
                <w:rPr>
                  <w:rStyle w:val="InternetLink"/>
                  <w:rFonts w:ascii="Work Sans;sans-serif" w:hAnsi="Work Sans;sans-serif"/>
                  <w:b w:val="false"/>
                  <w:color w:val="000080"/>
                  <w:sz w:val="16"/>
                  <w:u w:val="single"/>
                </w:rPr>
                <w:t>3</w:t>
              </w:r>
            </w:hyperlink>
            <w:hyperlink r:id="rId18">
              <w:r>
                <w:rPr>
                  <w:rStyle w:val="InternetLink"/>
                  <w:rFonts w:ascii="Work Sans;sans-serif" w:hAnsi="Work Sans;sans-serif"/>
                  <w:b w:val="false"/>
                  <w:color w:val="000080"/>
                  <w:sz w:val="16"/>
                  <w:u w:val="single"/>
                </w:rPr>
                <w:t xml:space="preserve">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Indemnification Agreement, by and between LegalZoom.com, Inc. and each of its directors and executive officers </w:t>
            </w:r>
            <w:hyperlink r:id="rId19">
              <w:r>
                <w:rPr>
                  <w:rStyle w:val="InternetLink"/>
                  <w:rFonts w:ascii="Work Sans;sans-serif" w:hAnsi="Work Sans;sans-serif"/>
                  <w:b w:val="false"/>
                  <w:color w:val="0000FF"/>
                  <w:sz w:val="16"/>
                  <w:u w:val="single"/>
                </w:rPr>
                <w:t>(incorporated by reference to Exhibit 10.4 of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Employment Agreement, by and between LegalZoom.com, Inc. and Dan Wernikoff, dated June 16, 2021 </w:t>
            </w:r>
            <w:hyperlink r:id="rId20">
              <w:r>
                <w:rPr>
                  <w:rStyle w:val="InternetLink"/>
                  <w:rFonts w:ascii="Work Sans;sans-serif" w:hAnsi="Work Sans;sans-serif"/>
                  <w:b w:val="false"/>
                  <w:color w:val="0000FF"/>
                  <w:sz w:val="16"/>
                  <w:u w:val="single"/>
                </w:rPr>
                <w:t>(incorporated by reference to Exhibit 10.5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 Inc. and Dan Wernikoff dated April 21, 2022 </w:t>
            </w:r>
            <w:hyperlink r:id="rId21">
              <w:r>
                <w:rPr>
                  <w:rStyle w:val="InternetLink"/>
                  <w:rFonts w:ascii="Work Sans;sans-serif" w:hAnsi="Work Sans;sans-serif"/>
                  <w:b w:val="false"/>
                  <w:color w:val="0000FF"/>
                  <w:sz w:val="16"/>
                  <w:u w:val="single"/>
                </w:rPr>
                <w:t>(incorporated by reference to Exhibit 10.3 to the Company’s Quarterly Report on Form 10-Q filed with the SEC on May 16, 2022)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Employment Agreement, by and between LegalZoom.com, Inc. and Noel B. Watson, dated June 16, 2021 </w:t>
            </w:r>
            <w:hyperlink r:id="rId22">
              <w:r>
                <w:rPr>
                  <w:rStyle w:val="InternetLink"/>
                  <w:rFonts w:ascii="Work Sans;sans-serif" w:hAnsi="Work Sans;sans-serif"/>
                  <w:b w:val="false"/>
                  <w:color w:val="0000FF"/>
                  <w:sz w:val="16"/>
                  <w:u w:val="single"/>
                </w:rPr>
                <w:t>(incorporated by reference to Exhibit 10.7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Noel Watson dated March 12, 2022 </w:t>
            </w:r>
            <w:hyperlink r:id="rId23">
              <w:r>
                <w:rPr>
                  <w:rStyle w:val="InternetLink"/>
                  <w:rFonts w:ascii="Work Sans;sans-serif" w:hAnsi="Work Sans;sans-serif"/>
                  <w:b w:val="false"/>
                  <w:color w:val="0000FF"/>
                  <w:sz w:val="16"/>
                  <w:u w:val="single"/>
                </w:rPr>
                <w:t>(incorporated by reference to Exhibit 10.9 to the Company’s Annual Report on Form 10-K filed with the SEC on March 24, 2022)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Amended and Restated Employment Agreement, by and between LegalZoom.com, Inc. and Shrisha Radhakrishna, dated June 16, 2021 (</w:t>
            </w:r>
            <w:hyperlink r:id="rId24">
              <w:r>
                <w:rPr>
                  <w:rStyle w:val="InternetLink"/>
                  <w:rFonts w:ascii="Work Sans;sans-serif" w:hAnsi="Work Sans;sans-serif"/>
                  <w:b w:val="false"/>
                  <w:color w:val="0000FF"/>
                  <w:sz w:val="16"/>
                  <w:u w:val="single"/>
                </w:rPr>
                <w:t>incorporated by reference to Exhibit 10.6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Shrisha Radhakrishna, dated October 26, 2021 </w:t>
            </w:r>
            <w:hyperlink r:id="rId25">
              <w:r>
                <w:rPr>
                  <w:rStyle w:val="InternetLink"/>
                  <w:rFonts w:ascii="Work Sans;sans-serif" w:hAnsi="Work Sans;sans-serif"/>
                  <w:b w:val="false"/>
                  <w:color w:val="0000FF"/>
                  <w:sz w:val="16"/>
                  <w:u w:val="single"/>
                </w:rPr>
                <w:t>(incorporated by reference to Exhibit 10.3 of the Company’s Quarterly Report on Form 10-Q filed with the SEC on November 10,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3350"/>
                <wp:effectExtent l="0" t="0" r="0" b="0"/>
                <wp:wrapNone/>
                <wp:docPr id="107" name="Frame10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102</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477"/>
        <w:gridCol w:w="2590"/>
        <w:gridCol w:w="2597"/>
        <w:gridCol w:w="109"/>
        <w:gridCol w:w="109"/>
        <w:gridCol w:w="15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Second Amendment to Employment Agreement, by and between LegalZoom.com, Inc. and Shrisha Radhakrishna, dated March 11, 2022 </w:t>
            </w:r>
            <w:hyperlink r:id="rId26">
              <w:r>
                <w:rPr>
                  <w:rStyle w:val="InternetLink"/>
                  <w:rFonts w:ascii="Work Sans;sans-serif" w:hAnsi="Work Sans;sans-serif"/>
                  <w:b w:val="false"/>
                  <w:color w:val="0000FF"/>
                  <w:sz w:val="16"/>
                  <w:u w:val="single"/>
                </w:rPr>
                <w:t>(incorporated by reference to Exhibit 10.10 to the Company’s Annual Report on Form 10-K filed with the SEC on March 24,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Employment Agreement, by and between LegalZoom.com, Inc. and Rich Preece dated June 16, 2021 </w:t>
            </w:r>
            <w:hyperlink r:id="rId27">
              <w:r>
                <w:rPr>
                  <w:rStyle w:val="InternetLink"/>
                  <w:rFonts w:ascii="Work Sans;sans-serif" w:hAnsi="Work Sans;sans-serif"/>
                  <w:b w:val="false"/>
                  <w:color w:val="0000FF"/>
                  <w:sz w:val="16"/>
                  <w:u w:val="single"/>
                </w:rPr>
                <w:t>(incorporated by reference to Exhibit 10.2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Rich Preece dated October 27, 2021 </w:t>
            </w:r>
            <w:hyperlink r:id="rId28">
              <w:r>
                <w:rPr>
                  <w:rStyle w:val="InternetLink"/>
                  <w:rFonts w:ascii="Work Sans;sans-serif" w:hAnsi="Work Sans;sans-serif"/>
                  <w:b w:val="false"/>
                  <w:color w:val="0000FF"/>
                  <w:sz w:val="16"/>
                  <w:u w:val="single"/>
                </w:rPr>
                <w:t>(incorporated by reference to Exhibit 10.3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Second Amendment to Employment Agreement, by and between LegalZoom.com, Inc. and Rich Preece dated March 12, 2022 </w:t>
            </w:r>
            <w:hyperlink r:id="rId29">
              <w:r>
                <w:rPr>
                  <w:rStyle w:val="InternetLink"/>
                  <w:rFonts w:ascii="Work Sans;sans-serif" w:hAnsi="Work Sans;sans-serif"/>
                  <w:b w:val="false"/>
                  <w:color w:val="0000FF"/>
                  <w:sz w:val="16"/>
                  <w:u w:val="single"/>
                </w:rPr>
                <w:t>(incorporated by reference to Exhibit 10.4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Work Sans;sans-serif" w:hAnsi="Work Sans;sans-serif"/>
                  <w:b w:val="false"/>
                  <w:color w:val="000080"/>
                  <w:sz w:val="16"/>
                  <w:u w:val="single"/>
                </w:rPr>
                <w:t>Employment Agreement, by and between LegalZoom.com, Inc. and Nicole Miller dated June 16, 2021</w:t>
              </w:r>
            </w:hyperlink>
            <w:hyperlink r:id="rId31">
              <w:r>
                <w:rPr>
                  <w:rStyle w:val="InternetLink"/>
                  <w:rFonts w:ascii="Work Sans;sans-serif" w:hAnsi="Work Sans;sans-serif"/>
                  <w:b w:val="false"/>
                  <w:color w:val="000080"/>
                  <w:sz w:val="16"/>
                  <w:u w:val="single"/>
                </w:rPr>
                <w:t xml:space="preserve"> (incorporated by reference to Exhibit 10.15 to the Company</w:t>
              </w:r>
            </w:hyperlink>
            <w:hyperlink r:id="rId32">
              <w:r>
                <w:rPr>
                  <w:rStyle w:val="InternetLink"/>
                  <w:rFonts w:ascii="Work Sans;sans-serif" w:hAnsi="Work Sans;sans-serif"/>
                  <w:b w:val="false"/>
                  <w:color w:val="000080"/>
                  <w:sz w:val="16"/>
                  <w:u w:val="single"/>
                </w:rPr>
                <w:t>’</w:t>
              </w:r>
            </w:hyperlink>
            <w:hyperlink r:id="rId33">
              <w:r>
                <w:rPr>
                  <w:rStyle w:val="InternetLink"/>
                  <w:rFonts w:ascii="Work Sans;sans-serif" w:hAnsi="Work Sans;sans-serif"/>
                  <w:b w:val="false"/>
                  <w:color w:val="000080"/>
                  <w:sz w:val="16"/>
                  <w:u w:val="single"/>
                </w:rPr>
                <w:t>s Annual Report on Form 10-K filed with the SEC on March 1, 2023)</w:t>
              </w:r>
            </w:hyperlink>
            <w:hyperlink r:id="rId34">
              <w:r>
                <w:rPr>
                  <w:rStyle w:val="InternetLink"/>
                  <w:rFonts w:ascii="Work Sans;sans-serif" w:hAnsi="Work Sans;sans-serif"/>
                  <w:b w:val="false"/>
                  <w:color w:val="000080"/>
                  <w:sz w:val="16"/>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Non-Employee Director Compensation Policy </w:t>
            </w:r>
            <w:hyperlink r:id="rId35">
              <w:r>
                <w:rPr>
                  <w:rStyle w:val="InternetLink"/>
                  <w:rFonts w:ascii="Work Sans;sans-serif" w:hAnsi="Work Sans;sans-serif"/>
                  <w:b w:val="false"/>
                  <w:color w:val="0000FF"/>
                  <w:sz w:val="16"/>
                  <w:u w:val="single"/>
                </w:rPr>
                <w:t>(incorporated by reference to Exhibit 10.1 of the Company’s Quarterly Report on Form 10-Q filed with the SEC on November 10,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 xml:space="preserve">Director Nomination Agreement, by and between LegalZoom.com, Inc. and certain of its stockholders dated June 18, 2021 </w:t>
            </w:r>
            <w:hyperlink r:id="rId36">
              <w:r>
                <w:rPr>
                  <w:rStyle w:val="InternetLink"/>
                  <w:rFonts w:ascii="Work Sans;sans-serif" w:hAnsi="Work Sans;sans-serif"/>
                  <w:b w:val="false"/>
                  <w:color w:val="0000FF"/>
                  <w:sz w:val="16"/>
                  <w:u w:val="single"/>
                </w:rPr>
                <w:t>(incorporated by reference to Exhibit 10.16 of Amendment No. 1 to the Company’s Registration Statement on Form S-1 filed with the SEC on June 21, 2021)</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Amended and Restated Credit and Guaranty Agreement, by and between LegalZoom.com, Inc., the other parties thereto and JPMorgan Chase Bank N.A., as administrative agent, dated July 2, 2021</w:t>
            </w:r>
            <w:hyperlink r:id="rId37">
              <w:r>
                <w:rPr>
                  <w:rStyle w:val="InternetLink"/>
                  <w:color w:val="0000FF"/>
                  <w:u w:val="single"/>
                </w:rPr>
                <w:t xml:space="preserve"> </w:t>
              </w:r>
            </w:hyperlink>
            <w:hyperlink r:id="rId38">
              <w:r>
                <w:rPr>
                  <w:rStyle w:val="InternetLink"/>
                  <w:rFonts w:ascii="Work Sans;sans-serif" w:hAnsi="Work Sans;sans-serif"/>
                  <w:b w:val="false"/>
                  <w:color w:val="0000FF"/>
                  <w:sz w:val="16"/>
                  <w:u w:val="single"/>
                </w:rPr>
                <w:t>(incorporated by reference to Exhibit 10.1 of the Company’s Quarterly Report on Form 10-Q filed with the SEC on November 10, 2021).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Amendment No. 1, dated as of May 5, 2023, by and between LegalZoom.com, Inc., as borrower, the guarantors party thereto and JPMorgan Chase Bank, N.A., as administrative agent, relating to the Amended and Restated Credit and Guaranty Agreement, dated as of July 2, 2021, among LegalZoom.com, Inc., the guarantors party thereto, the lenders and issuing lenders party thereto, and JPMorgan Chase Bank, N.A., as administrative agent (</w:t>
            </w:r>
            <w:hyperlink r:id="rId39">
              <w:r>
                <w:rPr>
                  <w:rStyle w:val="InternetLink"/>
                  <w:rFonts w:ascii="Work Sans;sans-serif" w:hAnsi="Work Sans;sans-serif"/>
                  <w:b w:val="false"/>
                  <w:color w:val="000080"/>
                  <w:sz w:val="16"/>
                  <w:u w:val="single"/>
                </w:rPr>
                <w:t>incorporated by reference to Exhibit 10.1 to the Company</w:t>
              </w:r>
            </w:hyperlink>
            <w:hyperlink r:id="rId40">
              <w:r>
                <w:rPr>
                  <w:rStyle w:val="InternetLink"/>
                  <w:rFonts w:ascii="Work Sans;sans-serif" w:hAnsi="Work Sans;sans-serif"/>
                  <w:b w:val="false"/>
                  <w:color w:val="000080"/>
                  <w:sz w:val="16"/>
                  <w:u w:val="single"/>
                </w:rPr>
                <w:t>’</w:t>
              </w:r>
            </w:hyperlink>
            <w:hyperlink r:id="rId41">
              <w:r>
                <w:rPr>
                  <w:rStyle w:val="InternetLink"/>
                  <w:rFonts w:ascii="Work Sans;sans-serif" w:hAnsi="Work Sans;sans-serif"/>
                  <w:b w:val="false"/>
                  <w:color w:val="000080"/>
                  <w:sz w:val="16"/>
                  <w:u w:val="single"/>
                </w:rPr>
                <w:t>s Quarter</w:t>
              </w:r>
            </w:hyperlink>
            <w:hyperlink r:id="rId42">
              <w:r>
                <w:rPr>
                  <w:rStyle w:val="InternetLink"/>
                  <w:rFonts w:ascii="Work Sans;sans-serif" w:hAnsi="Work Sans;sans-serif"/>
                  <w:b w:val="false"/>
                  <w:color w:val="000080"/>
                  <w:sz w:val="16"/>
                  <w:u w:val="single"/>
                </w:rPr>
                <w:t>ly</w:t>
              </w:r>
            </w:hyperlink>
            <w:hyperlink r:id="rId43">
              <w:r>
                <w:rPr>
                  <w:rStyle w:val="InternetLink"/>
                  <w:rFonts w:ascii="Work Sans;sans-serif" w:hAnsi="Work Sans;sans-serif"/>
                  <w:b w:val="false"/>
                  <w:color w:val="000080"/>
                  <w:sz w:val="16"/>
                  <w:u w:val="single"/>
                </w:rPr>
                <w:t xml:space="preserve"> Report on Form 10-Q filed with the SEC on May 9, 2023</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Stock Purchase Agreement, dated September 5, 2023, between LegalZoom.com, Inc. and LucasZoom, LLC (</w:t>
            </w:r>
            <w:hyperlink r:id="rId44">
              <w:r>
                <w:rPr>
                  <w:rStyle w:val="InternetLink"/>
                  <w:rFonts w:ascii="Work Sans;sans-serif" w:hAnsi="Work Sans;sans-serif"/>
                  <w:b w:val="false"/>
                  <w:color w:val="0000FF"/>
                  <w:sz w:val="16"/>
                  <w:u w:val="single"/>
                </w:rPr>
                <w:t>incorporated by reference to Exhibit 10.1 to the Company’s Current Report on Form 8-K filed with the SEC on September 11, 2023</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Property Purchase Agreement and Escrow Instructions, dated October 11, 2023, by and among 9900 Spectrum LLC and Trinity Foundation RE Venture, LLC (</w:t>
            </w:r>
            <w:hyperlink r:id="rId45">
              <w:r>
                <w:rPr>
                  <w:rStyle w:val="InternetLink"/>
                  <w:rFonts w:ascii="Work Sans;sans-serif" w:hAnsi="Work Sans;sans-serif"/>
                  <w:b w:val="false"/>
                  <w:color w:val="000080"/>
                  <w:sz w:val="16"/>
                  <w:u w:val="single"/>
                </w:rPr>
                <w:t>incorporated by reference to Exhibit 10.2 to the Company</w:t>
              </w:r>
            </w:hyperlink>
            <w:hyperlink r:id="rId46">
              <w:r>
                <w:rPr>
                  <w:rStyle w:val="InternetLink"/>
                  <w:rFonts w:ascii="Work Sans;sans-serif" w:hAnsi="Work Sans;sans-serif"/>
                  <w:b w:val="false"/>
                  <w:color w:val="000080"/>
                  <w:sz w:val="16"/>
                  <w:u w:val="single"/>
                </w:rPr>
                <w:t>’</w:t>
              </w:r>
            </w:hyperlink>
            <w:hyperlink r:id="rId47">
              <w:r>
                <w:rPr>
                  <w:rStyle w:val="InternetLink"/>
                  <w:rFonts w:ascii="Work Sans;sans-serif" w:hAnsi="Work Sans;sans-serif"/>
                  <w:b w:val="false"/>
                  <w:color w:val="000080"/>
                  <w:sz w:val="16"/>
                  <w:u w:val="single"/>
                </w:rPr>
                <w:t>s Quarterly Report on Form 10-Q filed with the SEC on November 7, 2023</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1lz-2023123110xk.htm">
              <w:r>
                <w:rPr>
                  <w:rStyle w:val="InternetLink"/>
                  <w:rFonts w:ascii="Work Sans;sans-serif" w:hAnsi="Work Sans;sans-serif"/>
                  <w:b w:val="false"/>
                  <w:color w:val="0000FF"/>
                  <w:sz w:val="16"/>
                  <w:u w:val="single"/>
                </w:rPr>
                <w:t>21.1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lz-2023123110xk.htm">
              <w:r>
                <w:rPr>
                  <w:rStyle w:val="InternetLink"/>
                  <w:rFonts w:ascii="Work Sans;sans-serif" w:hAnsi="Work Sans;sans-serif"/>
                  <w:b w:val="false"/>
                  <w:color w:val="0000FF"/>
                  <w:sz w:val="16"/>
                  <w:u w:val="single"/>
                </w:rPr>
                <w:t>Subsidiaries of LegalZoom.com, Inc.</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1consent.htm">
              <w:r>
                <w:rPr>
                  <w:rStyle w:val="InternetLink"/>
                  <w:rFonts w:ascii="Work Sans;sans-serif" w:hAnsi="Work Sans;sans-serif"/>
                  <w:b w:val="false"/>
                  <w:color w:val="0000FF"/>
                  <w:sz w:val="16"/>
                  <w:u w:val="single"/>
                </w:rPr>
                <w:t>23.1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htm">
              <w:r>
                <w:rPr>
                  <w:rStyle w:val="InternetLink"/>
                  <w:rFonts w:ascii="Work Sans;sans-serif" w:hAnsi="Work Sans;sans-serif"/>
                  <w:b w:val="false"/>
                  <w:color w:val="0000FF"/>
                  <w:sz w:val="16"/>
                  <w:u w:val="single"/>
                </w:rPr>
                <w:t>Consent of PricewaterhouseCoopers LLP,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3123110xk.htm">
              <w:r>
                <w:rPr>
                  <w:rStyle w:val="InternetLink"/>
                  <w:rFonts w:ascii="Work Sans;sans-serif" w:hAnsi="Work Sans;sans-serif"/>
                  <w:b w:val="false"/>
                  <w:color w:val="0000FF"/>
                  <w:sz w:val="16"/>
                  <w:u w:val="single"/>
                </w:rPr>
                <w:t>31.1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3123110xk.htm">
              <w:r>
                <w:rPr>
                  <w:rStyle w:val="InternetLink"/>
                  <w:rFonts w:ascii="Work Sans;sans-serif" w:hAnsi="Work Sans;sans-serif"/>
                  <w:b w:val="false"/>
                  <w:color w:val="0000FF"/>
                  <w:sz w:val="16"/>
                  <w:u w:val="single"/>
                </w:rPr>
                <w:t>Certification of Chief Executive Officer pursuant to Rule 13a-14(a)/15d-14(a)</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3123110xk.htm">
              <w:r>
                <w:rPr>
                  <w:rStyle w:val="InternetLink"/>
                  <w:rFonts w:ascii="Work Sans;sans-serif" w:hAnsi="Work Sans;sans-serif"/>
                  <w:b w:val="false"/>
                  <w:color w:val="0000FF"/>
                  <w:sz w:val="16"/>
                  <w:u w:val="single"/>
                </w:rPr>
                <w:t>31.2</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3123110xk.htm">
              <w:r>
                <w:rPr>
                  <w:rStyle w:val="InternetLink"/>
                  <w:rFonts w:ascii="Work Sans;sans-serif" w:hAnsi="Work Sans;sans-serif"/>
                  <w:b w:val="false"/>
                  <w:color w:val="0000FF"/>
                  <w:sz w:val="16"/>
                  <w:u w:val="single"/>
                </w:rPr>
                <w:t>Certification of Chief Financial Officer pursuant to Rule 13a-14(a)/15d-14(a)</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3123110xk.htm">
              <w:r>
                <w:rPr>
                  <w:rStyle w:val="InternetLink"/>
                  <w:rFonts w:ascii="Work Sans;sans-serif" w:hAnsi="Work Sans;sans-serif"/>
                  <w:b w:val="false"/>
                  <w:color w:val="0000FF"/>
                  <w:sz w:val="16"/>
                  <w:u w:val="single"/>
                </w:rPr>
                <w:t>32.1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3123110xk.htm">
              <w:r>
                <w:rPr>
                  <w:rStyle w:val="InternetLink"/>
                  <w:rFonts w:ascii="Work Sans;sans-serif" w:hAnsi="Work Sans;sans-serif"/>
                  <w:b w:val="false"/>
                  <w:color w:val="0000FF"/>
                  <w:sz w:val="16"/>
                  <w:u w:val="single"/>
                </w:rPr>
                <w:t>Certification of Chief Executive Officer and Chief Financial Officer pursuant to Section 906 of the Sarbanes-Oxley Act of 2002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71lzx2023123110xk.htm">
              <w:r>
                <w:rPr>
                  <w:rStyle w:val="InternetLink"/>
                  <w:rFonts w:ascii="Work Sans;sans-serif" w:hAnsi="Work Sans;sans-serif"/>
                  <w:b w:val="false"/>
                  <w:color w:val="000000"/>
                  <w:sz w:val="16"/>
                  <w:u w:val="single"/>
                </w:rPr>
                <w:t>97.1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71lzx2023123110xk.htm">
              <w:r>
                <w:rPr>
                  <w:rStyle w:val="InternetLink"/>
                  <w:rFonts w:ascii="Work Sans;sans-serif" w:hAnsi="Work Sans;sans-serif"/>
                  <w:b w:val="false"/>
                  <w:color w:val="000000"/>
                  <w:sz w:val="16"/>
                  <w:u w:val="single"/>
                </w:rPr>
                <w:t>LegalZoom.com, Inc. Mandatory Clawback Policy.</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The following financial statements from the Company’s Annual Report on Form 10-K for the year ended December 31, 2023 were formatted in Inline XBRL: (i) Consolidated Balance Sheets, (ii) Consolidated Statements of Operations, (iii) Consolidated Statements of Comprehensive Income, (iv) Consolidated Statement of Redeemable Convertible Preferred Stock and Stockholders’ Equity, (v) Consolidated Statements of Cash Flows.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Cover Page Interactive Data File (formatted in Inline XBRL and contained in Exhibit 101).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Indicates a management contract or compensatory plan.</w:t>
      </w:r>
    </w:p>
    <w:p>
      <w:pPr>
        <w:pStyle w:val="TextBody"/>
        <w:bidi w:val="0"/>
        <w:spacing w:lineRule="auto" w:line="288" w:before="12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(c) Financial Statement Schedules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financial statement schedules have been omitted because the information required to be set forth therein is not applicable or is shown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16. Form 10-K Summary</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3350"/>
                <wp:effectExtent l="0" t="0" r="0" b="0"/>
                <wp:wrapNone/>
                <wp:docPr id="108" name="Frame10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Section 13 or 15(d) of the Securities Exchange Act of 1934, the registrant has duly caused this report to be signed on its behalf by the undersigned, thereunto duly authorized. </w:t>
      </w:r>
    </w:p>
    <w:tbl>
      <w:tblPr>
        <w:tblW w:w="3998" w:type="dxa"/>
        <w:jc w:val="left"/>
        <w:tblInd w:w="0" w:type="dxa"/>
        <w:tblLayout w:type="fixed"/>
        <w:tblCellMar>
          <w:top w:w="28" w:type="dxa"/>
          <w:left w:w="28" w:type="dxa"/>
          <w:bottom w:w="28" w:type="dxa"/>
          <w:right w:w="28" w:type="dxa"/>
        </w:tblCellMar>
      </w:tblPr>
      <w:tblGrid>
        <w:gridCol w:w="124"/>
        <w:gridCol w:w="109"/>
        <w:gridCol w:w="109"/>
        <w:gridCol w:w="242"/>
        <w:gridCol w:w="242"/>
        <w:gridCol w:w="242"/>
        <w:gridCol w:w="242"/>
        <w:gridCol w:w="242"/>
        <w:gridCol w:w="242"/>
        <w:gridCol w:w="644"/>
        <w:gridCol w:w="644"/>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Dan Wernikoff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bl>
    <w:p>
      <w:pPr>
        <w:pStyle w:val="TextBody"/>
        <w:bidi w:val="0"/>
        <w:spacing w:before="0" w:after="120"/>
        <w:ind w:left="0" w:right="0" w:firstLine="450"/>
        <w:jc w:val="both"/>
        <w:rPr/>
      </w:pPr>
      <w:r>
        <w:rPr/>
      </w:r>
    </w:p>
    <w:p>
      <w:pPr>
        <w:pStyle w:val="TextBody"/>
        <w:bidi w:val="0"/>
        <w:spacing w:lineRule="auto" w:line="256" w:before="0" w:after="120"/>
        <w:ind w:left="0" w:right="0" w:firstLine="450"/>
        <w:jc w:val="both"/>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this report has been signed below by the following persons on behalf of the registrant in the capacities and on the dates indicated.</w:t>
      </w:r>
    </w:p>
    <w:tbl>
      <w:tblPr>
        <w:tblW w:w="8542"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1341"/>
        <w:gridCol w:w="1341"/>
        <w:gridCol w:w="1352"/>
        <w:gridCol w:w="109"/>
        <w:gridCol w:w="109"/>
        <w:gridCol w:w="109"/>
        <w:gridCol w:w="542"/>
        <w:gridCol w:w="542"/>
        <w:gridCol w:w="77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Date</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Dan Wernikoff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ork Sans;sans-serif" w:hAnsi="Work Sans;sans-serif"/>
                <w:b w:val="false"/>
                <w:color w:val="000000"/>
                <w:sz w:val="18"/>
              </w:rPr>
              <w:t>Dan Wernikoff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ork Sans;sans-serif" w:hAnsi="Work Sans;sans-serif"/>
                <w:b w:val="false"/>
                <w:color w:val="000000"/>
                <w:sz w:val="18"/>
              </w:rPr>
              <w:t>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Christine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Christine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3350"/>
                <wp:effectExtent l="0" t="0" r="0" b="0"/>
                <wp:wrapNone/>
                <wp:docPr id="109" name="Frame10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104</w:t>
                      </w:r>
                    </w:p>
                  </w:txbxContent>
                </v:textbox>
                <w10:wrap type="none"/>
              </v:rect>
            </w:pict>
          </mc:Fallback>
        </mc:AlternateContent>
      </w:r>
    </w:p>
    <w:p>
      <w:pPr>
        <w:pStyle w:val="TextBody"/>
        <w:bidi w:val="0"/>
        <w:spacing w:lineRule="auto" w:line="288" w:before="0" w:after="240"/>
        <w:jc w:val="right"/>
        <w:rPr/>
      </w:pPr>
      <w:r>
        <w:rPr>
          <w:color w:val="000000"/>
        </w:rPr>
        <w:t>                                            </w:t>
      </w:r>
      <w:r>
        <w:rPr>
          <w:rFonts w:ascii="Work Sans;sans-serif" w:hAnsi="Work Sans;sans-serif"/>
          <w:b/>
          <w:color w:val="000000"/>
          <w:sz w:val="18"/>
        </w:rPr>
        <w:t>Exhibit 21.1</w:t>
      </w:r>
    </w:p>
    <w:p>
      <w:pPr>
        <w:pStyle w:val="TextBody"/>
        <w:bidi w:val="0"/>
        <w:spacing w:lineRule="auto" w:line="300" w:before="0" w:after="160"/>
        <w:jc w:val="both"/>
        <w:rPr>
          <w:rFonts w:ascii="Work Sans;sans-serif" w:hAnsi="Work Sans;sans-serif"/>
          <w:b/>
          <w:color w:val="000000"/>
          <w:sz w:val="18"/>
        </w:rPr>
      </w:pPr>
      <w:r>
        <w:rPr>
          <w:rFonts w:ascii="Work Sans;sans-serif" w:hAnsi="Work Sans;sans-serif"/>
          <w:b/>
          <w:color w:val="000000"/>
          <w:sz w:val="18"/>
        </w:rPr>
        <w:t>Subsidiaries of LegalZoom.com, Inc.</w:t>
      </w:r>
    </w:p>
    <w:p>
      <w:pPr>
        <w:pStyle w:val="TextBody"/>
        <w:bidi w:val="0"/>
        <w:spacing w:lineRule="auto" w:line="288" w:before="380" w:after="120"/>
        <w:jc w:val="both"/>
        <w:rPr/>
      </w:pPr>
      <w:r>
        <w:rPr>
          <w:rFonts w:ascii="Work Sans;sans-serif" w:hAnsi="Work Sans;sans-serif"/>
          <w:b/>
          <w:color w:val="000000"/>
          <w:sz w:val="18"/>
          <w:u w:val="single"/>
        </w:rPr>
        <w:t>Name of Subsidiary</w:t>
      </w:r>
      <w:r>
        <w:rPr>
          <w:color w:val="000000"/>
        </w:rPr>
        <w:t xml:space="preserve">                 </w:t>
      </w:r>
      <w:r>
        <w:rPr>
          <w:rFonts w:ascii="Work Sans;sans-serif" w:hAnsi="Work Sans;sans-serif"/>
          <w:b/>
          <w:color w:val="000000"/>
          <w:sz w:val="18"/>
          <w:u w:val="single"/>
        </w:rPr>
        <w:t>Jurisdiction of Organization</w:t>
      </w:r>
    </w:p>
    <w:p>
      <w:pPr>
        <w:pStyle w:val="TextBody"/>
        <w:bidi w:val="0"/>
        <w:spacing w:lineRule="auto" w:line="288" w:before="240" w:after="120"/>
        <w:jc w:val="both"/>
        <w:rPr>
          <w:rFonts w:ascii="Work Sans;sans-serif" w:hAnsi="Work Sans;sans-serif"/>
          <w:b w:val="false"/>
          <w:color w:val="000000"/>
          <w:sz w:val="18"/>
        </w:rPr>
      </w:pPr>
      <w:r>
        <w:rPr>
          <w:rFonts w:ascii="Work Sans;sans-serif" w:hAnsi="Work Sans;sans-serif"/>
          <w:b w:val="false"/>
          <w:color w:val="000000"/>
          <w:sz w:val="18"/>
        </w:rPr>
        <w:t>Earth Class Mail, Inc.                  Texas</w:t>
      </w:r>
    </w:p>
    <w:p>
      <w:pPr>
        <w:pStyle w:val="TextBody"/>
        <w:bidi w:val="0"/>
        <w:spacing w:before="24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120"/>
        <w:jc w:val="right"/>
        <w:rPr>
          <w:rFonts w:ascii="Work Sans;sans-serif" w:hAnsi="Work Sans;sans-serif"/>
          <w:b/>
          <w:color w:val="000000"/>
          <w:sz w:val="18"/>
        </w:rPr>
      </w:pPr>
      <w:r>
        <w:rPr>
          <w:rFonts w:ascii="Work Sans;sans-serif" w:hAnsi="Work Sans;sans-serif"/>
          <w:b/>
          <w:color w:val="000000"/>
          <w:sz w:val="18"/>
        </w:rPr>
        <w:t>Exhibit 23.1</w:t>
      </w:r>
    </w:p>
    <w:p>
      <w:pPr>
        <w:pStyle w:val="TextBody"/>
        <w:bidi w:val="0"/>
        <w:spacing w:lineRule="auto" w:line="288" w:before="360" w:after="240"/>
        <w:jc w:val="center"/>
        <w:rPr>
          <w:rFonts w:ascii="Work Sans;sans-serif" w:hAnsi="Work Sans;sans-serif"/>
          <w:b/>
          <w:color w:val="000000"/>
          <w:sz w:val="18"/>
        </w:rPr>
      </w:pPr>
      <w:r>
        <w:rPr>
          <w:rFonts w:ascii="Work Sans;sans-serif" w:hAnsi="Work Sans;sans-serif"/>
          <w:b/>
          <w:color w:val="000000"/>
          <w:sz w:val="18"/>
        </w:rPr>
        <w:t>CONSENT OF INDEPENDENT REGISTERED PUBLIC ACCOUNTING FIRM</w:t>
      </w:r>
    </w:p>
    <w:p>
      <w:pPr>
        <w:pStyle w:val="TextBody"/>
        <w:bidi w:val="0"/>
        <w:spacing w:lineRule="auto" w:line="288" w:before="120" w:after="120"/>
        <w:jc w:val="left"/>
        <w:rPr/>
      </w:pPr>
      <w:r>
        <w:rPr>
          <w:rFonts w:ascii="Work Sans;sans-serif" w:hAnsi="Work Sans;sans-serif"/>
          <w:b w:val="false"/>
          <w:color w:val="000000"/>
          <w:sz w:val="18"/>
        </w:rPr>
        <w:t>We hereby consent to the incorporation by reference in the Registration Statements on Form</w:t>
      </w:r>
      <w:r>
        <w:rPr>
          <w:color w:val="000000"/>
        </w:rPr>
        <w:t xml:space="preserve"> </w:t>
      </w:r>
      <w:r>
        <w:rPr>
          <w:rFonts w:ascii="Work Sans;sans-serif" w:hAnsi="Work Sans;sans-serif"/>
          <w:b w:val="false"/>
          <w:color w:val="000000"/>
          <w:sz w:val="18"/>
        </w:rPr>
        <w:t xml:space="preserve">S-3 (No. </w:t>
      </w:r>
      <w:r>
        <w:rPr>
          <w:rFonts w:ascii="Work Sans;sans-serif" w:hAnsi="Work Sans;sans-serif"/>
          <w:b w:val="false"/>
          <w:color w:val="000000"/>
          <w:sz w:val="18"/>
          <w:shd w:fill="FFFFFF" w:val="clear"/>
        </w:rPr>
        <w:t>333-274367)</w:t>
      </w:r>
      <w:r>
        <w:rPr>
          <w:color w:val="000000"/>
        </w:rPr>
        <w:t xml:space="preserve"> </w:t>
      </w:r>
      <w:r>
        <w:rPr>
          <w:rFonts w:ascii="Work Sans;sans-serif" w:hAnsi="Work Sans;sans-serif"/>
          <w:b w:val="false"/>
          <w:color w:val="000000"/>
          <w:sz w:val="18"/>
        </w:rPr>
        <w:t>and Form</w:t>
      </w:r>
      <w:r>
        <w:rPr>
          <w:color w:val="000000"/>
        </w:rPr>
        <w:t xml:space="preserve"> </w:t>
      </w:r>
      <w:r>
        <w:rPr>
          <w:rFonts w:ascii="Work Sans;sans-serif" w:hAnsi="Work Sans;sans-serif"/>
          <w:b w:val="false"/>
          <w:color w:val="000000"/>
          <w:sz w:val="18"/>
        </w:rPr>
        <w:t>S-8 (Nos. 333-257577, 333-263819 and 333-270178) of LegalZoom.com, Inc. of our report dated February 29, 2024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br/>
        <w:t>Los Angeles, California</w:t>
        <w:br/>
        <w:t>February 29,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Dan Wernikoff,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600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29,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741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1695"/>
        <w:gridCol w:w="983"/>
        <w:gridCol w:w="1402"/>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29,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our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Annual Report on Form 10-K for the period ended December 31, 2023,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29</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February 2024.</w:t>
      </w:r>
    </w:p>
    <w:tbl>
      <w:tblPr>
        <w:tblW w:w="741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1192"/>
        <w:gridCol w:w="1192"/>
        <w:gridCol w:w="1696"/>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29,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29,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LegalZoom.com, Inc.</w:t>
      </w:r>
    </w:p>
    <w:p>
      <w:pPr>
        <w:pStyle w:val="TextBody"/>
        <w:bidi w:val="0"/>
        <w:spacing w:lineRule="auto" w:line="240" w:before="240" w:after="480"/>
        <w:jc w:val="center"/>
        <w:rPr>
          <w:rFonts w:ascii="Times New Roman;sans-serif" w:hAnsi="Times New Roman;sans-serif"/>
          <w:b/>
          <w:color w:val="000000"/>
          <w:sz w:val="24"/>
        </w:rPr>
      </w:pPr>
      <w:r>
        <w:rPr>
          <w:rFonts w:ascii="Times New Roman;sans-serif" w:hAnsi="Times New Roman;sans-serif"/>
          <w:b/>
          <w:color w:val="000000"/>
          <w:sz w:val="24"/>
        </w:rPr>
        <w:t>MANDATORY CLAWBACK POLICY</w:t>
      </w:r>
    </w:p>
    <w:p>
      <w:pPr>
        <w:pStyle w:val="TextBody"/>
        <w:bidi w:val="0"/>
        <w:spacing w:lineRule="auto" w:line="240" w:before="24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Recoupment of Incentive-Based Compensation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It is the policy of LegalZoom.com, Inc.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that, in the event the Company is required to prepare an Accounting Restatement,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w:t>
      </w:r>
    </w:p>
    <w:p>
      <w:pPr>
        <w:pStyle w:val="TextBody"/>
        <w:bidi w:val="0"/>
        <w:spacing w:lineRule="auto" w:line="240" w:before="24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Policy Administration and Definitions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This Policy is administered by the Compensation Committee of the Company’s Board of Directors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and any determinations made by the Committee shall be final and binding on all affected individuals. This Policy is intended to comply with, and as applicable to be administered and interpreted consistent with, Listing Rule 5608 adopted by The Nasdaq Stock Market LLC (“</w:t>
      </w:r>
      <w:r>
        <w:rPr>
          <w:rFonts w:ascii="Times New Roman;sans-serif" w:hAnsi="Times New Roman;sans-serif"/>
          <w:b w:val="false"/>
          <w:color w:val="000000"/>
          <w:sz w:val="24"/>
          <w:u w:val="single"/>
        </w:rPr>
        <w:t>Nasdaq</w:t>
      </w:r>
      <w:r>
        <w:rPr>
          <w:color w:val="000000"/>
        </w:rPr>
        <w:t>”</w:t>
      </w:r>
      <w:r>
        <w:rPr>
          <w:rFonts w:ascii="Times New Roman;sans-serif" w:hAnsi="Times New Roman;sans-serif"/>
          <w:b w:val="false"/>
          <w:color w:val="000000"/>
          <w:sz w:val="24"/>
        </w:rPr>
        <w:t>) to implement Rule 10D-1 under the Securities Exchange Act of 1934, as amended (collectively, “</w:t>
      </w:r>
      <w:r>
        <w:rPr>
          <w:rFonts w:ascii="Times New Roman;sans-serif" w:hAnsi="Times New Roman;sans-serif"/>
          <w:b w:val="false"/>
          <w:color w:val="000000"/>
          <w:sz w:val="24"/>
          <w:u w:val="single"/>
        </w:rPr>
        <w:t>Rule 10D-1</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Policy: </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Accounting Restatement</w:t>
      </w:r>
      <w:r>
        <w:rPr>
          <w:color w:val="000000"/>
        </w:rPr>
        <w:t xml:space="preserve">” </w:t>
      </w:r>
      <w:r>
        <w:rPr>
          <w:rFonts w:ascii="Times New Roman;sans-serif" w:hAnsi="Times New Roman;sans-serif"/>
          <w:b w:val="false"/>
          <w:color w:val="000000"/>
          <w:sz w:val="24"/>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(whether or not such Covered Executive is serving at the time the Incentive-Based Compensation is required to be repaid to the Company). </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Financial Reporting Measure</w:t>
      </w:r>
      <w:r>
        <w:rPr>
          <w:color w:val="000000"/>
        </w:rPr>
        <w:t xml:space="preserve">” </w:t>
      </w:r>
      <w:r>
        <w:rPr>
          <w:rFonts w:ascii="Times New Roman;sans-serif" w:hAnsi="Times New Roman;sans-serif"/>
          <w:b w:val="false"/>
          <w:color w:val="000000"/>
          <w:sz w:val="24"/>
        </w:rPr>
        <w:t>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For the avoidance of doubt, a Financial Reporting Measure need not be presented in the Company’s financial statements or included in a filing with the U.S.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jc w:val="left"/>
        <w:rPr/>
      </w:pPr>
      <w:r>
        <w:rPr>
          <w:rFonts w:ascii="Times New Roman;sans-serif" w:hAnsi="Times New Roman;sans-serif"/>
          <w:b w:val="false"/>
          <w:color w:val="000000"/>
          <w:sz w:val="24"/>
        </w:rPr>
        <w:t>Incentive-Based Compensation is deemed to be “</w:t>
      </w:r>
      <w:r>
        <w:rPr>
          <w:rFonts w:ascii="Times New Roman;sans-serif" w:hAnsi="Times New Roman;sans-serif"/>
          <w:b w:val="false"/>
          <w:color w:val="000000"/>
          <w:sz w:val="24"/>
          <w:u w:val="single"/>
        </w:rPr>
        <w:t>Received</w:t>
      </w:r>
      <w:r>
        <w:rPr>
          <w:color w:val="000000"/>
        </w:rPr>
        <w:t xml:space="preserve">” </w:t>
      </w:r>
      <w:r>
        <w:rPr>
          <w:rFonts w:ascii="Times New Roman;sans-serif" w:hAnsi="Times New Roman;sans-serif"/>
          <w:b w:val="false"/>
          <w:color w:val="000000"/>
          <w:sz w:val="24"/>
        </w:rPr>
        <w:t xml:space="preserve">in the fiscal period during which the relevant Financial Reporting Measure is attained, regardless of when the compensation is actually paid or awarded.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Covered Executive</w:t>
      </w:r>
      <w:r>
        <w:rPr>
          <w:color w:val="000000"/>
        </w:rPr>
        <w:t xml:space="preserve">” </w:t>
      </w:r>
      <w:r>
        <w:rPr>
          <w:rFonts w:ascii="Times New Roman;sans-serif" w:hAnsi="Times New Roman;sans-serif"/>
          <w:b w:val="false"/>
          <w:color w:val="000000"/>
          <w:sz w:val="24"/>
        </w:rPr>
        <w:t xml:space="preserve">means any officer of the Company as defined under Rule 16a-1(f) under the Securities Exchange Act of 1934, as amended, as well as any other member of senior management whose compensation is determined and approved by the Committee. </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Recovery Period</w:t>
      </w:r>
      <w:r>
        <w:rPr>
          <w:color w:val="000000"/>
        </w:rPr>
        <w:t xml:space="preserve">” </w:t>
      </w:r>
      <w:r>
        <w:rPr>
          <w:rFonts w:ascii="Times New Roman;sans-serif" w:hAnsi="Times New Roman;sans-serif"/>
          <w:b w:val="false"/>
          <w:color w:val="000000"/>
          <w:sz w:val="24"/>
        </w:rPr>
        <w:t xml:space="preserve">means, with respect to any Accounting Restatement, the three completed fiscal years immediately preceding the Restatement Date and, if the Company changes its fiscal year, any “transition period” as prescribed under Rule 10D-1. </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Restatement Date</w:t>
      </w:r>
      <w:r>
        <w:rPr>
          <w:color w:val="000000"/>
        </w:rPr>
        <w:t xml:space="preserve">” </w:t>
      </w:r>
      <w:r>
        <w:rPr>
          <w:rFonts w:ascii="Times New Roman;sans-serif" w:hAnsi="Times New Roman;sans-serif"/>
          <w:b w:val="false"/>
          <w:color w:val="000000"/>
          <w:sz w:val="24"/>
        </w:rPr>
        <w:t xml:space="preserve">mean the earlier to occur of (i) the date the Board of Directors, a committee of the Board of Directors or the officers of the Company authorized to take such action if action by the Board of Directors is not required, concludes, or reasonably should have concluded, that the Company is required to prepare an Accounting Restatement, or (ii) the date a court, regulator or other legally authorized body directs the Company to prepare an Accounting Restatement.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have broad discretion to determine the appropriate means of recovery of erroneously awarded Incentive Compensation based on all applicable facts and circumstances and taking into account the time value of money and the cost to stockholders of delaying recovery. The Company may effectuate any recovery pursuant to this Policy by requiring payment of such amount(s) to the Company, by set-off, by reducing future compensation, or by such other means or combination of means as the Committee determines to be appropriate. Any determinations made by the Committee under this Policy shall be final and binding on all affected individuals.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the Company need not recover the excess amount of Incentive-Based Compensation if and to the extent that the Committee determines that such recovery is impracticable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lineRule="auto" w:line="240" w:before="24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Disclosure</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file all disclosures with respect to this Policy required by applicable SEC filings and rules.</w:t>
      </w:r>
    </w:p>
    <w:p>
      <w:pPr>
        <w:pStyle w:val="TextBody"/>
        <w:bidi w:val="0"/>
        <w:spacing w:lineRule="auto" w:line="240" w:before="24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Acknowledgement</w:t>
      </w:r>
    </w:p>
    <w:p>
      <w:pPr>
        <w:pStyle w:val="TextBody"/>
        <w:bidi w:val="0"/>
        <w:spacing w:lineRule="auto" w:line="240"/>
        <w:ind w:left="0" w:right="0" w:firstLine="720"/>
        <w:jc w:val="both"/>
        <w:rPr/>
      </w:pPr>
      <w:r>
        <w:rPr>
          <w:rFonts w:ascii="Times New Roman;sans-serif" w:hAnsi="Times New Roman;sans-serif"/>
          <w:b w:val="false"/>
          <w:color w:val="000000"/>
          <w:sz w:val="24"/>
        </w:rPr>
        <w:t xml:space="preserve">Each Covered Executive shall sign and return to the Company, within 30 calendar days following the later of (i) the effective date of this Policy or (ii) the date the individual becomes a Covered Executive, the Acknowledgement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pursuant to which the Covered Executive agrees to be bound by, and to comply with, the terms and conditions of this Policy.</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24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Amendment; Termination</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may amend this Policy from time to time in its discretion and shall amend this Policy as it deems necessary. Notwithstanding anything herein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Other Recovery Rights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intends that this Policy will be applied to the fullest extent required by applicable law. Any employment agreement, equity award agreement, compensatory plan or any other agreement or arrangement with a Covered Executive shall be deemed to include, as a condition to the grant of any benefit thereunder, an agreement by the Covered Executive to abide by the terms of this Policy. 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Effective and Adopted by the Compensation Committee on June 23, 2023</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LEGALZOOM.COM,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MANDATORY CLAWBACK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4"/>
        </w:rPr>
        <w:t>By signing below, the undersigned acknowledges and confirms that the undersigned has received and reviewed a copy of the Mandatory Clawback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LegalZoom.com,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Incentive-Based Compensation (as defined in the Policy) to the Company to the extent required by, and in a manner consistent with, the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color w:val="000000"/>
          <w:sz w:val="24"/>
        </w:rPr>
        <w:t>COVERED 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color w:val="000000"/>
          <w:sz w:val="24"/>
        </w:rPr>
        <w:t>________________________</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Print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Date</w:t>
      </w:r>
    </w:p>
    <w:p>
      <w:pPr>
        <w:pStyle w:val="TextBody"/>
        <w:bidi w:val="0"/>
        <w:spacing w:lineRule="auto" w:line="240"/>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286139/000119312521207613/d65054dex31.htm" TargetMode="External"/><Relationship Id="rId4" Type="http://schemas.openxmlformats.org/officeDocument/2006/relationships/hyperlink" Target="https://www.sec.gov/Archives/edgar/data/1286139/000119312521194089/d146270dex34.htm" TargetMode="External"/><Relationship Id="rId5" Type="http://schemas.openxmlformats.org/officeDocument/2006/relationships/hyperlink" Target="https://www.sec.gov/Archives/edgar/data/0001286139/000119312521194089/d146270dex41.htm" TargetMode="External"/><Relationship Id="rId6" Type="http://schemas.openxmlformats.org/officeDocument/2006/relationships/hyperlink" Target="https://www.sec.gov/Archives/edgar/data/0001286139/000119312521194089/d146270dex42.htm" TargetMode="External"/><Relationship Id="rId7" Type="http://schemas.openxmlformats.org/officeDocument/2006/relationships/hyperlink" Target="https://www.sec.gov/Archives/edgar/data/1286139/000128613923000036/ex43-descriptionofcommonst.htm" TargetMode="External"/><Relationship Id="rId8" Type="http://schemas.openxmlformats.org/officeDocument/2006/relationships/hyperlink" Target="https://www.sec.gov/Archives/edgar/data/0001286139/000119312521182939/d146270dex101.htm" TargetMode="External"/><Relationship Id="rId9" Type="http://schemas.openxmlformats.org/officeDocument/2006/relationships/hyperlink" Target="https://www.sec.gov/Archives/edgar/data/0001286139/000119312521194089/d146270dex102.htm" TargetMode="External"/><Relationship Id="rId10" Type="http://schemas.openxmlformats.org/officeDocument/2006/relationships/hyperlink" Target="https://www.sec.gov/Archives/edgar/data/0001286139/000119312521194089/d146270dex103.htm" TargetMode="External"/><Relationship Id="rId11" Type="http://schemas.openxmlformats.org/officeDocument/2006/relationships/hyperlink" Target="https://www.sec.gov/Archives/edgar/data/1286139/000128613923000078/ex-102formofrsugrantnotice.htm" TargetMode="External"/><Relationship Id="rId12" Type="http://schemas.openxmlformats.org/officeDocument/2006/relationships/hyperlink" Target="https://www.sec.gov/Archives/edgar/data/1286139/000128613923000078/ex-102formofrsugrantnotice.htm" TargetMode="External"/><Relationship Id="rId13" Type="http://schemas.openxmlformats.org/officeDocument/2006/relationships/hyperlink" Target="https://www.sec.gov/Archives/edgar/data/1286139/000128613923000078/ex-102formofrsugrantnotice.htm" TargetMode="External"/><Relationship Id="rId14" Type="http://schemas.openxmlformats.org/officeDocument/2006/relationships/hyperlink" Target="https://www.sec.gov/Archives/edgar/data/1286139/000128613923000078/ex-102formofrsugrantnotice.htm" TargetMode="External"/><Relationship Id="rId15" Type="http://schemas.openxmlformats.org/officeDocument/2006/relationships/hyperlink" Target="https://www.sec.gov/Archives/edgar/data/1286139/000128613923000078/ex-102formofrsugrantnotice.htm" TargetMode="External"/><Relationship Id="rId16" Type="http://schemas.openxmlformats.org/officeDocument/2006/relationships/hyperlink" Target="https://www.sec.gov/Archives/edgar/data/1286139/000128613923000078/ex-103formofoptiongrantnot.htm" TargetMode="External"/><Relationship Id="rId17" Type="http://schemas.openxmlformats.org/officeDocument/2006/relationships/hyperlink" Target="https://www.sec.gov/Archives/edgar/data/1286139/000128613923000078/ex-103formofoptiongrantnot.htm" TargetMode="External"/><Relationship Id="rId18" Type="http://schemas.openxmlformats.org/officeDocument/2006/relationships/hyperlink" Target="https://www.sec.gov/Archives/edgar/data/1286139/000128613923000078/ex-103formofoptiongrantnot.htm" TargetMode="External"/><Relationship Id="rId19" Type="http://schemas.openxmlformats.org/officeDocument/2006/relationships/hyperlink" Target="https://www.sec.gov/Archives/edgar/data/0001286139/000119312521182939/d146270dex104.htm" TargetMode="External"/><Relationship Id="rId20" Type="http://schemas.openxmlformats.org/officeDocument/2006/relationships/hyperlink" Target="https://www.sec.gov/Archives/edgar/data/1286139/000119312521194089/d146270dex105.htm" TargetMode="External"/><Relationship Id="rId21" Type="http://schemas.openxmlformats.org/officeDocument/2006/relationships/hyperlink" Target="https://www.sec.gov/Archives/edgar/data/1286139/000128613922000071/exhibit103amendmenttoemplo.htm" TargetMode="External"/><Relationship Id="rId22" Type="http://schemas.openxmlformats.org/officeDocument/2006/relationships/hyperlink" Target="https://www.sec.gov/Archives/edgar/data/0001286139/000119312521194089/d146270dex107.htm" TargetMode="External"/><Relationship Id="rId23" Type="http://schemas.openxmlformats.org/officeDocument/2006/relationships/hyperlink" Target="https://www.sec.gov/Archives/edgar/data/1286139/000128613922000048/ex109lzwatsonamendment-03x.htm" TargetMode="External"/><Relationship Id="rId24" Type="http://schemas.openxmlformats.org/officeDocument/2006/relationships/hyperlink" Target="https://www.sec.gov/Archives/edgar/data/1286139/000119312521194089/d146270dex106.htm" TargetMode="External"/><Relationship Id="rId25" Type="http://schemas.openxmlformats.org/officeDocument/2006/relationships/hyperlink" Target="https://www.sec.gov/Archives/edgar/data/1286139/000128613921000013/ex-103lzxemploymentagreeme.htm" TargetMode="External"/><Relationship Id="rId26" Type="http://schemas.openxmlformats.org/officeDocument/2006/relationships/hyperlink" Target="https://www.sec.gov/Archives/edgar/data/1286139/000128613922000048/ex1010lzradhakrishnasecond.htm" TargetMode="External"/><Relationship Id="rId27" Type="http://schemas.openxmlformats.org/officeDocument/2006/relationships/hyperlink" Target="https://www.sec.gov/Archives/edgar/data/1286139/000128613922000112/ex102employmentagreement-r.htm" TargetMode="External"/><Relationship Id="rId28" Type="http://schemas.openxmlformats.org/officeDocument/2006/relationships/hyperlink" Target="https://www.sec.gov/Archives/edgar/data/1286139/000128613922000112/ex103amendmenttoemployment.htm" TargetMode="External"/><Relationship Id="rId29" Type="http://schemas.openxmlformats.org/officeDocument/2006/relationships/hyperlink" Target="https://www.sec.gov/Archives/edgar/data/1286139/000128613922000112/ex104secondamendmenttoempl.htm" TargetMode="External"/><Relationship Id="rId30" Type="http://schemas.openxmlformats.org/officeDocument/2006/relationships/hyperlink" Target="https://www.sec.gov/Archives/edgar/data/1286139/000128613923000036/ex1015-ipoemploymentagreem.htm" TargetMode="External"/><Relationship Id="rId31" Type="http://schemas.openxmlformats.org/officeDocument/2006/relationships/hyperlink" Target="https://www.sec.gov/Archives/edgar/data/1286139/000128613923000036/ex1015-ipoemploymentagreem.htm" TargetMode="External"/><Relationship Id="rId32" Type="http://schemas.openxmlformats.org/officeDocument/2006/relationships/hyperlink" Target="https://www.sec.gov/Archives/edgar/data/1286139/000128613923000036/ex1015-ipoemploymentagreem.htm" TargetMode="External"/><Relationship Id="rId33" Type="http://schemas.openxmlformats.org/officeDocument/2006/relationships/hyperlink" Target="https://www.sec.gov/Archives/edgar/data/1286139/000128613923000036/ex1015-ipoemploymentagreem.htm" TargetMode="External"/><Relationship Id="rId34" Type="http://schemas.openxmlformats.org/officeDocument/2006/relationships/hyperlink" Target="https://www.sec.gov/Archives/edgar/data/1286139/000128613923000036/ex1015-ipoemploymentagreem.htm" TargetMode="External"/><Relationship Id="rId35" Type="http://schemas.openxmlformats.org/officeDocument/2006/relationships/hyperlink" Target="https://www.sec.gov/Archives/edgar/data/1286139/000128613922000139/ex-101nonxemployeedirector.htm" TargetMode="External"/><Relationship Id="rId36" Type="http://schemas.openxmlformats.org/officeDocument/2006/relationships/hyperlink" Target="https://www.sec.gov/Archives/edgar/data/0001286139/000119312521194089/d146270dex1016.htm" TargetMode="External"/><Relationship Id="rId37" Type="http://schemas.openxmlformats.org/officeDocument/2006/relationships/hyperlink" Target="https://www.sec.gov/Archives/edgar/data/1286139/000128613921000013/ex-101lzamendedandrestated.htm" TargetMode="External"/><Relationship Id="rId38" Type="http://schemas.openxmlformats.org/officeDocument/2006/relationships/hyperlink" Target="https://www.sec.gov/Archives/edgar/data/1286139/000128613921000013/ex-101lzamendedandrestated.htm" TargetMode="External"/><Relationship Id="rId39" Type="http://schemas.openxmlformats.org/officeDocument/2006/relationships/hyperlink" Target="https://www.sec.gov/Archives/edgar/data/1286139/000128613923000078/ex-101amendmentno1tothe2.htm" TargetMode="External"/><Relationship Id="rId40" Type="http://schemas.openxmlformats.org/officeDocument/2006/relationships/hyperlink" Target="https://www.sec.gov/Archives/edgar/data/1286139/000128613923000078/ex-101amendmentno1tothe2.htm" TargetMode="External"/><Relationship Id="rId41" Type="http://schemas.openxmlformats.org/officeDocument/2006/relationships/hyperlink" Target="https://www.sec.gov/Archives/edgar/data/1286139/000128613923000078/ex-101amendmentno1tothe2.htm" TargetMode="External"/><Relationship Id="rId42" Type="http://schemas.openxmlformats.org/officeDocument/2006/relationships/hyperlink" Target="https://www.sec.gov/Archives/edgar/data/1286139/000128613923000078/ex-101amendmentno1tothe2.htm" TargetMode="External"/><Relationship Id="rId43" Type="http://schemas.openxmlformats.org/officeDocument/2006/relationships/hyperlink" Target="https://www.sec.gov/Archives/edgar/data/1286139/000128613923000078/ex-101amendmentno1tothe2.htm" TargetMode="External"/><Relationship Id="rId44" Type="http://schemas.openxmlformats.org/officeDocument/2006/relationships/hyperlink" Target="https://www.sec.gov/Archives/edgar/data/1286139/000119312523232599/d485281dex101.htm" TargetMode="External"/><Relationship Id="rId45" Type="http://schemas.openxmlformats.org/officeDocument/2006/relationships/hyperlink" Target="https://www.sec.gov/Archives/edgar/data/1286139/000128613923000132/finalpsaedgarversion.htm" TargetMode="External"/><Relationship Id="rId46" Type="http://schemas.openxmlformats.org/officeDocument/2006/relationships/hyperlink" Target="https://www.sec.gov/Archives/edgar/data/1286139/000128613923000132/finalpsaedgarversion.htm" TargetMode="External"/><Relationship Id="rId47" Type="http://schemas.openxmlformats.org/officeDocument/2006/relationships/hyperlink" Target="https://www.sec.gov/Archives/edgar/data/1286139/000128613923000132/finalpsaedgarversion.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69790</Words>
  <Characters>390060</Characters>
  <CharactersWithSpaces>457600</CharactersWithSpaces>
  <Paragraphs>4291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