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a195abc371504b0c870ec70b69a704b5_7">
        <w:r>
          <w:rPr>
            <w:rStyle w:val="InternetLink"/>
            <w:rFonts w:ascii="Work Sans;sans-serif" w:hAnsi="Work Sans;sans-serif"/>
            <w:b w:val="false"/>
            <w:color w:val="0000FF"/>
            <w:sz w:val="18"/>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jc w:val="center"/>
        <w:rPr>
          <w:rFonts w:ascii="Work Sans;sans-serif" w:hAnsi="Work Sans;sans-serif"/>
          <w:b/>
          <w:color w:val="000000"/>
          <w:sz w:val="18"/>
        </w:rPr>
      </w:pPr>
      <w:r>
        <w:rPr>
          <w:rFonts w:ascii="Work Sans;sans-serif" w:hAnsi="Work Sans;sans-serif"/>
          <w:b/>
          <w:color w:val="000000"/>
          <w:sz w:val="18"/>
        </w:rPr>
        <w:t>UNITED STATES</w:t>
      </w:r>
    </w:p>
    <w:p>
      <w:pPr>
        <w:pStyle w:val="TextBody"/>
        <w:bidi w:val="0"/>
        <w:spacing w:lineRule="auto" w:line="288" w:before="0" w:after="120"/>
        <w:jc w:val="center"/>
        <w:rPr>
          <w:rFonts w:ascii="Work Sans;sans-serif" w:hAnsi="Work Sans;sans-serif"/>
          <w:b/>
          <w:color w:val="000000"/>
          <w:sz w:val="18"/>
        </w:rPr>
      </w:pPr>
      <w:r>
        <w:rPr>
          <w:rFonts w:ascii="Work Sans;sans-serif" w:hAnsi="Work Sans;sans-serif"/>
          <w:b/>
          <w:color w:val="000000"/>
          <w:sz w:val="18"/>
        </w:rPr>
        <w:t>SECURITIES AND EXCHANGE COMMISSION</w:t>
      </w:r>
    </w:p>
    <w:p>
      <w:pPr>
        <w:pStyle w:val="TextBody"/>
        <w:bidi w:val="0"/>
        <w:spacing w:lineRule="auto" w:line="288" w:before="0" w:after="120"/>
        <w:jc w:val="center"/>
        <w:rPr>
          <w:rFonts w:ascii="Work Sans;sans-serif" w:hAnsi="Work Sans;sans-serif"/>
          <w:b/>
          <w:color w:val="000000"/>
          <w:sz w:val="18"/>
        </w:rPr>
      </w:pPr>
      <w:r>
        <w:rPr>
          <w:rFonts w:ascii="Work Sans;sans-serif" w:hAnsi="Work Sans;sans-serif"/>
          <w:b/>
          <w:color w:val="000000"/>
          <w:sz w:val="18"/>
        </w:rPr>
        <w:t>Washington, D.C. 20549</w:t>
      </w:r>
    </w:p>
    <w:p>
      <w:pPr>
        <w:pStyle w:val="TextBody"/>
        <w:bidi w:val="0"/>
        <w:spacing w:lineRule="auto" w:line="288" w:before="0" w:after="120"/>
        <w:jc w:val="center"/>
        <w:rPr>
          <w:rFonts w:ascii="Work Sans;sans-serif" w:hAnsi="Work Sans;sans-serif"/>
          <w:b w:val="false"/>
          <w:color w:val="000000"/>
          <w:sz w:val="18"/>
        </w:rPr>
      </w:pPr>
      <w:r>
        <w:rPr>
          <w:rFonts w:ascii="Work Sans;sans-serif" w:hAnsi="Work Sans;sans-serif"/>
          <w:b w:val="false"/>
          <w:color w:val="000000"/>
          <w:sz w:val="18"/>
        </w:rPr>
        <w:t>___________________________________</w:t>
      </w:r>
    </w:p>
    <w:p>
      <w:pPr>
        <w:pStyle w:val="TextBody"/>
        <w:bidi w:val="0"/>
        <w:spacing w:lineRule="auto" w:line="288" w:before="0" w:after="120"/>
        <w:jc w:val="center"/>
        <w:rPr>
          <w:rFonts w:ascii="Work Sans;sans-serif" w:hAnsi="Work Sans;sans-serif"/>
          <w:b/>
          <w:color w:val="000000"/>
          <w:sz w:val="18"/>
        </w:rPr>
      </w:pPr>
      <w:r>
        <w:rPr>
          <w:rFonts w:ascii="Work Sans;sans-serif" w:hAnsi="Work Sans;sans-serif"/>
          <w:b/>
          <w:color w:val="000000"/>
          <w:sz w:val="18"/>
        </w:rPr>
        <w:t xml:space="preserve">FORM 10-K </w:t>
      </w:r>
    </w:p>
    <w:p>
      <w:pPr>
        <w:pStyle w:val="TextBody"/>
        <w:bidi w:val="0"/>
        <w:spacing w:lineRule="auto" w:line="288" w:before="0" w:after="120"/>
        <w:ind w:left="0" w:right="0" w:firstLine="90"/>
        <w:jc w:val="left"/>
        <w:rPr>
          <w:rFonts w:ascii="Work Sans;sans-serif" w:hAnsi="Work Sans;sans-serif"/>
          <w:b/>
          <w:color w:val="000000"/>
          <w:sz w:val="18"/>
        </w:rPr>
      </w:pPr>
      <w:r>
        <w:rPr>
          <w:rFonts w:ascii="Work Sans;sans-serif" w:hAnsi="Work Sans;sans-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20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8"/>
              </w:rPr>
            </w:pPr>
            <w:r>
              <w:rPr>
                <w:rFonts w:ascii="Open Sans;sans-serif" w:hAnsi="Open Sans;sans-serif"/>
                <w:b/>
                <w:color w:val="000000"/>
                <w:sz w:val="18"/>
              </w:rPr>
              <w:t>ANNUAL REPORT PURSUANT TO SECTION 13 OR 15(d) OF THE SECURITIES EXCHANGE ACT OF 1934</w:t>
            </w:r>
          </w:p>
        </w:tc>
      </w:tr>
    </w:tbl>
    <w:p>
      <w:pPr>
        <w:pStyle w:val="TextBody"/>
        <w:bidi w:val="0"/>
        <w:spacing w:lineRule="auto" w:line="288" w:before="200" w:after="120"/>
        <w:jc w:val="left"/>
        <w:rPr>
          <w:rFonts w:ascii="Work Sans;sans-serif" w:hAnsi="Work Sans;sans-serif"/>
          <w:b/>
          <w:color w:val="000000"/>
          <w:sz w:val="18"/>
        </w:rPr>
      </w:pPr>
      <w:r>
        <w:rPr>
          <w:rFonts w:ascii="Work Sans;sans-serif" w:hAnsi="Work Sans;sans-serif"/>
          <w:b/>
          <w:color w:val="000000"/>
          <w:sz w:val="18"/>
        </w:rPr>
        <w:t>For the fiscal year ended December 31, 2025</w:t>
      </w:r>
    </w:p>
    <w:p>
      <w:pPr>
        <w:pStyle w:val="TextBody"/>
        <w:bidi w:val="0"/>
        <w:spacing w:lineRule="auto" w:line="288" w:before="0" w:after="120"/>
        <w:ind w:left="0" w:right="0" w:firstLine="720"/>
        <w:jc w:val="left"/>
        <w:rPr>
          <w:rFonts w:ascii="Work Sans;sans-serif" w:hAnsi="Work Sans;sans-serif"/>
          <w:b/>
          <w:color w:val="000000"/>
          <w:sz w:val="18"/>
        </w:rPr>
      </w:pPr>
      <w:r>
        <w:rPr>
          <w:rFonts w:ascii="Work Sans;sans-serif" w:hAnsi="Work Sans;sans-serif"/>
          <w:b/>
          <w:color w:val="000000"/>
          <w:sz w:val="18"/>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rFonts w:ascii="Work Sans;sans-serif" w:hAnsi="Work Sans;sans-serif"/>
                <w:b/>
                <w:color w:val="000000"/>
                <w:sz w:val="18"/>
              </w:rPr>
            </w:pPr>
            <w:r>
              <w:rPr>
                <w:rFonts w:ascii="Work Sans;sans-serif" w:hAnsi="Work Sans;sans-serif"/>
                <w:b/>
                <w:color w:val="000000"/>
                <w:sz w:val="18"/>
              </w:rPr>
              <w:t>TRANSITION REPORT PURSUANT TO SECTION 13 OR 15(d) OF THE SECURITIES EXCHANGE ACT OF 1934</w:t>
            </w:r>
          </w:p>
        </w:tc>
      </w:tr>
    </w:tbl>
    <w:p>
      <w:pPr>
        <w:pStyle w:val="TextBody"/>
        <w:bidi w:val="0"/>
        <w:spacing w:lineRule="auto" w:line="288" w:before="200" w:after="120"/>
        <w:jc w:val="left"/>
        <w:rPr>
          <w:rFonts w:ascii="Work Sans;sans-serif" w:hAnsi="Work Sans;sans-serif"/>
          <w:b/>
          <w:color w:val="000000"/>
          <w:sz w:val="18"/>
        </w:rPr>
      </w:pPr>
      <w:r>
        <w:rPr>
          <w:rFonts w:ascii="Work Sans;sans-serif" w:hAnsi="Work Sans;sans-serif"/>
          <w:b/>
          <w:color w:val="000000"/>
          <w:sz w:val="18"/>
        </w:rPr>
        <w:t xml:space="preserve">For the transition period from   to </w:t>
      </w:r>
    </w:p>
    <w:p>
      <w:pPr>
        <w:pStyle w:val="TextBody"/>
        <w:bidi w:val="0"/>
        <w:spacing w:lineRule="auto" w:line="288" w:before="200" w:after="120"/>
        <w:jc w:val="center"/>
        <w:rPr>
          <w:rFonts w:ascii="Work Sans;sans-serif" w:hAnsi="Work Sans;sans-serif"/>
          <w:b/>
          <w:color w:val="000000"/>
          <w:sz w:val="18"/>
        </w:rPr>
      </w:pPr>
      <w:r>
        <w:rPr>
          <w:rFonts w:ascii="Work Sans;sans-serif" w:hAnsi="Work Sans;sans-serif"/>
          <w:b/>
          <w:color w:val="000000"/>
          <w:sz w:val="18"/>
        </w:rPr>
        <w:t>Commission file number 001-35618</w:t>
      </w:r>
    </w:p>
    <w:p>
      <w:pPr>
        <w:pStyle w:val="TextBody"/>
        <w:bidi w:val="0"/>
        <w:spacing w:lineRule="auto" w:line="288" w:before="200" w:after="120"/>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0" w:after="120"/>
        <w:jc w:val="center"/>
        <w:rPr>
          <w:rFonts w:ascii="Work Sans;sans-serif" w:hAnsi="Work Sans;sans-serif"/>
          <w:b/>
          <w:color w:val="000000"/>
          <w:sz w:val="18"/>
        </w:rPr>
      </w:pPr>
      <w:r>
        <w:rPr>
          <w:rFonts w:ascii="Work Sans;sans-serif" w:hAnsi="Work Sans;sans-serif"/>
          <w:b/>
          <w:color w:val="000000"/>
          <w:sz w:val="18"/>
        </w:rPr>
        <w:t>(Exact name of registrant as specified in its charter)</w:t>
      </w:r>
    </w:p>
    <w:p>
      <w:pPr>
        <w:pStyle w:val="TextBody"/>
        <w:bidi w:val="0"/>
        <w:spacing w:lineRule="auto" w:line="288" w:before="0" w:after="120"/>
        <w:jc w:val="center"/>
        <w:rPr>
          <w:rFonts w:ascii="Work Sans;sans-serif" w:hAnsi="Work Sans;sans-serif"/>
          <w:b w:val="false"/>
          <w:color w:val="000000"/>
          <w:sz w:val="18"/>
        </w:rPr>
      </w:pPr>
      <w:r>
        <w:rPr>
          <w:rFonts w:ascii="Work Sans;sans-serif" w:hAnsi="Work Sans;sans-serif"/>
          <w:b w:val="false"/>
          <w:color w:val="000000"/>
          <w:sz w:val="18"/>
        </w:rPr>
        <w:t>___________________________________</w:t>
      </w:r>
    </w:p>
    <w:tbl>
      <w:tblPr>
        <w:tblW w:w="8789" w:type="dxa"/>
        <w:jc w:val="left"/>
        <w:tblInd w:w="0" w:type="dxa"/>
        <w:tblLayout w:type="fixed"/>
        <w:tblCellMar>
          <w:top w:w="28" w:type="dxa"/>
          <w:left w:w="28" w:type="dxa"/>
          <w:bottom w:w="28" w:type="dxa"/>
          <w:right w:w="28" w:type="dxa"/>
        </w:tblCellMar>
      </w:tblPr>
      <w:tblGrid>
        <w:gridCol w:w="1981"/>
        <w:gridCol w:w="1741"/>
        <w:gridCol w:w="1753"/>
        <w:gridCol w:w="969"/>
        <w:gridCol w:w="969"/>
        <w:gridCol w:w="1376"/>
      </w:tblGrid>
      <w:tr>
        <w:trPr/>
        <w:tc>
          <w:tcPr>
            <w:tcW w:w="1981"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Work Sans;sans-serif" w:hAnsi="Work Sans;sans-serif"/>
                <w:b/>
                <w:color w:val="000000"/>
                <w:sz w:val="18"/>
              </w:rPr>
            </w:pPr>
            <w:r>
              <w:rPr>
                <w:rFonts w:ascii="Work Sans;sans-serif" w:hAnsi="Work Sans;sans-serif"/>
                <w:b/>
                <w:color w:val="000000"/>
                <w:sz w:val="18"/>
              </w:rPr>
              <w:t>Delaware</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8"/>
              </w:rPr>
            </w:pPr>
            <w:r>
              <w:rPr>
                <w:rFonts w:ascii="Open Sans;sans-serif" w:hAnsi="Open Sans;sans-serif"/>
                <w:b/>
                <w:color w:val="000000"/>
                <w:sz w:val="18"/>
              </w:rPr>
              <w:t>95-4752856</w:t>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Work Sans;sans-serif" w:hAnsi="Work Sans;sans-serif"/>
                <w:b w:val="false"/>
                <w:color w:val="000000"/>
                <w:sz w:val="18"/>
              </w:rPr>
            </w:pPr>
            <w:r>
              <w:rPr>
                <w:rFonts w:ascii="Work Sans;sans-serif" w:hAnsi="Work Sans;sans-serif"/>
                <w:b w:val="false"/>
                <w:color w:val="000000"/>
                <w:sz w:val="18"/>
              </w:rPr>
              <w:t>(State or other jurisdiction of incorporation or organization)</w:t>
            </w:r>
          </w:p>
        </w:tc>
        <w:tc>
          <w:tcPr>
            <w:tcW w:w="3314"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Work Sans;sans-serif" w:hAnsi="Work Sans;sans-serif"/>
                <w:b w:val="false"/>
                <w:color w:val="000000"/>
                <w:sz w:val="18"/>
              </w:rPr>
            </w:pPr>
            <w:r>
              <w:rPr>
                <w:rFonts w:ascii="Work Sans;sans-serif" w:hAnsi="Work Sans;sans-serif"/>
                <w:b w:val="false"/>
                <w:color w:val="000000"/>
                <w:sz w:val="18"/>
              </w:rPr>
              <w:t>(I.R.S. Employer Identification No.)</w:t>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8"/>
              </w:rPr>
            </w:pPr>
            <w:r>
              <w:rPr>
                <w:rFonts w:ascii="Open Sans;sans-serif" w:hAnsi="Open Sans;sans-serif"/>
                <w:b/>
                <w:color w:val="000000"/>
                <w:sz w:val="18"/>
              </w:rPr>
              <w:t>954 Villa Street,</w:t>
            </w:r>
          </w:p>
          <w:p>
            <w:pPr>
              <w:pStyle w:val="TableContents"/>
              <w:bidi w:val="0"/>
              <w:spacing w:lineRule="auto" w:line="240" w:before="0" w:after="0"/>
              <w:jc w:val="center"/>
              <w:rPr>
                <w:color w:val="000000"/>
              </w:rPr>
            </w:pPr>
            <w:r>
              <w:rPr>
                <w:color w:val="000000"/>
              </w:rPr>
              <w:t> </w:t>
            </w:r>
            <w:r>
              <w:rPr>
                <w:rFonts w:ascii="Open Sans;sans-serif" w:hAnsi="Open Sans;sans-serif"/>
                <w:b/>
                <w:color w:val="000000"/>
                <w:sz w:val="18"/>
              </w:rPr>
              <w:t>Mountain View, California 94041</w:t>
            </w:r>
          </w:p>
          <w:p>
            <w:pPr>
              <w:pStyle w:val="TableContents"/>
              <w:bidi w:val="0"/>
              <w:spacing w:before="0" w:after="0"/>
              <w:jc w:val="center"/>
              <w:rPr/>
            </w:pPr>
            <w:r>
              <w:rPr/>
            </w:r>
          </w:p>
        </w:tc>
      </w:tr>
      <w:tr>
        <w:trPr/>
        <w:tc>
          <w:tcPr>
            <w:tcW w:w="8789"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(Address of Principal Executive Offices, including Zip code)</w:t>
            </w:r>
          </w:p>
        </w:tc>
      </w:tr>
    </w:tbl>
    <w:p>
      <w:pPr>
        <w:pStyle w:val="TextBody"/>
        <w:bidi w:val="0"/>
        <w:spacing w:lineRule="auto" w:line="288" w:before="200" w:after="120"/>
        <w:jc w:val="center"/>
        <w:rPr>
          <w:rFonts w:ascii="Work Sans;sans-serif" w:hAnsi="Work Sans;sans-serif"/>
          <w:b/>
          <w:color w:val="000000"/>
          <w:sz w:val="18"/>
        </w:rPr>
      </w:pPr>
      <w:r>
        <w:rPr>
          <w:rFonts w:ascii="Work Sans;sans-serif" w:hAnsi="Work Sans;sans-serif"/>
          <w:b/>
          <w:color w:val="000000"/>
          <w:sz w:val="18"/>
        </w:rPr>
        <w:t>(323) 962-8600</w:t>
      </w:r>
    </w:p>
    <w:p>
      <w:pPr>
        <w:pStyle w:val="TextBody"/>
        <w:bidi w:val="0"/>
        <w:spacing w:lineRule="auto" w:line="288" w:before="0" w:after="120"/>
        <w:jc w:val="center"/>
        <w:rPr>
          <w:rFonts w:ascii="Work Sans;sans-serif" w:hAnsi="Work Sans;sans-serif"/>
          <w:b w:val="false"/>
          <w:color w:val="000000"/>
          <w:sz w:val="18"/>
        </w:rPr>
      </w:pPr>
      <w:r>
        <w:rPr>
          <w:rFonts w:ascii="Work Sans;sans-serif" w:hAnsi="Work Sans;sans-serif"/>
          <w:b w:val="false"/>
          <w:color w:val="000000"/>
          <w:sz w:val="18"/>
        </w:rPr>
        <w:t>Registrant's telephone number, including area code</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Securities registered pursuant to Section 12(b) of the Act:</w:t>
      </w:r>
    </w:p>
    <w:tbl>
      <w:tblPr>
        <w:tblW w:w="10063" w:type="dxa"/>
        <w:jc w:val="left"/>
        <w:tblInd w:w="0" w:type="dxa"/>
        <w:tblLayout w:type="fixed"/>
        <w:tblCellMar>
          <w:top w:w="28" w:type="dxa"/>
          <w:left w:w="28" w:type="dxa"/>
          <w:bottom w:w="28" w:type="dxa"/>
          <w:right w:w="28" w:type="dxa"/>
        </w:tblCellMar>
      </w:tblPr>
      <w:tblGrid>
        <w:gridCol w:w="1481"/>
        <w:gridCol w:w="1303"/>
        <w:gridCol w:w="1311"/>
        <w:gridCol w:w="589"/>
        <w:gridCol w:w="589"/>
        <w:gridCol w:w="591"/>
        <w:gridCol w:w="1229"/>
        <w:gridCol w:w="1229"/>
        <w:gridCol w:w="1741"/>
      </w:tblGrid>
      <w:tr>
        <w:trPr/>
        <w:tc>
          <w:tcPr>
            <w:tcW w:w="1481"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Title of each class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Trading Symbol(s)</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Name of each exchange on which registered</w:t>
            </w:r>
          </w:p>
        </w:tc>
      </w:tr>
      <w:tr>
        <w:trPr/>
        <w:tc>
          <w:tcPr>
            <w:tcW w:w="4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Common Stock, par value $0.001 per share</w:t>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LZ</w:t>
            </w:r>
          </w:p>
        </w:tc>
        <w:tc>
          <w:tcPr>
            <w:tcW w:w="4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The Nasdaq Global Select Market</w:t>
            </w:r>
          </w:p>
        </w:tc>
      </w:tr>
    </w:tbl>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Securities registered pursuant to section 12(g) of the Act: None</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Indicate by check mark if the registrant is a well-known seasoned issuer, as defined in Rule 405 of the Securities Act. Yes   ☒  No ☐</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Indicate by check mark if the registrant is not required to file reports pursuant to Section 13 or Section 15(d) of the Act. Yes   ☐  No ☒</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lineRule="auto" w:line="288" w:before="120" w:after="120"/>
        <w:jc w:val="both"/>
        <w:rPr>
          <w:rFonts w:ascii="Work Sans;sans-serif" w:hAnsi="Work Sans;sans-serif"/>
          <w:b w:val="false"/>
          <w:color w:val="000000"/>
          <w:sz w:val="18"/>
        </w:rPr>
      </w:pPr>
      <w:r>
        <w:rPr>
          <w:rFonts w:ascii="Work Sans;sans-serif" w:hAnsi="Work Sans;sans-serif"/>
          <w:b w:val="false"/>
          <w:color w:val="000000"/>
          <w:sz w:val="18"/>
        </w:rPr>
        <w:t xml:space="preserve">Indicate by check mark whether the registrant is a large accelerated filer, an accelerated filer, a non-accelerated filer, a smaller reporting company or an emerging growth company. See the definitions of “large </w:t>
      </w:r>
    </w:p>
    <w:p>
      <w:pPr>
        <w:pStyle w:val="TextBody"/>
        <w:bidi w:val="0"/>
        <w:spacing w:lineRule="auto" w:line="288" w:before="120" w:after="120"/>
        <w:jc w:val="both"/>
        <w:rPr>
          <w:rFonts w:ascii="Work Sans;sans-serif" w:hAnsi="Work Sans;sans-serif"/>
          <w:b w:val="false"/>
          <w:color w:val="000000"/>
          <w:sz w:val="18"/>
        </w:rPr>
      </w:pPr>
      <w:r>
        <w:rPr>
          <w:rFonts w:ascii="Work Sans;sans-serif" w:hAnsi="Work Sans;sans-serif"/>
          <w:b w:val="false"/>
          <w:color w:val="000000"/>
          <w:sz w:val="18"/>
        </w:rPr>
        <w:t>accelerated filer,” “accelerated filer,” “smaller reporting company” and “emerging growth company” in Rule 12b-2 of the Exchange Act:</w:t>
      </w:r>
    </w:p>
    <w:tbl>
      <w:tblPr>
        <w:tblW w:w="5548" w:type="dxa"/>
        <w:jc w:val="left"/>
        <w:tblInd w:w="0" w:type="dxa"/>
        <w:tblLayout w:type="fixed"/>
        <w:tblCellMar>
          <w:top w:w="28" w:type="dxa"/>
          <w:left w:w="28" w:type="dxa"/>
          <w:bottom w:w="28" w:type="dxa"/>
          <w:right w:w="28" w:type="dxa"/>
        </w:tblCellMar>
      </w:tblPr>
      <w:tblGrid>
        <w:gridCol w:w="777"/>
        <w:gridCol w:w="683"/>
        <w:gridCol w:w="685"/>
        <w:gridCol w:w="109"/>
        <w:gridCol w:w="109"/>
        <w:gridCol w:w="109"/>
        <w:gridCol w:w="864"/>
        <w:gridCol w:w="864"/>
        <w:gridCol w:w="867"/>
        <w:gridCol w:w="140"/>
        <w:gridCol w:w="140"/>
        <w:gridCol w:w="201"/>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40" w:after="40"/>
              <w:jc w:val="left"/>
              <w:rPr>
                <w:color w:val="000000"/>
              </w:rPr>
            </w:pPr>
            <w:r>
              <w:rPr>
                <w:color w:val="000000"/>
              </w:rPr>
              <w:t>☒</w:t>
            </w:r>
          </w:p>
        </w:tc>
        <w:tc>
          <w:tcPr>
            <w:tcW w:w="2595" w:type="dxa"/>
            <w:gridSpan w:val="3"/>
            <w:tcBorders/>
            <w:tcMar>
              <w:top w:w="0" w:type="dxa"/>
              <w:left w:w="0" w:type="dxa"/>
              <w:bottom w:w="0" w:type="dxa"/>
              <w:right w:w="0" w:type="dxa"/>
            </w:tcMar>
            <w:vAlign w:val="center"/>
          </w:tcPr>
          <w:p>
            <w:pPr>
              <w:pStyle w:val="TableContents"/>
              <w:bidi w:val="0"/>
              <w:spacing w:lineRule="auto" w:line="288" w:before="40" w:after="40"/>
              <w:jc w:val="both"/>
              <w:rPr>
                <w:rFonts w:ascii="Work Sans;sans-serif" w:hAnsi="Work Sans;sans-serif"/>
                <w:b w:val="false"/>
                <w:color w:val="000000"/>
                <w:sz w:val="18"/>
              </w:rPr>
            </w:pPr>
            <w:r>
              <w:rPr>
                <w:rFonts w:ascii="Work Sans;sans-serif" w:hAnsi="Work Sans;sans-serif"/>
                <w:b w:val="false"/>
                <w:color w:val="000000"/>
                <w:sz w:val="18"/>
              </w:rPr>
              <w:t>Accelerated filer</w:t>
            </w:r>
          </w:p>
        </w:tc>
        <w:tc>
          <w:tcPr>
            <w:tcW w:w="481" w:type="dxa"/>
            <w:gridSpan w:val="3"/>
            <w:tcBorders/>
            <w:tcMar>
              <w:top w:w="0" w:type="dxa"/>
              <w:left w:w="0" w:type="dxa"/>
              <w:bottom w:w="0" w:type="dxa"/>
              <w:right w:w="0" w:type="dxa"/>
            </w:tcMar>
            <w:vAlign w:val="center"/>
          </w:tcPr>
          <w:p>
            <w:pPr>
              <w:pStyle w:val="TableContents"/>
              <w:bidi w:val="0"/>
              <w:spacing w:lineRule="auto" w:line="288" w:before="120" w:after="120"/>
              <w:jc w:val="left"/>
              <w:rPr>
                <w:color w:val="000000"/>
              </w:rPr>
            </w:pPr>
            <w:r>
              <w:rPr>
                <w:color w:val="000000"/>
              </w:rPr>
              <w:t>  ☐</w:t>
            </w:r>
          </w:p>
        </w:tc>
      </w:tr>
      <w:tr>
        <w:trPr/>
        <w:tc>
          <w:tcPr>
            <w:tcW w:w="2145" w:type="dxa"/>
            <w:gridSpan w:val="3"/>
            <w:tcBorders/>
            <w:tcMar>
              <w:top w:w="0" w:type="dxa"/>
              <w:left w:w="0" w:type="dxa"/>
              <w:bottom w:w="0" w:type="dxa"/>
              <w:right w:w="0" w:type="dxa"/>
            </w:tcMar>
            <w:vAlign w:val="center"/>
          </w:tcPr>
          <w:p>
            <w:pPr>
              <w:pStyle w:val="TableContents"/>
              <w:bidi w:val="0"/>
              <w:spacing w:lineRule="auto" w:line="288" w:before="40" w:after="40"/>
              <w:jc w:val="both"/>
              <w:rPr>
                <w:rFonts w:ascii="Work Sans;sans-serif" w:hAnsi="Work Sans;sans-serif"/>
                <w:b w:val="false"/>
                <w:color w:val="000000"/>
                <w:sz w:val="18"/>
              </w:rPr>
            </w:pPr>
            <w:r>
              <w:rPr>
                <w:rFonts w:ascii="Work Sans;sans-serif" w:hAnsi="Work Sans;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120" w:after="120"/>
              <w:jc w:val="left"/>
              <w:rPr>
                <w:color w:val="000000"/>
              </w:rPr>
            </w:pPr>
            <w:r>
              <w:rPr>
                <w:color w:val="000000"/>
              </w:rPr>
              <w:t>☐</w:t>
            </w:r>
          </w:p>
        </w:tc>
        <w:tc>
          <w:tcPr>
            <w:tcW w:w="2595" w:type="dxa"/>
            <w:gridSpan w:val="3"/>
            <w:tcBorders/>
            <w:tcMar>
              <w:top w:w="0" w:type="dxa"/>
              <w:left w:w="0" w:type="dxa"/>
              <w:bottom w:w="0" w:type="dxa"/>
              <w:right w:w="0" w:type="dxa"/>
            </w:tcMar>
            <w:vAlign w:val="center"/>
          </w:tcPr>
          <w:p>
            <w:pPr>
              <w:pStyle w:val="TableContents"/>
              <w:bidi w:val="0"/>
              <w:spacing w:lineRule="auto" w:line="288" w:before="40" w:after="40"/>
              <w:jc w:val="both"/>
              <w:rPr>
                <w:rFonts w:ascii="Work Sans;sans-serif" w:hAnsi="Work Sans;sans-serif"/>
                <w:b w:val="false"/>
                <w:color w:val="000000"/>
                <w:sz w:val="18"/>
              </w:rPr>
            </w:pPr>
            <w:r>
              <w:rPr>
                <w:rFonts w:ascii="Work Sans;sans-serif" w:hAnsi="Work Sans;sans-serif"/>
                <w:b w:val="false"/>
                <w:color w:val="000000"/>
                <w:sz w:val="18"/>
              </w:rPr>
              <w:t>Smaller reporting company</w:t>
            </w:r>
          </w:p>
        </w:tc>
        <w:tc>
          <w:tcPr>
            <w:tcW w:w="481" w:type="dxa"/>
            <w:gridSpan w:val="3"/>
            <w:tcBorders/>
            <w:tcMar>
              <w:top w:w="0" w:type="dxa"/>
              <w:left w:w="0" w:type="dxa"/>
              <w:bottom w:w="0" w:type="dxa"/>
              <w:right w:w="0" w:type="dxa"/>
            </w:tcMar>
            <w:vAlign w:val="center"/>
          </w:tcPr>
          <w:p>
            <w:pPr>
              <w:pStyle w:val="TableContents"/>
              <w:bidi w:val="0"/>
              <w:spacing w:lineRule="auto" w:line="288" w:before="120" w:after="120"/>
              <w:jc w:val="left"/>
              <w:rPr>
                <w:color w:val="000000"/>
              </w:rPr>
            </w:pPr>
            <w:r>
              <w:rPr>
                <w:color w:val="000000"/>
              </w:rPr>
              <w:t>  ☐</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88" w:before="40" w:after="40"/>
              <w:jc w:val="both"/>
              <w:rPr>
                <w:rFonts w:ascii="Work Sans;sans-serif" w:hAnsi="Work Sans;sans-serif"/>
                <w:b w:val="false"/>
                <w:color w:val="000000"/>
                <w:sz w:val="18"/>
              </w:rPr>
            </w:pPr>
            <w:r>
              <w:rPr>
                <w:rFonts w:ascii="Work Sans;sans-serif" w:hAnsi="Work Sans;sans-serif"/>
                <w:b w:val="false"/>
                <w:color w:val="000000"/>
                <w:sz w:val="18"/>
              </w:rPr>
              <w:t>Emerging growth company</w:t>
            </w:r>
          </w:p>
        </w:tc>
        <w:tc>
          <w:tcPr>
            <w:tcW w:w="481" w:type="dxa"/>
            <w:gridSpan w:val="3"/>
            <w:tcBorders/>
            <w:tcMar>
              <w:top w:w="0" w:type="dxa"/>
              <w:left w:w="0" w:type="dxa"/>
              <w:bottom w:w="0" w:type="dxa"/>
              <w:right w:w="0" w:type="dxa"/>
            </w:tcMar>
            <w:vAlign w:val="center"/>
          </w:tcPr>
          <w:p>
            <w:pPr>
              <w:pStyle w:val="TableContents"/>
              <w:bidi w:val="0"/>
              <w:spacing w:lineRule="auto" w:line="288" w:before="120" w:after="120"/>
              <w:jc w:val="left"/>
              <w:rPr>
                <w:color w:val="000000"/>
              </w:rPr>
            </w:pPr>
            <w:r>
              <w:rPr>
                <w:color w:val="000000"/>
              </w:rPr>
              <w:t>  ☐</w:t>
            </w:r>
          </w:p>
        </w:tc>
      </w:tr>
    </w:tbl>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 </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Indicate by check mark whether the registrant is a shell company (as defined in Rule 12b-2 of the Act). Yes   ☐   No  ☒</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The aggregate market value of voting stock held by non-affiliates of the Registrant on June 30, 2025, based on the closing price of $8.91 for shares of the Registrant’s common stock as reported by the Nasdaq Global Select Market, was approximately $1.3 billion. The determination of affiliate status for purposes of calculating the aggregate market value of our voting stock held by non-affiliates is not necessarily a conclusive determination for other purposes.</w:t>
      </w:r>
    </w:p>
    <w:p>
      <w:pPr>
        <w:pStyle w:val="TextBody"/>
        <w:bidi w:val="0"/>
        <w:spacing w:lineRule="auto" w:line="288" w:before="120" w:after="120"/>
        <w:jc w:val="left"/>
        <w:rPr/>
      </w:pPr>
      <w:r>
        <w:rPr>
          <w:rFonts w:ascii="Work Sans;sans-serif" w:hAnsi="Work Sans;sans-serif"/>
          <w:b w:val="false"/>
          <w:color w:val="000000"/>
          <w:sz w:val="18"/>
        </w:rPr>
        <w:t>The registrant had outstanding 172,922,380 shares of common stock as of February 13, 2026</w:t>
      </w:r>
      <w:r>
        <w:rPr>
          <w:rFonts w:ascii="Work Sans;sans-serif" w:hAnsi="Work Sans;sans-serif"/>
          <w:b w:val="false"/>
          <w:color w:val="000000"/>
          <w:sz w:val="18"/>
          <w:shd w:fill="FFFFFF" w:val="clear"/>
        </w:rPr>
        <w:t>.</w:t>
      </w:r>
    </w:p>
    <w:p>
      <w:pPr>
        <w:pStyle w:val="TextBody"/>
        <w:bidi w:val="0"/>
        <w:spacing w:lineRule="auto" w:line="288" w:before="200" w:after="120"/>
        <w:jc w:val="center"/>
        <w:rPr>
          <w:rFonts w:ascii="Work Sans;sans-serif" w:hAnsi="Work Sans;sans-serif"/>
          <w:b w:val="false"/>
          <w:color w:val="000000"/>
          <w:sz w:val="18"/>
        </w:rPr>
      </w:pPr>
      <w:r>
        <w:rPr>
          <w:rFonts w:ascii="Work Sans;sans-serif" w:hAnsi="Work Sans;sans-serif"/>
          <w:b w:val="false"/>
          <w:color w:val="000000"/>
          <w:sz w:val="18"/>
        </w:rPr>
        <w:t>DOCUMENTS INCORPORATED BY REFERENCE</w:t>
      </w:r>
    </w:p>
    <w:p>
      <w:pPr>
        <w:pStyle w:val="TextBody"/>
        <w:bidi w:val="0"/>
        <w:spacing w:lineRule="auto" w:line="288" w:before="200" w:after="120"/>
        <w:jc w:val="left"/>
        <w:rPr>
          <w:rFonts w:ascii="Work Sans;sans-serif" w:hAnsi="Work Sans;sans-serif"/>
          <w:b w:val="false"/>
          <w:color w:val="000000"/>
          <w:sz w:val="18"/>
        </w:rPr>
      </w:pPr>
      <w:r>
        <w:rPr>
          <w:rFonts w:ascii="Work Sans;sans-serif" w:hAnsi="Work Sans;sans-serif"/>
          <w:b w:val="false"/>
          <w:color w:val="000000"/>
          <w:sz w:val="18"/>
        </w:rPr>
        <w:t>Portions of the Registrant’s Definitive Proxy Statement relating to its 2026 Annual Meeting of Stockholders are incorporated by reference into Part III of this Annual Report on Form 10-K to the extent stated herein. The Definitive Proxy Statement will be filed with the SEC within 120 days of the Registrant’s fiscal year ended December 31, 2025.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95abc371504b0c870ec70b69a704b5_7">
        <w:r>
          <w:rPr>
            <w:rStyle w:val="InternetLink"/>
            <w:rFonts w:ascii="Work Sans;sans-serif" w:hAnsi="Work Sans;sans-serif"/>
            <w:b w:val="false"/>
            <w:color w:val="0000FF"/>
            <w:sz w:val="18"/>
            <w:u w:val="single"/>
          </w:rPr>
          <w:t>Table of Contents</w:t>
        </w:r>
      </w:hyperlink>
    </w:p>
    <w:p>
      <w:pPr>
        <w:pStyle w:val="TextBody"/>
        <w:bidi w:val="0"/>
        <w:spacing w:lineRule="auto" w:line="288" w:before="360" w:after="283"/>
        <w:jc w:val="center"/>
        <w:rPr>
          <w:rFonts w:ascii="Work Sans;sans-serif" w:hAnsi="Work Sans;sans-serif"/>
          <w:b/>
          <w:color w:val="000000"/>
          <w:sz w:val="18"/>
        </w:rPr>
      </w:pPr>
      <w:r>
        <w:rPr>
          <w:rFonts w:ascii="Work Sans;sans-serif" w:hAnsi="Work Sans;sans-serif"/>
          <w:b/>
          <w:color w:val="000000"/>
          <w:sz w:val="18"/>
        </w:rPr>
        <w:t>TABLE OF CONTENTS</w:t>
      </w:r>
    </w:p>
    <w:tbl>
      <w:tblPr>
        <w:tblW w:w="10205" w:type="dxa"/>
        <w:jc w:val="left"/>
        <w:tblInd w:w="0" w:type="dxa"/>
        <w:tblLayout w:type="fixed"/>
        <w:tblCellMar>
          <w:top w:w="28" w:type="dxa"/>
          <w:left w:w="28" w:type="dxa"/>
          <w:bottom w:w="28" w:type="dxa"/>
          <w:right w:w="28" w:type="dxa"/>
        </w:tblCellMar>
      </w:tblPr>
      <w:tblGrid>
        <w:gridCol w:w="320"/>
        <w:gridCol w:w="268"/>
        <w:gridCol w:w="269"/>
        <w:gridCol w:w="2959"/>
        <w:gridCol w:w="2898"/>
        <w:gridCol w:w="2902"/>
        <w:gridCol w:w="171"/>
        <w:gridCol w:w="171"/>
        <w:gridCol w:w="247"/>
      </w:tblGrid>
      <w:tr>
        <w:trPr/>
        <w:tc>
          <w:tcPr>
            <w:tcW w:w="32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c>
          <w:tcPr>
            <w:tcW w:w="290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Page</w:t>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95abc371504b0c870ec70b69a704b5_16">
              <w:r>
                <w:rPr>
                  <w:rStyle w:val="InternetLink"/>
                  <w:rFonts w:ascii="Work Sans;sans-serif" w:hAnsi="Work Sans;sans-serif"/>
                  <w:b/>
                  <w:color w:val="0000FF"/>
                  <w:sz w:val="18"/>
                  <w:u w:val="single"/>
                </w:rPr>
                <w:t>Part I</w:t>
              </w:r>
            </w:hyperlink>
          </w:p>
        </w:tc>
        <w:tc>
          <w:tcPr>
            <w:tcW w:w="8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95abc371504b0c870ec70b69a704b5_19">
              <w:r>
                <w:rPr>
                  <w:rStyle w:val="InternetLink"/>
                  <w:rFonts w:ascii="Work Sans;sans-serif" w:hAnsi="Work Sans;sans-serif"/>
                  <w:b w:val="false"/>
                  <w:color w:val="0000FF"/>
                  <w:sz w:val="18"/>
                  <w:u w:val="single"/>
                </w:rPr>
                <w:t>Item 1.</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195abc371504b0c870ec70b69a704b5_19">
              <w:r>
                <w:rPr>
                  <w:rStyle w:val="InternetLink"/>
                  <w:rFonts w:ascii="Work Sans;sans-serif" w:hAnsi="Work Sans;sans-serif"/>
                  <w:b w:val="false"/>
                  <w:color w:val="0000FF"/>
                  <w:sz w:val="18"/>
                  <w:u w:val="single"/>
                </w:rPr>
                <w:t>Business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95abc371504b0c870ec70b69a704b5_19">
              <w:r>
                <w:rPr>
                  <w:rStyle w:val="InternetLink"/>
                  <w:rFonts w:ascii="Work Sans;sans-serif" w:hAnsi="Work Sans;sans-serif"/>
                  <w:b w:val="false"/>
                  <w:color w:val="0000FF"/>
                  <w:sz w:val="18"/>
                  <w:u w:val="single"/>
                </w:rPr>
                <w:t>2</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95abc371504b0c870ec70b69a704b5_22">
              <w:r>
                <w:rPr>
                  <w:rStyle w:val="InternetLink"/>
                  <w:rFonts w:ascii="Work Sans;sans-serif" w:hAnsi="Work Sans;sans-serif"/>
                  <w:b w:val="false"/>
                  <w:color w:val="0000FF"/>
                  <w:sz w:val="18"/>
                  <w:u w:val="single"/>
                </w:rPr>
                <w:t>Item 1A.</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195abc371504b0c870ec70b69a704b5_22">
              <w:r>
                <w:rPr>
                  <w:rStyle w:val="InternetLink"/>
                  <w:rFonts w:ascii="Work Sans;sans-serif" w:hAnsi="Work Sans;sans-serif"/>
                  <w:b w:val="false"/>
                  <w:color w:val="0000FF"/>
                  <w:sz w:val="18"/>
                  <w:u w:val="single"/>
                </w:rPr>
                <w:t>Risk Factors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95abc371504b0c870ec70b69a704b5_22">
              <w:r>
                <w:rPr>
                  <w:rStyle w:val="InternetLink"/>
                  <w:rFonts w:ascii="Work Sans;sans-serif" w:hAnsi="Work Sans;sans-serif"/>
                  <w:b w:val="false"/>
                  <w:color w:val="0000FF"/>
                  <w:sz w:val="18"/>
                  <w:u w:val="single"/>
                </w:rPr>
                <w:t>11</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95abc371504b0c870ec70b69a704b5_25">
              <w:r>
                <w:rPr>
                  <w:rStyle w:val="InternetLink"/>
                  <w:rFonts w:ascii="Work Sans;sans-serif" w:hAnsi="Work Sans;sans-serif"/>
                  <w:b w:val="false"/>
                  <w:color w:val="0000FF"/>
                  <w:sz w:val="18"/>
                  <w:u w:val="single"/>
                </w:rPr>
                <w:t>Item 1B.</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195abc371504b0c870ec70b69a704b5_25">
              <w:r>
                <w:rPr>
                  <w:rStyle w:val="InternetLink"/>
                  <w:rFonts w:ascii="Work Sans;sans-serif" w:hAnsi="Work Sans;sans-serif"/>
                  <w:b w:val="false"/>
                  <w:color w:val="0000FF"/>
                  <w:sz w:val="18"/>
                  <w:u w:val="single"/>
                </w:rPr>
                <w:t xml:space="preserve">Unresolved Staff Comments </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95abc371504b0c870ec70b69a704b5_25">
              <w:r>
                <w:rPr>
                  <w:rStyle w:val="InternetLink"/>
                  <w:rFonts w:ascii="Work Sans;sans-serif" w:hAnsi="Work Sans;sans-serif"/>
                  <w:b w:val="false"/>
                  <w:color w:val="0000FF"/>
                  <w:sz w:val="18"/>
                  <w:u w:val="single"/>
                </w:rPr>
                <w:t>31</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195abc371504b0c870ec70b69a704b5_28">
              <w:r>
                <w:rPr>
                  <w:rStyle w:val="InternetLink"/>
                  <w:rFonts w:ascii="Work Sans;sans-serif" w:hAnsi="Work Sans;sans-serif"/>
                  <w:b w:val="false"/>
                  <w:color w:val="0000FF"/>
                  <w:sz w:val="18"/>
                  <w:u w:val="single"/>
                </w:rPr>
                <w:t>Item 1C.</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195abc371504b0c870ec70b69a704b5_28">
              <w:r>
                <w:rPr>
                  <w:rStyle w:val="InternetLink"/>
                  <w:rFonts w:ascii="Work Sans;sans-serif" w:hAnsi="Work Sans;sans-serif"/>
                  <w:b w:val="false"/>
                  <w:color w:val="0000FF"/>
                  <w:sz w:val="18"/>
                  <w:u w:val="single"/>
                </w:rPr>
                <w:t>Cybersecurity</w:t>
              </w:r>
            </w:hyperlink>
          </w:p>
        </w:tc>
        <w:tc>
          <w:tcPr>
            <w:tcW w:w="58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195abc371504b0c870ec70b69a704b5_28">
              <w:r>
                <w:rPr>
                  <w:rStyle w:val="InternetLink"/>
                  <w:rFonts w:ascii="Work Sans;sans-serif" w:hAnsi="Work Sans;sans-serif"/>
                  <w:b w:val="false"/>
                  <w:color w:val="0000FF"/>
                  <w:sz w:val="18"/>
                  <w:u w:val="single"/>
                </w:rPr>
                <w:t>30</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95abc371504b0c870ec70b69a704b5_31">
              <w:r>
                <w:rPr>
                  <w:rStyle w:val="InternetLink"/>
                  <w:rFonts w:ascii="Work Sans;sans-serif" w:hAnsi="Work Sans;sans-serif"/>
                  <w:b w:val="false"/>
                  <w:color w:val="0000FF"/>
                  <w:sz w:val="18"/>
                  <w:u w:val="single"/>
                </w:rPr>
                <w:t>Item 2.</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195abc371504b0c870ec70b69a704b5_31">
              <w:r>
                <w:rPr>
                  <w:rStyle w:val="InternetLink"/>
                  <w:rFonts w:ascii="Work Sans;sans-serif" w:hAnsi="Work Sans;sans-serif"/>
                  <w:b w:val="false"/>
                  <w:color w:val="0000FF"/>
                  <w:sz w:val="18"/>
                  <w:u w:val="single"/>
                </w:rPr>
                <w:t>Properties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95abc371504b0c870ec70b69a704b5_31">
              <w:r>
                <w:rPr>
                  <w:rStyle w:val="InternetLink"/>
                  <w:rFonts w:ascii="Work Sans;sans-serif" w:hAnsi="Work Sans;sans-serif"/>
                  <w:b w:val="false"/>
                  <w:color w:val="0000FF"/>
                  <w:sz w:val="18"/>
                  <w:u w:val="single"/>
                </w:rPr>
                <w:t>33</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95abc371504b0c870ec70b69a704b5_34">
              <w:r>
                <w:rPr>
                  <w:rStyle w:val="InternetLink"/>
                  <w:rFonts w:ascii="Work Sans;sans-serif" w:hAnsi="Work Sans;sans-serif"/>
                  <w:b w:val="false"/>
                  <w:color w:val="0000FF"/>
                  <w:sz w:val="18"/>
                  <w:u w:val="single"/>
                </w:rPr>
                <w:t>Item 3.</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195abc371504b0c870ec70b69a704b5_34">
              <w:r>
                <w:rPr>
                  <w:rStyle w:val="InternetLink"/>
                  <w:rFonts w:ascii="Work Sans;sans-serif" w:hAnsi="Work Sans;sans-serif"/>
                  <w:b w:val="false"/>
                  <w:color w:val="0000FF"/>
                  <w:sz w:val="18"/>
                  <w:u w:val="single"/>
                </w:rPr>
                <w:t>Legal Proceedings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95abc371504b0c870ec70b69a704b5_34">
              <w:r>
                <w:rPr>
                  <w:rStyle w:val="InternetLink"/>
                  <w:rFonts w:ascii="Work Sans;sans-serif" w:hAnsi="Work Sans;sans-serif"/>
                  <w:b w:val="false"/>
                  <w:color w:val="0000FF"/>
                  <w:sz w:val="18"/>
                  <w:u w:val="single"/>
                </w:rPr>
                <w:t>33</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95abc371504b0c870ec70b69a704b5_37">
              <w:r>
                <w:rPr>
                  <w:rStyle w:val="InternetLink"/>
                  <w:rFonts w:ascii="Work Sans;sans-serif" w:hAnsi="Work Sans;sans-serif"/>
                  <w:b w:val="false"/>
                  <w:color w:val="0000FF"/>
                  <w:sz w:val="18"/>
                  <w:u w:val="single"/>
                </w:rPr>
                <w:t>Item 4.</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195abc371504b0c870ec70b69a704b5_37">
              <w:r>
                <w:rPr>
                  <w:rStyle w:val="InternetLink"/>
                  <w:rFonts w:ascii="Work Sans;sans-serif" w:hAnsi="Work Sans;sans-serif"/>
                  <w:b w:val="false"/>
                  <w:color w:val="0000FF"/>
                  <w:sz w:val="18"/>
                  <w:u w:val="single"/>
                </w:rPr>
                <w:t xml:space="preserve">Mine Safety Disclosures </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95abc371504b0c870ec70b69a704b5_37">
              <w:r>
                <w:rPr>
                  <w:rStyle w:val="InternetLink"/>
                  <w:rFonts w:ascii="Work Sans;sans-serif" w:hAnsi="Work Sans;sans-serif"/>
                  <w:b w:val="false"/>
                  <w:color w:val="0000FF"/>
                  <w:sz w:val="18"/>
                  <w:u w:val="single"/>
                </w:rPr>
                <w:t>33</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95abc371504b0c870ec70b69a704b5_40">
              <w:r>
                <w:rPr>
                  <w:rStyle w:val="InternetLink"/>
                  <w:rFonts w:ascii="Work Sans;sans-serif" w:hAnsi="Work Sans;sans-serif"/>
                  <w:b/>
                  <w:color w:val="0000FF"/>
                  <w:sz w:val="18"/>
                  <w:u w:val="single"/>
                </w:rPr>
                <w:t>Part II</w:t>
              </w:r>
            </w:hyperlink>
          </w:p>
        </w:tc>
        <w:tc>
          <w:tcPr>
            <w:tcW w:w="8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95abc371504b0c870ec70b69a704b5_43">
              <w:r>
                <w:rPr>
                  <w:rStyle w:val="InternetLink"/>
                  <w:rFonts w:ascii="Work Sans;sans-serif" w:hAnsi="Work Sans;sans-serif"/>
                  <w:b w:val="false"/>
                  <w:color w:val="0000FF"/>
                  <w:sz w:val="18"/>
                  <w:u w:val="single"/>
                </w:rPr>
                <w:t>Item 5.</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pPr>
            <w:hyperlink w:anchor="ia195abc371504b0c870ec70b69a704b5_43">
              <w:r>
                <w:rPr>
                  <w:rStyle w:val="InternetLink"/>
                  <w:rFonts w:ascii="Work Sans;sans-serif" w:hAnsi="Work Sans;sans-serif"/>
                  <w:b w:val="false"/>
                  <w:color w:val="0000FF"/>
                  <w:sz w:val="18"/>
                  <w:u w:val="single"/>
                </w:rPr>
                <w:t>Market for Registrant's Common Equity, Related Stockholder Matters and Issuer Purchases of Equity Securities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95abc371504b0c870ec70b69a704b5_43">
              <w:r>
                <w:rPr>
                  <w:rStyle w:val="InternetLink"/>
                  <w:rFonts w:ascii="Work Sans;sans-serif" w:hAnsi="Work Sans;sans-serif"/>
                  <w:b w:val="false"/>
                  <w:color w:val="0000FF"/>
                  <w:sz w:val="18"/>
                  <w:u w:val="single"/>
                </w:rPr>
                <w:t>34</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95abc371504b0c870ec70b69a704b5_46">
              <w:r>
                <w:rPr>
                  <w:rStyle w:val="InternetLink"/>
                  <w:rFonts w:ascii="Work Sans;sans-serif" w:hAnsi="Work Sans;sans-serif"/>
                  <w:b w:val="false"/>
                  <w:color w:val="0000FF"/>
                  <w:sz w:val="18"/>
                  <w:u w:val="single"/>
                </w:rPr>
                <w:t>Item 6.</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Work Sans;sans-serif" w:hAnsi="Work Sans;sans-serif"/>
                <w:b w:val="false"/>
                <w:color w:val="000000"/>
                <w:sz w:val="18"/>
              </w:rPr>
              <w:t>[</w:t>
            </w:r>
            <w:hyperlink w:anchor="ia195abc371504b0c870ec70b69a704b5_46">
              <w:r>
                <w:rPr>
                  <w:rStyle w:val="InternetLink"/>
                  <w:rFonts w:ascii="Work Sans;sans-serif" w:hAnsi="Work Sans;sans-serif"/>
                  <w:b w:val="false"/>
                  <w:color w:val="0000FF"/>
                  <w:sz w:val="18"/>
                  <w:u w:val="single"/>
                </w:rPr>
                <w:t>Reserved</w:t>
              </w:r>
            </w:hyperlink>
            <w:r>
              <w:rPr>
                <w:rFonts w:ascii="Work Sans;sans-serif" w:hAnsi="Work Sans;sans-serif"/>
                <w:b w:val="false"/>
                <w:color w:val="000000"/>
                <w:sz w:val="18"/>
              </w:rPr>
              <w:t>]</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95abc371504b0c870ec70b69a704b5_46">
              <w:r>
                <w:rPr>
                  <w:rStyle w:val="InternetLink"/>
                  <w:rFonts w:ascii="Work Sans;sans-serif" w:hAnsi="Work Sans;sans-serif"/>
                  <w:b w:val="false"/>
                  <w:color w:val="0000FF"/>
                  <w:sz w:val="18"/>
                  <w:u w:val="single"/>
                </w:rPr>
                <w:t>35</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95abc371504b0c870ec70b69a704b5_49">
              <w:r>
                <w:rPr>
                  <w:rStyle w:val="InternetLink"/>
                  <w:rFonts w:ascii="Work Sans;sans-serif" w:hAnsi="Work Sans;sans-serif"/>
                  <w:b w:val="false"/>
                  <w:color w:val="0000FF"/>
                  <w:sz w:val="18"/>
                  <w:u w:val="single"/>
                </w:rPr>
                <w:t>Item 7.</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195abc371504b0c870ec70b69a704b5_49">
              <w:r>
                <w:rPr>
                  <w:rStyle w:val="InternetLink"/>
                  <w:rFonts w:ascii="Work Sans;sans-serif" w:hAnsi="Work Sans;sans-serif"/>
                  <w:b w:val="false"/>
                  <w:color w:val="0000FF"/>
                  <w:sz w:val="18"/>
                  <w:u w:val="single"/>
                </w:rPr>
                <w:t>Management's Discussion and Analysis of Financial Condition and Results of Operations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95abc371504b0c870ec70b69a704b5_49">
              <w:r>
                <w:rPr>
                  <w:rStyle w:val="InternetLink"/>
                  <w:rFonts w:ascii="Work Sans;sans-serif" w:hAnsi="Work Sans;sans-serif"/>
                  <w:b w:val="false"/>
                  <w:color w:val="0000FF"/>
                  <w:sz w:val="18"/>
                  <w:u w:val="single"/>
                </w:rPr>
                <w:t>36</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95abc371504b0c870ec70b69a704b5_88">
              <w:r>
                <w:rPr>
                  <w:rStyle w:val="InternetLink"/>
                  <w:rFonts w:ascii="Work Sans;sans-serif" w:hAnsi="Work Sans;sans-serif"/>
                  <w:b w:val="false"/>
                  <w:color w:val="0000FF"/>
                  <w:sz w:val="18"/>
                  <w:u w:val="single"/>
                </w:rPr>
                <w:t>Item 7A.</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195abc371504b0c870ec70b69a704b5_88">
              <w:r>
                <w:rPr>
                  <w:rStyle w:val="InternetLink"/>
                  <w:rFonts w:ascii="Work Sans;sans-serif" w:hAnsi="Work Sans;sans-serif"/>
                  <w:b w:val="false"/>
                  <w:color w:val="0000FF"/>
                  <w:sz w:val="18"/>
                  <w:u w:val="single"/>
                </w:rPr>
                <w:t>Quantitative and Qualitative Disclosures About Market Risk</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95abc371504b0c870ec70b69a704b5_88">
              <w:r>
                <w:rPr>
                  <w:rStyle w:val="InternetLink"/>
                  <w:rFonts w:ascii="Work Sans;sans-serif" w:hAnsi="Work Sans;sans-serif"/>
                  <w:b w:val="false"/>
                  <w:color w:val="0000FF"/>
                  <w:sz w:val="18"/>
                  <w:u w:val="single"/>
                </w:rPr>
                <w:t>56</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95abc371504b0c870ec70b69a704b5_91">
              <w:r>
                <w:rPr>
                  <w:rStyle w:val="InternetLink"/>
                  <w:rFonts w:ascii="Work Sans;sans-serif" w:hAnsi="Work Sans;sans-serif"/>
                  <w:b w:val="false"/>
                  <w:color w:val="0000FF"/>
                  <w:sz w:val="18"/>
                  <w:u w:val="single"/>
                </w:rPr>
                <w:t>Item 8.</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195abc371504b0c870ec70b69a704b5_91">
              <w:r>
                <w:rPr>
                  <w:rStyle w:val="InternetLink"/>
                  <w:rFonts w:ascii="Work Sans;sans-serif" w:hAnsi="Work Sans;sans-serif"/>
                  <w:b w:val="false"/>
                  <w:color w:val="0000FF"/>
                  <w:sz w:val="18"/>
                  <w:u w:val="single"/>
                </w:rPr>
                <w:t xml:space="preserve">Financial Statements and Supplementary Data </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95abc371504b0c870ec70b69a704b5_91">
              <w:r>
                <w:rPr>
                  <w:rStyle w:val="InternetLink"/>
                  <w:rFonts w:ascii="Work Sans;sans-serif" w:hAnsi="Work Sans;sans-serif"/>
                  <w:b w:val="false"/>
                  <w:color w:val="0000FF"/>
                  <w:sz w:val="18"/>
                  <w:u w:val="single"/>
                </w:rPr>
                <w:t>57</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95abc371504b0c870ec70b69a704b5_202">
              <w:r>
                <w:rPr>
                  <w:rStyle w:val="InternetLink"/>
                  <w:rFonts w:ascii="Work Sans;sans-serif" w:hAnsi="Work Sans;sans-serif"/>
                  <w:b w:val="false"/>
                  <w:color w:val="0000FF"/>
                  <w:sz w:val="18"/>
                  <w:u w:val="single"/>
                </w:rPr>
                <w:t>Item 9.</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195abc371504b0c870ec70b69a704b5_202">
              <w:r>
                <w:rPr>
                  <w:rStyle w:val="InternetLink"/>
                  <w:rFonts w:ascii="Work Sans;sans-serif" w:hAnsi="Work Sans;sans-serif"/>
                  <w:b w:val="false"/>
                  <w:color w:val="0000FF"/>
                  <w:sz w:val="18"/>
                  <w:u w:val="single"/>
                </w:rPr>
                <w:t>Changes in and Disagreements With Accountants on Accounting and Financial Disclosures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95abc371504b0c870ec70b69a704b5_202">
              <w:r>
                <w:rPr>
                  <w:rStyle w:val="InternetLink"/>
                  <w:rFonts w:ascii="Work Sans;sans-serif" w:hAnsi="Work Sans;sans-serif"/>
                  <w:b w:val="false"/>
                  <w:color w:val="0000FF"/>
                  <w:sz w:val="18"/>
                  <w:u w:val="single"/>
                </w:rPr>
                <w:t>100</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95abc371504b0c870ec70b69a704b5_205">
              <w:r>
                <w:rPr>
                  <w:rStyle w:val="InternetLink"/>
                  <w:rFonts w:ascii="Work Sans;sans-serif" w:hAnsi="Work Sans;sans-serif"/>
                  <w:b w:val="false"/>
                  <w:color w:val="0000FF"/>
                  <w:sz w:val="18"/>
                  <w:u w:val="single"/>
                </w:rPr>
                <w:t>Item 9A.</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195abc371504b0c870ec70b69a704b5_205">
              <w:r>
                <w:rPr>
                  <w:rStyle w:val="InternetLink"/>
                  <w:rFonts w:ascii="Work Sans;sans-serif" w:hAnsi="Work Sans;sans-serif"/>
                  <w:b w:val="false"/>
                  <w:color w:val="0000FF"/>
                  <w:sz w:val="18"/>
                  <w:u w:val="single"/>
                </w:rPr>
                <w:t xml:space="preserve">Controls and Procedures </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95abc371504b0c870ec70b69a704b5_205">
              <w:r>
                <w:rPr>
                  <w:rStyle w:val="InternetLink"/>
                  <w:rFonts w:ascii="Work Sans;sans-serif" w:hAnsi="Work Sans;sans-serif"/>
                  <w:b w:val="false"/>
                  <w:color w:val="0000FF"/>
                  <w:sz w:val="18"/>
                  <w:u w:val="single"/>
                </w:rPr>
                <w:t>100</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95abc371504b0c870ec70b69a704b5_208">
              <w:r>
                <w:rPr>
                  <w:rStyle w:val="InternetLink"/>
                  <w:rFonts w:ascii="Work Sans;sans-serif" w:hAnsi="Work Sans;sans-serif"/>
                  <w:b w:val="false"/>
                  <w:color w:val="0000FF"/>
                  <w:sz w:val="18"/>
                  <w:u w:val="single"/>
                </w:rPr>
                <w:t>Item 9B.</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195abc371504b0c870ec70b69a704b5_208">
              <w:r>
                <w:rPr>
                  <w:rStyle w:val="InternetLink"/>
                  <w:rFonts w:ascii="Work Sans;sans-serif" w:hAnsi="Work Sans;sans-serif"/>
                  <w:b w:val="false"/>
                  <w:color w:val="0000FF"/>
                  <w:sz w:val="18"/>
                  <w:u w:val="single"/>
                </w:rPr>
                <w:t xml:space="preserve">Other Information </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95abc371504b0c870ec70b69a704b5_208">
              <w:r>
                <w:rPr>
                  <w:rStyle w:val="InternetLink"/>
                  <w:rFonts w:ascii="Work Sans;sans-serif" w:hAnsi="Work Sans;sans-serif"/>
                  <w:b w:val="false"/>
                  <w:color w:val="0000FF"/>
                  <w:sz w:val="18"/>
                  <w:u w:val="single"/>
                </w:rPr>
                <w:t>100</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95abc371504b0c870ec70b69a704b5_211">
              <w:r>
                <w:rPr>
                  <w:rStyle w:val="InternetLink"/>
                  <w:rFonts w:ascii="Work Sans;sans-serif" w:hAnsi="Work Sans;sans-serif"/>
                  <w:b w:val="false"/>
                  <w:color w:val="0000FF"/>
                  <w:sz w:val="18"/>
                  <w:u w:val="single"/>
                </w:rPr>
                <w:t>Item 9C.</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195abc371504b0c870ec70b69a704b5_211">
              <w:r>
                <w:rPr>
                  <w:rStyle w:val="InternetLink"/>
                  <w:rFonts w:ascii="Work Sans;sans-serif" w:hAnsi="Work Sans;sans-serif"/>
                  <w:b w:val="false"/>
                  <w:color w:val="0000FF"/>
                  <w:sz w:val="18"/>
                  <w:u w:val="single"/>
                </w:rPr>
                <w:t>Disclosure Regarding Foreign Jurisdictions that Prevent Inspections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95abc371504b0c870ec70b69a704b5_211">
              <w:r>
                <w:rPr>
                  <w:rStyle w:val="InternetLink"/>
                  <w:rFonts w:ascii="Work Sans;sans-serif" w:hAnsi="Work Sans;sans-serif"/>
                  <w:b w:val="false"/>
                  <w:color w:val="0000FF"/>
                  <w:sz w:val="18"/>
                  <w:u w:val="single"/>
                </w:rPr>
                <w:t>101</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95abc371504b0c870ec70b69a704b5_214">
              <w:r>
                <w:rPr>
                  <w:rStyle w:val="InternetLink"/>
                  <w:rFonts w:ascii="Work Sans;sans-serif" w:hAnsi="Work Sans;sans-serif"/>
                  <w:b/>
                  <w:color w:val="0000FF"/>
                  <w:sz w:val="18"/>
                  <w:u w:val="single"/>
                </w:rPr>
                <w:t>Part III</w:t>
              </w:r>
            </w:hyperlink>
          </w:p>
        </w:tc>
        <w:tc>
          <w:tcPr>
            <w:tcW w:w="8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95abc371504b0c870ec70b69a704b5_217">
              <w:r>
                <w:rPr>
                  <w:rStyle w:val="InternetLink"/>
                  <w:rFonts w:ascii="Work Sans;sans-serif" w:hAnsi="Work Sans;sans-serif"/>
                  <w:b w:val="false"/>
                  <w:color w:val="0000FF"/>
                  <w:sz w:val="18"/>
                  <w:u w:val="single"/>
                </w:rPr>
                <w:t>Item 10.</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195abc371504b0c870ec70b69a704b5_217">
              <w:r>
                <w:rPr>
                  <w:rStyle w:val="InternetLink"/>
                  <w:rFonts w:ascii="Work Sans;sans-serif" w:hAnsi="Work Sans;sans-serif"/>
                  <w:b w:val="false"/>
                  <w:color w:val="0000FF"/>
                  <w:sz w:val="18"/>
                  <w:u w:val="single"/>
                </w:rPr>
                <w:t>Directors, Executive Officers and Corporate Governance</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95abc371504b0c870ec70b69a704b5_217">
              <w:r>
                <w:rPr>
                  <w:rStyle w:val="InternetLink"/>
                  <w:rFonts w:ascii="Work Sans;sans-serif" w:hAnsi="Work Sans;sans-serif"/>
                  <w:b w:val="false"/>
                  <w:color w:val="0000FF"/>
                  <w:sz w:val="18"/>
                  <w:u w:val="single"/>
                </w:rPr>
                <w:t>102</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95abc371504b0c870ec70b69a704b5_220">
              <w:r>
                <w:rPr>
                  <w:rStyle w:val="InternetLink"/>
                  <w:rFonts w:ascii="Work Sans;sans-serif" w:hAnsi="Work Sans;sans-serif"/>
                  <w:b w:val="false"/>
                  <w:color w:val="0000FF"/>
                  <w:sz w:val="18"/>
                  <w:u w:val="single"/>
                </w:rPr>
                <w:t>Item 11.</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195abc371504b0c870ec70b69a704b5_220">
              <w:r>
                <w:rPr>
                  <w:rStyle w:val="InternetLink"/>
                  <w:rFonts w:ascii="Work Sans;sans-serif" w:hAnsi="Work Sans;sans-serif"/>
                  <w:b w:val="false"/>
                  <w:color w:val="0000FF"/>
                  <w:sz w:val="18"/>
                  <w:u w:val="single"/>
                </w:rPr>
                <w:t>Executive Compensation</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95abc371504b0c870ec70b69a704b5_220">
              <w:r>
                <w:rPr>
                  <w:rStyle w:val="InternetLink"/>
                  <w:rFonts w:ascii="Work Sans;sans-serif" w:hAnsi="Work Sans;sans-serif"/>
                  <w:b w:val="false"/>
                  <w:color w:val="0000FF"/>
                  <w:sz w:val="18"/>
                  <w:u w:val="single"/>
                </w:rPr>
                <w:t>102</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95abc371504b0c870ec70b69a704b5_223">
              <w:r>
                <w:rPr>
                  <w:rStyle w:val="InternetLink"/>
                  <w:rFonts w:ascii="Work Sans;sans-serif" w:hAnsi="Work Sans;sans-serif"/>
                  <w:b w:val="false"/>
                  <w:color w:val="0000FF"/>
                  <w:sz w:val="18"/>
                  <w:u w:val="single"/>
                </w:rPr>
                <w:t>Item 12.</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pPr>
            <w:hyperlink w:anchor="ia195abc371504b0c870ec70b69a704b5_223">
              <w:r>
                <w:rPr>
                  <w:rStyle w:val="InternetLink"/>
                  <w:rFonts w:ascii="Work Sans;sans-serif" w:hAnsi="Work Sans;sans-serif"/>
                  <w:b w:val="false"/>
                  <w:color w:val="0000FF"/>
                  <w:sz w:val="18"/>
                  <w:u w:val="single"/>
                </w:rPr>
                <w:t>Security Ownership of Certain Beneficial Owners and Management and Related Stockholder Matters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95abc371504b0c870ec70b69a704b5_223">
              <w:r>
                <w:rPr>
                  <w:rStyle w:val="InternetLink"/>
                  <w:rFonts w:ascii="Work Sans;sans-serif" w:hAnsi="Work Sans;sans-serif"/>
                  <w:b w:val="false"/>
                  <w:color w:val="0000FF"/>
                  <w:sz w:val="18"/>
                  <w:u w:val="single"/>
                </w:rPr>
                <w:t>102</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95abc371504b0c870ec70b69a704b5_226">
              <w:r>
                <w:rPr>
                  <w:rStyle w:val="InternetLink"/>
                  <w:rFonts w:ascii="Work Sans;sans-serif" w:hAnsi="Work Sans;sans-serif"/>
                  <w:b w:val="false"/>
                  <w:color w:val="0000FF"/>
                  <w:sz w:val="18"/>
                  <w:u w:val="single"/>
                </w:rPr>
                <w:t>Item 13.</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195abc371504b0c870ec70b69a704b5_226">
              <w:r>
                <w:rPr>
                  <w:rStyle w:val="InternetLink"/>
                  <w:rFonts w:ascii="Work Sans;sans-serif" w:hAnsi="Work Sans;sans-serif"/>
                  <w:b w:val="false"/>
                  <w:color w:val="0000FF"/>
                  <w:sz w:val="18"/>
                  <w:u w:val="single"/>
                </w:rPr>
                <w:t>Certain Relationships and Related Transactions, and Director Independence</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95abc371504b0c870ec70b69a704b5_226">
              <w:r>
                <w:rPr>
                  <w:rStyle w:val="InternetLink"/>
                  <w:rFonts w:ascii="Work Sans;sans-serif" w:hAnsi="Work Sans;sans-serif"/>
                  <w:b w:val="false"/>
                  <w:color w:val="0000FF"/>
                  <w:sz w:val="18"/>
                  <w:u w:val="single"/>
                </w:rPr>
                <w:t>102</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95abc371504b0c870ec70b69a704b5_229">
              <w:r>
                <w:rPr>
                  <w:rStyle w:val="InternetLink"/>
                  <w:rFonts w:ascii="Work Sans;sans-serif" w:hAnsi="Work Sans;sans-serif"/>
                  <w:b w:val="false"/>
                  <w:color w:val="0000FF"/>
                  <w:sz w:val="18"/>
                  <w:u w:val="single"/>
                </w:rPr>
                <w:t>Item 14.</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195abc371504b0c870ec70b69a704b5_229">
              <w:r>
                <w:rPr>
                  <w:rStyle w:val="InternetLink"/>
                  <w:rFonts w:ascii="Work Sans;sans-serif" w:hAnsi="Work Sans;sans-serif"/>
                  <w:b w:val="false"/>
                  <w:color w:val="0000FF"/>
                  <w:sz w:val="18"/>
                  <w:u w:val="single"/>
                </w:rPr>
                <w:t>Principal Accountant Fees and Services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95abc371504b0c870ec70b69a704b5_229">
              <w:r>
                <w:rPr>
                  <w:rStyle w:val="InternetLink"/>
                  <w:rFonts w:ascii="Work Sans;sans-serif" w:hAnsi="Work Sans;sans-serif"/>
                  <w:b w:val="false"/>
                  <w:color w:val="0000FF"/>
                  <w:sz w:val="18"/>
                  <w:u w:val="single"/>
                </w:rPr>
                <w:t>102</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95abc371504b0c870ec70b69a704b5_232">
              <w:r>
                <w:rPr>
                  <w:rStyle w:val="InternetLink"/>
                  <w:rFonts w:ascii="Work Sans;sans-serif" w:hAnsi="Work Sans;sans-serif"/>
                  <w:b/>
                  <w:color w:val="0000FF"/>
                  <w:sz w:val="18"/>
                  <w:u w:val="single"/>
                </w:rPr>
                <w:t>PART IV</w:t>
              </w:r>
            </w:hyperlink>
          </w:p>
        </w:tc>
        <w:tc>
          <w:tcPr>
            <w:tcW w:w="8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95abc371504b0c870ec70b69a704b5_235">
              <w:r>
                <w:rPr>
                  <w:rStyle w:val="InternetLink"/>
                  <w:rFonts w:ascii="Work Sans;sans-serif" w:hAnsi="Work Sans;sans-serif"/>
                  <w:b w:val="false"/>
                  <w:color w:val="0000FF"/>
                  <w:sz w:val="18"/>
                  <w:u w:val="single"/>
                </w:rPr>
                <w:t>Item 15.</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195abc371504b0c870ec70b69a704b5_235">
              <w:r>
                <w:rPr>
                  <w:rStyle w:val="InternetLink"/>
                  <w:rFonts w:ascii="Work Sans;sans-serif" w:hAnsi="Work Sans;sans-serif"/>
                  <w:b w:val="false"/>
                  <w:color w:val="0000FF"/>
                  <w:sz w:val="18"/>
                  <w:u w:val="single"/>
                </w:rPr>
                <w:t>Exhibits and Financial Statement Schedules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95abc371504b0c870ec70b69a704b5_235">
              <w:r>
                <w:rPr>
                  <w:rStyle w:val="InternetLink"/>
                  <w:rFonts w:ascii="Work Sans;sans-serif" w:hAnsi="Work Sans;sans-serif"/>
                  <w:b w:val="false"/>
                  <w:color w:val="0000FF"/>
                  <w:sz w:val="18"/>
                  <w:u w:val="single"/>
                </w:rPr>
                <w:t>103</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95abc371504b0c870ec70b69a704b5_238">
              <w:r>
                <w:rPr>
                  <w:rStyle w:val="InternetLink"/>
                  <w:rFonts w:ascii="Work Sans;sans-serif" w:hAnsi="Work Sans;sans-serif"/>
                  <w:b w:val="false"/>
                  <w:color w:val="0000FF"/>
                  <w:sz w:val="18"/>
                  <w:u w:val="single"/>
                </w:rPr>
                <w:t>Item 16.</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195abc371504b0c870ec70b69a704b5_238">
              <w:r>
                <w:rPr>
                  <w:rStyle w:val="InternetLink"/>
                  <w:rFonts w:ascii="Work Sans;sans-serif" w:hAnsi="Work Sans;sans-serif"/>
                  <w:b w:val="false"/>
                  <w:color w:val="0000FF"/>
                  <w:sz w:val="18"/>
                  <w:u w:val="single"/>
                </w:rPr>
                <w:t>Form 10-K Summary</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95abc371504b0c870ec70b69a704b5_238">
              <w:r>
                <w:rPr>
                  <w:rStyle w:val="InternetLink"/>
                  <w:rFonts w:ascii="Work Sans;sans-serif" w:hAnsi="Work Sans;sans-serif"/>
                  <w:b w:val="false"/>
                  <w:color w:val="0000FF"/>
                  <w:sz w:val="18"/>
                  <w:u w:val="single"/>
                </w:rPr>
                <w:t>104</w:t>
              </w:r>
            </w:hyperlink>
          </w:p>
        </w:tc>
      </w:tr>
      <w:tr>
        <w:trPr/>
        <w:tc>
          <w:tcPr>
            <w:tcW w:w="9616"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a195abc371504b0c870ec70b69a704b5_241">
              <w:r>
                <w:rPr>
                  <w:rStyle w:val="InternetLink"/>
                  <w:rFonts w:ascii="Work Sans;sans-serif" w:hAnsi="Work Sans;sans-serif"/>
                  <w:b w:val="false"/>
                  <w:color w:val="0000FF"/>
                  <w:sz w:val="18"/>
                  <w:u w:val="single"/>
                </w:rPr>
                <w:t>Signatures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95abc371504b0c870ec70b69a704b5_241">
              <w:r>
                <w:rPr>
                  <w:rStyle w:val="InternetLink"/>
                  <w:rFonts w:ascii="Work Sans;sans-serif" w:hAnsi="Work Sans;sans-serif"/>
                  <w:b w:val="false"/>
                  <w:color w:val="0000FF"/>
                  <w:sz w:val="18"/>
                  <w:u w:val="single"/>
                </w:rPr>
                <w:t>105</w:t>
              </w:r>
            </w:hyperlink>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3350"/>
                <wp:effectExtent l="0" t="0" r="0" b="0"/>
                <wp:wrapNone/>
                <wp:docPr id="2" name="Frame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i</w:t>
                      </w:r>
                    </w:p>
                  </w:txbxContent>
                </v:textbox>
                <w10:wrap type="none"/>
              </v:rect>
            </w:pict>
          </mc:Fallback>
        </mc:AlternateContent>
      </w:r>
    </w:p>
    <w:p>
      <w:pPr>
        <w:pStyle w:val="TextBody"/>
        <w:bidi w:val="0"/>
        <w:spacing w:lineRule="auto" w:line="288" w:before="0" w:after="0"/>
        <w:jc w:val="left"/>
        <w:rPr/>
      </w:pPr>
      <w:hyperlink w:anchor="ia195abc371504b0c870ec70b69a704b5_7">
        <w:r>
          <w:rPr>
            <w:rStyle w:val="InternetLink"/>
            <w:rFonts w:ascii="Work Sans;sans-serif" w:hAnsi="Work Sans;sans-serif"/>
            <w:b w:val="false"/>
            <w:color w:val="0000FF"/>
            <w:sz w:val="18"/>
            <w:u w:val="single"/>
          </w:rPr>
          <w:t>Table of Contents</w:t>
        </w:r>
      </w:hyperlink>
    </w:p>
    <w:p>
      <w:pPr>
        <w:pStyle w:val="TextBody"/>
        <w:bidi w:val="0"/>
        <w:spacing w:before="240" w:after="283"/>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Forward-Looking Statements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This Annual Report on Form 10-K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Annual Report on Form 10-K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Annual Report on Form 10-K include, but are not limited to, statements regarding our future results of operations and financial position, industry and business trends, our business strategy and our objectives for future operations.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those factors discussed </w:t>
      </w:r>
      <w:r>
        <w:rPr>
          <w:rFonts w:ascii="Work Sans;sans-serif" w:hAnsi="Work Sans;sans-serif"/>
          <w:b w:val="false"/>
          <w:color w:val="000000"/>
          <w:sz w:val="18"/>
          <w:shd w:fill="FFFFFF" w:val="clear"/>
        </w:rPr>
        <w:t xml:space="preserve">below under “Summary of Risk Factors” and </w:t>
      </w:r>
      <w:r>
        <w:rPr>
          <w:rFonts w:ascii="Work Sans;sans-serif" w:hAnsi="Work Sans;sans-serif"/>
          <w:b w:val="false"/>
          <w:color w:val="000000"/>
          <w:sz w:val="18"/>
        </w:rPr>
        <w:t>in Part I, Item 1A, “Risk Factors” in this Annual Report on Form 10-K for the year ended December 31, 2025</w:t>
      </w:r>
      <w:r>
        <w:rPr>
          <w:rFonts w:ascii="Work Sans;sans-serif" w:hAnsi="Work Sans;sans-serif"/>
          <w:b w:val="false"/>
          <w:color w:val="000000"/>
          <w:sz w:val="18"/>
          <w:shd w:fill="FFFFFF" w:val="clear"/>
        </w:rPr>
        <w:t>, as well as any factors contained in our subsequent filings with the Securities and Exchange Commission, or SEC</w:t>
      </w:r>
      <w:r>
        <w:rPr>
          <w:rFonts w:ascii="Work Sans;sans-serif" w:hAnsi="Work Sans;sans-serif"/>
          <w:b w:val="false"/>
          <w:color w:val="000000"/>
          <w:sz w:val="18"/>
        </w:rPr>
        <w:t>. The forward-looking statements in this Annual Report on Form 10-K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You should read this Annual Report on Form 10-K and the documents that we reference herein and have filed as exhibits to this Annual Report on Form 10-K with the understanding that our actual future results, levels of activity, performance and achievements may be materially different from what we expect. We qualify all of our forward-looking statements by these cautionary statements. Except as required by applicable law, we do not plan to publicly update or revise any forward-looking statements contained in this Annual Report on Form 10-K, whether as a result of any new information, future events or otherwise.</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Summary of Risk Factors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business involves significant risks and you are urged to carefully consider the risks discussed under Part I, Item 1A, “Risk Factors” in this Annual Report on Form 10-K prior to making an investment in our common stock. These risks include, but are not limited to, the following:</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business primarily depends on business formations.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business depends substantially on our customers expanding their use of our platform, including our transactional customers converting to subscribers and our subscribers renewing their subscriptions with us.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Failure to effectively manage our growth could adversely impact our business.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future quarterly results of operations may fluctuate significantly due to a wide range of factors, which makes our future results difficult to predict.</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have a history of net losses and we may not be able to maintain profitability.</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If we fail to provide high-quality products and services that meet our customers’ expectations, we may not be able to attract and retain customers.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If we do not continue to innovate and provide a platform that is useful to our customers, we may not remain competitive, and our results of operations could suffer.</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legal solutions market is highly competitive and our failure to effectively compete successfully could materially and adversely affect our business, results of operations, financial condition and future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3350"/>
                <wp:effectExtent l="0" t="0" r="0" b="0"/>
                <wp:wrapNone/>
                <wp:docPr id="3" name="Frame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ii</w:t>
                      </w:r>
                    </w:p>
                  </w:txbxContent>
                </v:textbox>
                <w10:wrap type="none"/>
              </v:rect>
            </w:pict>
          </mc:Fallback>
        </mc:AlternateContent>
      </w:r>
    </w:p>
    <w:p>
      <w:pPr>
        <w:pStyle w:val="TextBody"/>
        <w:bidi w:val="0"/>
        <w:spacing w:lineRule="auto" w:line="288" w:before="0" w:after="0"/>
        <w:jc w:val="left"/>
        <w:rPr/>
      </w:pPr>
      <w:hyperlink w:anchor="ia195abc371504b0c870ec70b69a704b5_7">
        <w:r>
          <w:rPr>
            <w:rStyle w:val="InternetLink"/>
            <w:rFonts w:ascii="Work Sans;sans-serif" w:hAnsi="Work Sans;sans-serif"/>
            <w:b w:val="false"/>
            <w:color w:val="0000FF"/>
            <w:sz w:val="18"/>
            <w:u w:val="single"/>
          </w:rPr>
          <w:t>Table of Contents</w:t>
        </w:r>
      </w:hyperlink>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business depends on our brand and reputation, which could be adversely affected by numerous factors.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are incorporating artificial intelligence into some of our offerings, which may present compliance risks and reputational risks.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If our marketing efforts are unsuccessful, our business, results of operations, financial condition and future prospects may be adversely affected.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depend on top talent, including our senior management team, to grow and operate our business, and if we are unable to hire, retain or motivate our employees, we may not be able to grow or operate effectively, which may adversely affect our business and future prospects.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business and success depend in part on our strategic relationships with third parties, including our partner ecosystem, and our business may be harmed if we fail to maintain or expand these relationships.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 xml:space="preserve">Our reliance on third-party providers could adversely affect our business. </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acquisition of Formation Nation and any future acquisitions or investments may divert management’s attention, result in additional dilution or adversely affect our operating results.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If we are unable to maintain effective internal control over financial reporting in the future, investors may lose confidence in the accuracy and completeness of our financial reports and the market price of our common stock may decline.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business and services subject us to complex and evolving U.S. and foreign laws and regulations and any failure or perceived failure by us to comply with applicable laws and regulations may subject us to regulatory inquiries, claims, suits, and prosecutions, as well as changes in our service offerings, potential liabilities, or additional costs.</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 xml:space="preserve">Note Regarding Third-Party Information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This Annual Report on Form 10-K includes market data and certain other statistical information and estimates that are based on reports and other publications from independent third-party sources, as well as management's own good faith estimates and analyses. We believe these third-party reports to be reputable, but have not independently verified the underlying data sources, methodologies, or assumptions. The reports and other publications referenced are generally available to the public and were not commissioned by LegalZoom. Information that is based on estimates, forecasts, projections, market research, or similar methodologies is inherently subject to uncertainties, and actual events or circumstances may differ materially from events and circumstances reflected in this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3350"/>
                <wp:effectExtent l="0" t="0" r="0" b="0"/>
                <wp:wrapNone/>
                <wp:docPr id="4" name="Frame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iii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Work Sans;sans-serif" w:hAnsi="Work Sans;sans-serif"/>
          <w:b/>
          <w:color w:val="000000"/>
          <w:sz w:val="18"/>
        </w:rPr>
      </w:pPr>
      <w:r>
        <w:rPr>
          <w:rFonts w:ascii="Work Sans;sans-serif" w:hAnsi="Work Sans;sans-serif"/>
          <w:b/>
          <w:color w:val="000000"/>
          <w:sz w:val="18"/>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3350"/>
                <wp:effectExtent l="0" t="0" r="0" b="0"/>
                <wp:wrapNone/>
                <wp:docPr id="5" name="Frame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1. Business</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Overview</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LegalZoom is a leading online platform for legal services, transforming how individuals and small businesses navigate the legal system. By combining intuitive technology with access to experienced attorneys—whether through our vast independent attorney network or our own law firm—we offer the tools and guidance people need to confidently manage everything from business formation and compliance to intellectual property protection and ongoing business management and legal support. Our ongoing business management services include virtual mail, legal forms, bookkeeping and estate planning services, among others. We operate across all 50 states and in over 3,000 counties in the U.S. With over two decades of experience and millions of customers served, LegalZoom helps individuals and small businesses navigate legal needs with confidence.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February 2025, we acquired Formation Nation, Inc., or Formation Nation, a small business service company. Formation Nation provides services ranging from white-glove business formation and compliance offerings under its Nevada Corporate Headquarters (NCH) business to low-cost business formations under its flagship Inc Authority brand.</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Our Customers and Solutions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As of June 30, 2025. there were over 36 million U.S. small businesses in operation, and millions of new small businesses are formed in the U.S. every year. Many small businesses operate without forming a legal entity, unintentionally introducing financial risk to the owners’ personal assets. The businesses that recognize that risk upfront often struggle to address it. Once they understand the need to be protected, they often do not know what to do, where to turn or how much it will cost to get help. Further, even when formed properly, small businesses often fail to comply with ongoing compliance requirements, thereby reintroducing personal liability or facing significant financial and operational risk. Per the U.S. Chamber of Commerce Small Business Index (Q4 2025), 44% of small businesses say that compliance requirements make it harder to grow their business. Our solutions aim to simplify these complex legal and regulatory tasks, remove friction, and enable small business owners to focus on running and growing their businesses.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aim to service a broad range of small business owners, from first-time formers to seasoned small business owners. We provide a mix of transaction and subscription offerings relevant for new and existing small businesses to solve their legal, compliance and business management needs. Our services range from technology-enabled do-it-yourself, or DIY, offerings to emerging full-service do-it-for-me, or DIFM, solutions led by concierge managers and attorneys.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small business customers’ initial purchase is typically a business formation product that streamlines the process of starting a business. After business formation, we aim to deepen our relationship with our customers by providing ongoing legal, compliance and business management support throughout the lifecycle of their business. For example, our customers can purchase a legal advisory subscription to receive additional legal support for their small business needs, subscribe to our compliance concierge offering for complete management of business compliance requirements, or complete a one-time transaction to register their company name and/or logo as a trademark. The recurring revenue gained through subscription services and additional purchases from existing customers during the lifecycle of their business allows us to increase customer lifetime value. For the year ended December 31, 2025, approximately 65% of our revenue was derived from subscriptions. </w:t>
      </w:r>
    </w:p>
    <w:p>
      <w:pPr>
        <w:pStyle w:val="TextBody"/>
        <w:bidi w:val="0"/>
        <w:spacing w:lineRule="auto" w:line="288" w:before="0" w:after="0"/>
        <w:ind w:left="0" w:right="0" w:firstLine="450"/>
        <w:jc w:val="left"/>
        <w:rPr/>
      </w:pPr>
      <w:r>
        <w:rPr>
          <w:rFonts w:ascii="Work Sans;sans-serif" w:hAnsi="Work Sans;sans-serif"/>
          <w:b w:val="false"/>
          <w:color w:val="000000"/>
          <w:sz w:val="18"/>
        </w:rPr>
        <w:t>See below under “</w:t>
      </w:r>
      <w:r>
        <w:rPr>
          <w:rFonts w:ascii="Work Sans;sans-serif" w:hAnsi="Work Sans;sans-serif"/>
          <w:b w:val="false"/>
          <w:i/>
          <w:color w:val="000000"/>
          <w:sz w:val="18"/>
        </w:rPr>
        <w:t>Our Products and Services</w:t>
      </w:r>
      <w:r>
        <w:rPr>
          <w:color w:val="000000"/>
        </w:rPr>
        <w:t xml:space="preserve">” </w:t>
      </w:r>
      <w:r>
        <w:rPr>
          <w:rFonts w:ascii="Work Sans;sans-serif" w:hAnsi="Work Sans;sans-serif"/>
          <w:b w:val="false"/>
          <w:color w:val="000000"/>
          <w:sz w:val="18"/>
        </w:rPr>
        <w:t>for additional information regarding our transaction products and subscription offerings.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believe we earn our customers’ trust and drive significant organic traffic through our brand name recognition and reputation. Our small business customers’ initial purchase is typically a business formation product that streamlines the process of starting a business. As of December 31, 2025, we had formed over 5.0 million businesses since our inception. Our position at business formation gives us unparalleled knowledge of our customers’ needs, oftentimes prior to the business being operational or discoverable by other service providers. We leverage this valuable knowledge and our position as a small business’ first advisor to introduce our customers to the most relevant business solutions to help them manage other aspects of their business.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are also beginning to expand our customer funnel to reach current small business owners who are not yet a part of the LegalZoom ecosystem. As of June 30, 2025, there were approximately 36 million U.S. existing small businesses who were required to remain compliant with federal and state laws in order to remain operational and we can help them mitigate the risk, cost and time invested in managing these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3350"/>
                <wp:effectExtent l="0" t="0" r="0" b="0"/>
                <wp:wrapNone/>
                <wp:docPr id="6" name="Frame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color w:val="000000"/>
          <w:sz w:val="18"/>
        </w:rPr>
      </w:pPr>
      <w:r>
        <w:rPr>
          <w:rFonts w:ascii="Work Sans;sans-serif" w:hAnsi="Work Sans;sans-serif"/>
          <w:b/>
          <w:color w:val="000000"/>
          <w:sz w:val="18"/>
        </w:rPr>
        <w:t>Our Platform, Experts and Human Support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As more businesses are created, the need for a trusted legal and compliance partner only grows, and we believe that our combination of technology and human assistance helps our customers stay compliant, protected, and confident over time.</w:t>
      </w:r>
    </w:p>
    <w:p>
      <w:pPr>
        <w:pStyle w:val="TextBody"/>
        <w:bidi w:val="0"/>
        <w:spacing w:lineRule="auto" w:line="288" w:before="120" w:after="120"/>
        <w:ind w:left="0" w:right="0" w:firstLine="450"/>
        <w:jc w:val="left"/>
        <w:rPr/>
      </w:pPr>
      <w:r>
        <w:rPr>
          <w:rFonts w:ascii="Work Sans;sans-serif" w:hAnsi="Work Sans;sans-serif"/>
          <w:b/>
          <w:i/>
          <w:color w:val="000000"/>
          <w:sz w:val="18"/>
        </w:rPr>
        <w:t>Our technology platform.</w:t>
      </w:r>
      <w:r>
        <w:rPr>
          <w:color w:val="000000"/>
        </w:rPr>
        <w:t xml:space="preserve"> </w:t>
      </w:r>
      <w:r>
        <w:rPr>
          <w:rFonts w:ascii="Work Sans;sans-serif" w:hAnsi="Work Sans;sans-serif"/>
          <w:b w:val="false"/>
          <w:color w:val="000000"/>
          <w:sz w:val="18"/>
        </w:rPr>
        <w:t>Our technology platform combines the power of technology, artificial intelligence, or AI, and human expertise to demystify and simplify complicated processes, creating user-friendly experiences for our customers. Our proprietary technology, including AI-enabled workflow and decisioning tools, enables us to automate many complex legal and compliance processes and offer solutions at transparent, flat-fee prices that are at a significant discount to traditional offline alternatives. While the majority of our customers complete these transactions without direct human assistance, many prefer to have guidance through the process. As a result, our services range from technology-enabled DIY offerings to emerging full-service DIFM concierge subscriptions led by small business specialists. We aim to continue to embed AI tools into our internal workflows to improve productivity, reduce manual fulfillment time and enable our customer care, fulfillment, business specialists and experts to support more customers. The combination of technology and people is at the heart of our customer experience. See below under “</w:t>
      </w:r>
      <w:r>
        <w:rPr>
          <w:rFonts w:ascii="Work Sans;sans-serif" w:hAnsi="Work Sans;sans-serif"/>
          <w:b w:val="false"/>
          <w:i/>
          <w:color w:val="000000"/>
          <w:sz w:val="18"/>
        </w:rPr>
        <w:t>Our Technology</w:t>
      </w:r>
      <w:r>
        <w:rPr>
          <w:color w:val="000000"/>
        </w:rPr>
        <w:t xml:space="preserve">” </w:t>
      </w:r>
      <w:r>
        <w:rPr>
          <w:rFonts w:ascii="Work Sans;sans-serif" w:hAnsi="Work Sans;sans-serif"/>
          <w:b w:val="false"/>
          <w:color w:val="000000"/>
          <w:sz w:val="18"/>
        </w:rPr>
        <w:t>for additional information.</w:t>
      </w:r>
    </w:p>
    <w:p>
      <w:pPr>
        <w:pStyle w:val="TextBody"/>
        <w:bidi w:val="0"/>
        <w:spacing w:lineRule="auto" w:line="288" w:before="120" w:after="120"/>
        <w:ind w:left="0" w:right="0" w:firstLine="450"/>
        <w:jc w:val="left"/>
        <w:rPr/>
      </w:pPr>
      <w:r>
        <w:rPr>
          <w:rFonts w:ascii="Work Sans;sans-serif" w:hAnsi="Work Sans;sans-serif"/>
          <w:b/>
          <w:i/>
          <w:color w:val="000000"/>
          <w:sz w:val="18"/>
        </w:rPr>
        <w:t xml:space="preserve">Our independent attorney network. </w:t>
      </w:r>
      <w:r>
        <w:rPr>
          <w:rFonts w:ascii="Work Sans;sans-serif" w:hAnsi="Work Sans;sans-serif"/>
          <w:b w:val="false"/>
          <w:color w:val="000000"/>
          <w:sz w:val="18"/>
        </w:rPr>
        <w:t xml:space="preserve">We offer customers ongoing access to experienced attorneys to answer their legal questions and review legal documents. As of December 31, 2025, we had over 1,000 attorneys in our independent attorney network. Our legal plans provide customers access to attorneys licensed in their jurisdiction and experienced in the types of legal matters that impact our customers at a significant discount to traditional offline alternatives. The attorneys who service our legal plans are compensated by LegalZoom on a per-month basis based on enrolled plan members. Attorneys benefit from participating in our independent network as we handle the customer acquisition, as well as the scheduling and support of the customer consultations. From there, customer consultations may serve as a platform for business development, where the participating attorney can offer to provide billable legal services to our customers at discounted rates. </w:t>
      </w:r>
    </w:p>
    <w:p>
      <w:pPr>
        <w:pStyle w:val="TextBody"/>
        <w:bidi w:val="0"/>
        <w:spacing w:lineRule="auto" w:line="288" w:before="120" w:after="120"/>
        <w:ind w:left="0" w:right="0" w:firstLine="450"/>
        <w:jc w:val="left"/>
        <w:rPr/>
      </w:pPr>
      <w:r>
        <w:rPr>
          <w:rFonts w:ascii="Work Sans;sans-serif" w:hAnsi="Work Sans;sans-serif"/>
          <w:b/>
          <w:i/>
          <w:color w:val="000000"/>
          <w:sz w:val="18"/>
        </w:rPr>
        <w:t xml:space="preserve">Our owned law firm. </w:t>
      </w:r>
      <w:r>
        <w:rPr>
          <w:rFonts w:ascii="Work Sans;sans-serif" w:hAnsi="Work Sans;sans-serif"/>
          <w:b w:val="false"/>
          <w:color w:val="000000"/>
          <w:sz w:val="18"/>
        </w:rPr>
        <w:t>Since September 2021, one of our U.S. subsidiaries operates as an alternative business structure, or ABS, in Arizona, which allows us to provide cost-effective attorney services to our customers. Currently, our ABS primarily supports our intellectual property business, and its experienced attorneys help guide customers through the trademark registration and provisional and design patent processes. Our legal services are provided across all 50 U.S. states.</w:t>
      </w:r>
    </w:p>
    <w:p>
      <w:pPr>
        <w:pStyle w:val="TextBody"/>
        <w:bidi w:val="0"/>
        <w:spacing w:lineRule="auto" w:line="288" w:before="120" w:after="120"/>
        <w:ind w:left="0" w:right="0" w:firstLine="450"/>
        <w:jc w:val="left"/>
        <w:rPr/>
      </w:pPr>
      <w:r>
        <w:rPr>
          <w:rFonts w:ascii="Work Sans;sans-serif" w:hAnsi="Work Sans;sans-serif"/>
          <w:b/>
          <w:i/>
          <w:color w:val="000000"/>
          <w:sz w:val="18"/>
        </w:rPr>
        <w:t>Our concierge managers.</w:t>
      </w:r>
      <w:r>
        <w:rPr>
          <w:color w:val="000000"/>
        </w:rPr>
        <w:t xml:space="preserve"> </w:t>
      </w:r>
      <w:r>
        <w:rPr>
          <w:rFonts w:ascii="Work Sans;sans-serif" w:hAnsi="Work Sans;sans-serif"/>
          <w:b w:val="false"/>
          <w:color w:val="000000"/>
          <w:sz w:val="18"/>
        </w:rPr>
        <w:t>We employ a team of small business concierge managers who support our emerging concierge offerings. These specialists provide white-glove service related to ongoing business and compliance needs, such as periodic filings, renewals and recordkeeping requirements. As our customers’ businesses grow and evolve, such as by the hiring of employees or expansion into additional states, the complexity of their legal, tax and compliance needs typically increases. Our concierge managers are positioned to handle white-glove filing and fulfillment services intended to address these more sophisticated requirements. The objective of our concierge managers is to help customers understand and meet applicable requirements so the customer’s business remains in good standing and the risk of incurring fees and penalties is minimized. Our concierge managers receive specialized training and use AI-enabled tools to deliver a consistent service experience at scale. They also conduct regular customer check-ins to help identify potential needs and, where appropriate, direct customers to relevant LegalZoom products, our independent attorney network, and third-party partners in order to drive retention and customer lifetime value.</w:t>
      </w:r>
    </w:p>
    <w:p>
      <w:pPr>
        <w:pStyle w:val="TextBody"/>
        <w:bidi w:val="0"/>
        <w:spacing w:lineRule="auto" w:line="288" w:before="120" w:after="120"/>
        <w:ind w:left="0" w:right="0" w:firstLine="450"/>
        <w:jc w:val="left"/>
        <w:rPr/>
      </w:pPr>
      <w:r>
        <w:rPr>
          <w:rFonts w:ascii="Work Sans;sans-serif" w:hAnsi="Work Sans;sans-serif"/>
          <w:b/>
          <w:i/>
          <w:color w:val="000000"/>
          <w:sz w:val="18"/>
        </w:rPr>
        <w:t>Our registered agent services</w:t>
      </w:r>
      <w:r>
        <w:rPr>
          <w:rFonts w:ascii="Work Sans;sans-serif" w:hAnsi="Work Sans;sans-serif"/>
          <w:b/>
          <w:color w:val="000000"/>
          <w:sz w:val="18"/>
        </w:rPr>
        <w:t xml:space="preserve">. </w:t>
      </w:r>
      <w:r>
        <w:rPr>
          <w:rFonts w:ascii="Work Sans;sans-serif" w:hAnsi="Work Sans;sans-serif"/>
          <w:b w:val="false"/>
          <w:color w:val="000000"/>
          <w:sz w:val="18"/>
        </w:rPr>
        <w:t>We provide registered agent services that require trained personnel and a physical presence to meet statutory requirements applicable to registered businesses. In most states, businesses must designate a registered agent with a physical street address available during normal business hours to receive service of process and other legal, tax, and governmental notices. Under our registered agent subscriptions, we maintain required physical addresses in applicable jurisdictions, accept mail and hand-delivered documents on behalf of customers, and receive service of process. We log, digitize, securely store, and make these materials available to customers and provide notifications regarding time-sensitive documents, including compliance filings, tax notices, and annual report requirements. Because these documents often contain sensitive information, we maintain physical, administrative, and technical safeguards designed to protect confidentiality and ensure appropriate handling. As of December 31, 2025, we operated staffed registered agent locations in all 50 U.S. states.</w:t>
      </w:r>
    </w:p>
    <w:p>
      <w:pPr>
        <w:pStyle w:val="TextBody"/>
        <w:bidi w:val="0"/>
        <w:spacing w:lineRule="auto" w:line="288" w:before="120" w:after="120"/>
        <w:ind w:left="0" w:right="0" w:firstLine="450"/>
        <w:jc w:val="left"/>
        <w:rPr/>
      </w:pPr>
      <w:r>
        <w:rPr>
          <w:rFonts w:ascii="Work Sans;sans-serif" w:hAnsi="Work Sans;sans-serif"/>
          <w:b/>
          <w:i/>
          <w:color w:val="000000"/>
          <w:sz w:val="18"/>
        </w:rPr>
        <w:t>Our virtual mail services</w:t>
      </w:r>
      <w:r>
        <w:rPr>
          <w:rFonts w:ascii="Work Sans;sans-serif" w:hAnsi="Work Sans;sans-serif"/>
          <w:b/>
          <w:color w:val="000000"/>
          <w:sz w:val="18"/>
        </w:rPr>
        <w:t xml:space="preserve">. </w:t>
      </w:r>
      <w:r>
        <w:rPr>
          <w:rFonts w:ascii="Work Sans;sans-serif" w:hAnsi="Work Sans;sans-serif"/>
          <w:b w:val="false"/>
          <w:color w:val="000000"/>
          <w:sz w:val="18"/>
        </w:rPr>
        <w:t xml:space="preserve">We provide virtual mail services that require trained personnel and physical locations to receive and process customer correspondence. Growth in the gig economy and remote work has increased the number of small businesses operating from home or personal addresses. Our virtual mail subscription, or LZ Virtual Mail, provides an independent business address that helps protect customers’ personal information while enabling them to access and manage mail from anywhere. Services include mail receipt, sorting, digitization, check depository services, and the shipment or secure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3350"/>
                <wp:effectExtent l="0" t="0" r="0" b="0"/>
                <wp:wrapNone/>
                <wp:docPr id="7" name="Frame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storage of select mail. Because these materials often contain sensitive information and require in-person handling, we maintain safety, security, and confidentiality controls, and these services cannot be fully automated or delivered solely through digital systems.</w:t>
      </w:r>
    </w:p>
    <w:p>
      <w:pPr>
        <w:pStyle w:val="TextBody"/>
        <w:bidi w:val="0"/>
        <w:spacing w:lineRule="auto" w:line="288" w:before="120" w:after="120"/>
        <w:ind w:left="0" w:right="0" w:firstLine="450"/>
        <w:jc w:val="left"/>
        <w:rPr/>
      </w:pPr>
      <w:r>
        <w:rPr>
          <w:rFonts w:ascii="Work Sans;sans-serif" w:hAnsi="Work Sans;sans-serif"/>
          <w:b/>
          <w:i/>
          <w:color w:val="000000"/>
          <w:sz w:val="18"/>
        </w:rPr>
        <w:t>Our customer care team</w:t>
      </w:r>
      <w:r>
        <w:rPr>
          <w:rFonts w:ascii="Work Sans;sans-serif" w:hAnsi="Work Sans;sans-serif"/>
          <w:b/>
          <w:color w:val="000000"/>
          <w:sz w:val="18"/>
        </w:rPr>
        <w:t xml:space="preserve">. </w:t>
      </w:r>
      <w:r>
        <w:rPr>
          <w:rFonts w:ascii="Work Sans;sans-serif" w:hAnsi="Work Sans;sans-serif"/>
          <w:b w:val="false"/>
          <w:color w:val="000000"/>
          <w:sz w:val="18"/>
        </w:rPr>
        <w:t xml:space="preserve">Our customer care representatives provide assistance, support and account management to small businesses and individuals. Exceptional customer experience is central to our culture and we take pride in our customer care team. Our customers have access to live help from customer care representatives by phone, online chat, text or email. We actively monitor our service levels, fulfillment speed and quality to maintain a high level of customer care. </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Our Competition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operate in a very competitive industry, and the competitive landscape in which we operate is constantly evolving as we expand our ecosystem. As a result, we compete with a variety of companies and government entities, including the following: </w:t>
      </w:r>
    </w:p>
    <w:p>
      <w:pPr>
        <w:pStyle w:val="TextBody"/>
        <w:bidi w:val="0"/>
        <w:spacing w:lineRule="auto" w:line="288" w:before="0" w:after="0"/>
        <w:ind w:left="0" w:right="0" w:hanging="360"/>
        <w:jc w:val="left"/>
        <w:rPr/>
      </w:pPr>
      <w:r>
        <w:rPr>
          <w:color w:val="000000"/>
        </w:rPr>
        <w:t>•</w:t>
      </w:r>
      <w:r>
        <w:rPr>
          <w:rFonts w:ascii="Work Sans;sans-serif" w:hAnsi="Work Sans;sans-serif"/>
          <w:b w:val="false"/>
          <w:color w:val="000000"/>
          <w:sz w:val="18"/>
        </w:rPr>
        <w:t xml:space="preserve">online business formation providers and registered agent service providers; </w:t>
      </w:r>
    </w:p>
    <w:p>
      <w:pPr>
        <w:pStyle w:val="TextBody"/>
        <w:bidi w:val="0"/>
        <w:spacing w:lineRule="auto" w:line="288" w:before="0" w:after="0"/>
        <w:ind w:left="0" w:right="0" w:hanging="360"/>
        <w:jc w:val="left"/>
        <w:rPr/>
      </w:pPr>
      <w:r>
        <w:rPr>
          <w:color w:val="000000"/>
        </w:rPr>
        <w:t>•</w:t>
      </w:r>
      <w:r>
        <w:rPr>
          <w:rFonts w:ascii="Work Sans;sans-serif" w:hAnsi="Work Sans;sans-serif"/>
          <w:b w:val="false"/>
          <w:color w:val="000000"/>
          <w:sz w:val="18"/>
        </w:rPr>
        <w:t>traditional offline law firms and solo attorneys, online legal document services and secretaries of state; and</w:t>
      </w:r>
    </w:p>
    <w:p>
      <w:pPr>
        <w:pStyle w:val="TextBody"/>
        <w:bidi w:val="0"/>
        <w:spacing w:lineRule="auto" w:line="288" w:before="0" w:after="0"/>
        <w:ind w:left="0" w:right="0" w:hanging="360"/>
        <w:jc w:val="left"/>
        <w:rPr/>
      </w:pPr>
      <w:r>
        <w:rPr>
          <w:color w:val="000000"/>
        </w:rPr>
        <w:t>•</w:t>
      </w:r>
      <w:r>
        <w:rPr>
          <w:rFonts w:ascii="Work Sans;sans-serif" w:hAnsi="Work Sans;sans-serif"/>
          <w:b w:val="false"/>
          <w:color w:val="000000"/>
          <w:sz w:val="18"/>
        </w:rPr>
        <w:t>large platform companies that could develop or partner to provide competing technology solutions to address the needs of our small business or consumer customers.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Law firms and solo attorneys who provide in-person consultations are able to provide direct legal advice that we generally cannot offer directly due to laws and regulations regarding the unauthorized practice of law, or UPL. However, our ABS in Arizona and our independent legal plan network of attorneys are allowed to provide independent legal advice to our customers and, as a result, can compete directly with traditional offline law firms and solo attorneys. In addition, there are structural impediments that make it difficult for traditional offline attorneys to adapt to technology advancements and consumer behaviors. While service industries like accounting, marketing and payments have rapidly transitioned online, legal offerings largely remain offline and online adoption of legal services lags behind other comparable industries. However, some traditional offline attorneys have developed and may continue to develop competing online legal services. </w:t>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expect to face increasing competition from offline and online service providers in our markets. We believe the primary competitive factors on which we compete include ease of use, breadth of offerings, brand name recognition, reputation, price, quality and customer service. We believe we compare favorably on all these bases and our ability to remain competitive will largely depend on our ongoing performance in these areas.</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Our Strategy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are focused on penetrating and growing the online market for legal, compliance and business management solutions. We aim to continue to grow our customer base and retain and expand our customer relationships with the following strategic priorities:</w:t>
      </w:r>
    </w:p>
    <w:p>
      <w:pPr>
        <w:pStyle w:val="TextBody"/>
        <w:bidi w:val="0"/>
        <w:spacing w:lineRule="auto" w:line="288" w:before="120" w:after="120"/>
        <w:ind w:left="0" w:right="0" w:firstLine="450"/>
        <w:jc w:val="left"/>
        <w:rPr/>
      </w:pPr>
      <w:r>
        <w:rPr>
          <w:rFonts w:ascii="Work Sans;sans-serif" w:hAnsi="Work Sans;sans-serif"/>
          <w:b/>
          <w:i/>
          <w:color w:val="000000"/>
          <w:sz w:val="18"/>
        </w:rPr>
        <w:t>Optimizing Our Subscription Business</w:t>
      </w:r>
      <w:r>
        <w:rPr>
          <w:rFonts w:ascii="Work Sans;sans-serif" w:hAnsi="Work Sans;sans-serif"/>
          <w:b w:val="false"/>
          <w:color w:val="000000"/>
          <w:sz w:val="18"/>
        </w:rPr>
        <w:t>. We are prioritizing our subscription products over our transaction products in order to focus on customer lifetime value and to help accelerate and sustain our subscription revenue over the long term. Our goal is for customers to grow their use of our platform as their businesses evolve and that, in turn, customers increase their cumulative spend with us over time. We are testing and implementing ways to better reorient our products towards subscription offerings. We are also continuing to optimize our product line-up with the goal of improving the quality of our subscriber base and customer retention over time. We are leveraging Formation Nation’s “Inc Authority” brand as a lower priced alternative to service customers seeking DIY solutions, reserving the LegalZoom brand for more premium offerings. We are also introducing new, higher value, premium DIFM subscription offerings, enhancing the value of our existing subscription products and increasing the price of certain of our LegalZoom branded offerings to better reflect the value we believe we provide. We believe our DIFM concierge offerings expand our addressable market beyond traditional DIY online legal services into segments historically served by attorneys and other professional service providers, and supports our strategy to deliver higher</w:t>
        <w:noBreakHyphen/>
        <w:t>value, expertise</w:t>
        <w:noBreakHyphen/>
        <w:t>driven solutions and increase the mix of recurring revenue in our business over time.</w:t>
      </w:r>
    </w:p>
    <w:p>
      <w:pPr>
        <w:pStyle w:val="TextBody"/>
        <w:bidi w:val="0"/>
        <w:spacing w:lineRule="auto" w:line="288" w:before="120" w:after="120"/>
        <w:ind w:left="0" w:right="0" w:firstLine="450"/>
        <w:jc w:val="left"/>
        <w:rPr/>
      </w:pPr>
      <w:r>
        <w:rPr>
          <w:rFonts w:ascii="Work Sans;sans-serif" w:hAnsi="Work Sans;sans-serif"/>
          <w:b/>
          <w:i/>
          <w:color w:val="000000"/>
          <w:sz w:val="18"/>
        </w:rPr>
        <w:t>Reorienting Our Go-to-Market Strategy</w:t>
      </w:r>
      <w:r>
        <w:rPr>
          <w:rFonts w:ascii="Work Sans;sans-serif" w:hAnsi="Work Sans;sans-serif"/>
          <w:b w:val="false"/>
          <w:color w:val="000000"/>
          <w:sz w:val="18"/>
        </w:rPr>
        <w:t xml:space="preserve">. We are diversifying our customer acquisition strategy, which includes testing a mix of marketing channels with the goal of diversifying our marketing investments across overall brand, small business formation, emerging and established business customers, and product categories versus our historical focus on business formations. </w:t>
      </w:r>
    </w:p>
    <w:p>
      <w:pPr>
        <w:pStyle w:val="TextBody"/>
        <w:bidi w:val="0"/>
        <w:spacing w:lineRule="auto" w:line="288" w:before="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expect AI</w:t>
        <w:noBreakHyphen/>
        <w:t xml:space="preserve">enabled search experiences to become increasingly important discovery channels for small businesses, and we are enhancing our proprietary educational content, as well as entering into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3350"/>
                <wp:effectExtent l="0" t="0" r="0" b="0"/>
                <wp:wrapNone/>
                <wp:docPr id="8" name="Frame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Work Sans;sans-serif" w:hAnsi="Work Sans;sans-serif"/>
          <w:b w:val="false"/>
          <w:color w:val="000000"/>
          <w:sz w:val="18"/>
        </w:rPr>
      </w:pPr>
      <w:r>
        <w:rPr>
          <w:rFonts w:ascii="Work Sans;sans-serif" w:hAnsi="Work Sans;sans-serif"/>
          <w:b w:val="false"/>
          <w:color w:val="000000"/>
          <w:sz w:val="18"/>
        </w:rPr>
        <w:t>strategic AI partnerships, to ensure our products are visible and accessible within AI</w:t>
        <w:noBreakHyphen/>
        <w:t>powered answer engines. By integrating our educational content into these emerging AI surfaces, we aim to broaden the top of our customer funnel, attract higher</w:t>
        <w:noBreakHyphen/>
        <w:t>intent traffic, and diversify our go</w:t>
        <w:noBreakHyphen/>
        <w:t>to</w:t>
        <w:noBreakHyphen/>
        <w:t xml:space="preserve">market mix beyond traditional search engine optimization and search engine marketing. We also aim to promote the value and services of our owned law firm and independent attorney network, given AI cannot provide legal advice. </w:t>
      </w:r>
    </w:p>
    <w:p>
      <w:pPr>
        <w:pStyle w:val="TextBody"/>
        <w:bidi w:val="0"/>
        <w:spacing w:lineRule="auto" w:line="288" w:before="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we have recently begun enhancing our focus on acquiring emerging and existing small business customers, including those who did not initially form their business with LegalZoom. We expect to achieve this both through our diversified marketing investments and investments in strategic partnerships. We believe these initiatives expand our addressable market by reaching higher</w:t>
        <w:noBreakHyphen/>
        <w:t xml:space="preserve">value small business cohorts outside our historical formations funnel. </w:t>
      </w:r>
    </w:p>
    <w:p>
      <w:pPr>
        <w:pStyle w:val="TextBody"/>
        <w:bidi w:val="0"/>
        <w:spacing w:lineRule="auto" w:line="288" w:before="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Further, we partner with leading providers of complementary small business services that extend beyond our core offerings such as banking, insurance, tax, credit cards, website design, and payment processing, among others. We have insights into our customers and leverage our platform to introduce small businesses to a variety of third-party partners in our partner ecosystem. We intend to continue to strategically partner with leading brands that we believe can strengthen our partner ecosystem.</w:t>
      </w:r>
    </w:p>
    <w:p>
      <w:pPr>
        <w:pStyle w:val="TextBody"/>
        <w:bidi w:val="0"/>
        <w:spacing w:lineRule="auto" w:line="288" w:before="0" w:after="0"/>
        <w:ind w:left="0" w:right="0" w:firstLine="450"/>
        <w:jc w:val="left"/>
        <w:rPr/>
      </w:pPr>
      <w:r>
        <w:rPr>
          <w:rFonts w:ascii="Work Sans;sans-serif" w:hAnsi="Work Sans;sans-serif"/>
          <w:b/>
          <w:i/>
          <w:color w:val="000000"/>
          <w:sz w:val="18"/>
        </w:rPr>
        <w:t>Leveraging Artificial Intelligence to Deliver Expertise to Our Customers</w:t>
      </w:r>
      <w:r>
        <w:rPr>
          <w:rFonts w:ascii="Work Sans;sans-serif" w:hAnsi="Work Sans;sans-serif"/>
          <w:b w:val="false"/>
          <w:color w:val="000000"/>
          <w:sz w:val="18"/>
        </w:rPr>
        <w:t>. We are investing in and integrating AI tools across our platform, including AI</w:t>
        <w:noBreakHyphen/>
        <w:t>enabled workflow, decisioning and content solutions that help our customers more easily navigate complex legal and compliance workflows, surface relevant educational content and recommended next steps, and improve the speed, accuracy and consistency of the services we provide, while also enhancing internal productivity for our customer care, sales, fulfillment and expert support teams. We are focused on embedding AI into our human</w:t>
        <w:noBreakHyphen/>
        <w:t>led products and internal workflows—such as AI</w:t>
        <w:noBreakHyphen/>
        <w:t xml:space="preserve">assisted tools for our concierge managers, sales and customer care functions—which we believe can improve productivity, reduce manual fulfillment time and enable us to support more customers. </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Our Products and Services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transaction products and subscription services are designed to support the legal, compliance, and business management needs of small businesses and consumers. Our consumer offerings range from estate planning to legal advice, and there is overlap in our small business and consumer offerings. For example, as forming a business is an important life event for the entrepreneurs that we support, some of our small business customers opt to purchase an estate plan after they form their business. We continue to evaluate new ways to commercialize both our transaction and subscription offerings, which include the bundling of certain of our products and offering certain of our historical transaction offerings as subscriptions. </w:t>
      </w:r>
    </w:p>
    <w:p>
      <w:pPr>
        <w:pStyle w:val="TextBody"/>
        <w:bidi w:val="0"/>
        <w:spacing w:lineRule="auto" w:line="288" w:before="120" w:after="120"/>
        <w:jc w:val="left"/>
        <w:rPr>
          <w:rFonts w:ascii="Work Sans;sans-serif" w:hAnsi="Work Sans;sans-serif"/>
          <w:b/>
          <w:i/>
          <w:color w:val="000000"/>
          <w:sz w:val="18"/>
        </w:rPr>
      </w:pPr>
      <w:r>
        <w:rPr>
          <w:rFonts w:ascii="Work Sans;sans-serif" w:hAnsi="Work Sans;sans-serif"/>
          <w:b/>
          <w:i/>
          <w:color w:val="000000"/>
          <w:sz w:val="18"/>
        </w:rPr>
        <w:t>Transaction products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primary transaction products are listed below:</w:t>
      </w:r>
    </w:p>
    <w:tbl>
      <w:tblPr>
        <w:tblW w:w="8247" w:type="dxa"/>
        <w:jc w:val="left"/>
        <w:tblInd w:w="0" w:type="dxa"/>
        <w:tblLayout w:type="fixed"/>
        <w:tblCellMar>
          <w:top w:w="28" w:type="dxa"/>
          <w:left w:w="28" w:type="dxa"/>
          <w:bottom w:w="28" w:type="dxa"/>
          <w:right w:w="28" w:type="dxa"/>
        </w:tblCellMar>
      </w:tblPr>
      <w:tblGrid>
        <w:gridCol w:w="1408"/>
        <w:gridCol w:w="1236"/>
        <w:gridCol w:w="1241"/>
        <w:gridCol w:w="109"/>
        <w:gridCol w:w="109"/>
        <w:gridCol w:w="109"/>
        <w:gridCol w:w="1181"/>
        <w:gridCol w:w="1181"/>
        <w:gridCol w:w="1673"/>
      </w:tblGrid>
      <w:tr>
        <w:trPr/>
        <w:tc>
          <w:tcPr>
            <w:tcW w:w="1408"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68" w:before="120" w:after="283"/>
              <w:jc w:val="left"/>
              <w:rPr>
                <w:rFonts w:ascii="Work Sans;sans-serif" w:hAnsi="Work Sans;sans-serif"/>
                <w:b/>
                <w:color w:val="000000"/>
                <w:sz w:val="18"/>
              </w:rPr>
            </w:pPr>
            <w:r>
              <w:rPr>
                <w:rFonts w:ascii="Work Sans;sans-serif" w:hAnsi="Work Sans;sans-serif"/>
                <w:b/>
                <w:color w:val="000000"/>
                <w:sz w:val="18"/>
              </w:rPr>
              <w:t>Business Formation Services</w:t>
            </w:r>
          </w:p>
          <w:p>
            <w:pPr>
              <w:pStyle w:val="TableContents"/>
              <w:bidi w:val="0"/>
              <w:spacing w:lineRule="auto" w:line="288" w:before="60" w:after="283"/>
              <w:jc w:val="left"/>
              <w:rPr>
                <w:rFonts w:ascii="Work Sans;sans-serif" w:hAnsi="Work Sans;sans-serif"/>
                <w:b w:val="false"/>
                <w:color w:val="000000"/>
                <w:sz w:val="18"/>
              </w:rPr>
            </w:pPr>
            <w:r>
              <w:rPr>
                <w:rFonts w:ascii="Work Sans;sans-serif" w:hAnsi="Work Sans;sans-serif"/>
                <w:b w:val="false"/>
                <w:color w:val="000000"/>
                <w:sz w:val="18"/>
              </w:rPr>
              <w:t xml:space="preserve">Limited Liability Company, or LLC </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Incorporation of C and S Corporations</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Nonprofit Formation</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Doing-Business-As, or DBA</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Corporate Changes and Filings</w:t>
            </w:r>
          </w:p>
          <w:p>
            <w:pPr>
              <w:pStyle w:val="TableContents"/>
              <w:bidi w:val="0"/>
              <w:spacing w:before="0" w:after="0"/>
              <w:jc w:val="left"/>
              <w:rPr/>
            </w:pPr>
            <w:r>
              <w:rPr/>
            </w:r>
          </w:p>
          <w:p>
            <w:pPr>
              <w:pStyle w:val="TableContents"/>
              <w:bidi w:val="0"/>
              <w:spacing w:lineRule="auto" w:line="268" w:before="0" w:after="0"/>
              <w:jc w:val="left"/>
              <w:rPr>
                <w:rFonts w:ascii="Work Sans;sans-serif" w:hAnsi="Work Sans;sans-serif"/>
                <w:b/>
                <w:color w:val="000000"/>
                <w:sz w:val="18"/>
              </w:rPr>
            </w:pPr>
            <w:r>
              <w:rPr>
                <w:rFonts w:ascii="Work Sans;sans-serif" w:hAnsi="Work Sans;sans-serif"/>
                <w:b/>
                <w:color w:val="000000"/>
                <w:sz w:val="18"/>
              </w:rPr>
              <w:t>Business Formation Related Services</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EIN (Federal Tax ID Number)</w:t>
            </w:r>
          </w:p>
          <w:p>
            <w:pPr>
              <w:pStyle w:val="TableContents"/>
              <w:bidi w:val="0"/>
              <w:spacing w:lineRule="auto" w:line="268" w:before="0" w:after="0"/>
              <w:jc w:val="left"/>
              <w:rPr>
                <w:rFonts w:ascii="Work Sans;sans-serif" w:hAnsi="Work Sans;sans-serif"/>
                <w:b w:val="false"/>
                <w:color w:val="000000"/>
                <w:sz w:val="18"/>
              </w:rPr>
            </w:pPr>
            <w:r>
              <w:rPr>
                <w:rFonts w:ascii="Work Sans;sans-serif" w:hAnsi="Work Sans;sans-serif"/>
                <w:b w:val="false"/>
                <w:color w:val="000000"/>
                <w:sz w:val="18"/>
              </w:rPr>
              <w:t>Operating Agreement</w:t>
            </w:r>
          </w:p>
          <w:p>
            <w:pPr>
              <w:pStyle w:val="TableContents"/>
              <w:bidi w:val="0"/>
              <w:spacing w:lineRule="auto" w:line="268" w:before="0" w:after="0"/>
              <w:jc w:val="left"/>
              <w:rPr>
                <w:rFonts w:ascii="Work Sans;sans-serif" w:hAnsi="Work Sans;sans-serif"/>
                <w:b w:val="false"/>
                <w:color w:val="000000"/>
                <w:sz w:val="18"/>
              </w:rPr>
            </w:pPr>
            <w:r>
              <w:rPr>
                <w:rFonts w:ascii="Work Sans;sans-serif" w:hAnsi="Work Sans;sans-serif"/>
                <w:b w:val="false"/>
                <w:color w:val="000000"/>
                <w:sz w:val="18"/>
              </w:rPr>
              <w:t xml:space="preserve">Credit Monitoring </w:t>
            </w:r>
          </w:p>
          <w:p>
            <w:pPr>
              <w:pStyle w:val="TableContents"/>
              <w:bidi w:val="0"/>
              <w:spacing w:lineRule="auto" w:line="288" w:before="120" w:after="283"/>
              <w:jc w:val="left"/>
              <w:rPr>
                <w:rFonts w:ascii="Work Sans;sans-serif" w:hAnsi="Work Sans;sans-serif"/>
                <w:b/>
                <w:color w:val="000000"/>
                <w:sz w:val="18"/>
              </w:rPr>
            </w:pPr>
            <w:r>
              <w:rPr>
                <w:rFonts w:ascii="Work Sans;sans-serif" w:hAnsi="Work Sans;sans-serif"/>
                <w:b/>
                <w:color w:val="000000"/>
                <w:sz w:val="18"/>
              </w:rPr>
              <w:t>Intellectual Property</w:t>
            </w:r>
          </w:p>
          <w:p>
            <w:pPr>
              <w:pStyle w:val="TableContents"/>
              <w:bidi w:val="0"/>
              <w:spacing w:lineRule="auto" w:line="288" w:before="60" w:after="283"/>
              <w:jc w:val="left"/>
              <w:rPr>
                <w:rFonts w:ascii="Work Sans;sans-serif" w:hAnsi="Work Sans;sans-serif"/>
                <w:b w:val="false"/>
                <w:color w:val="000000"/>
                <w:sz w:val="18"/>
              </w:rPr>
            </w:pPr>
            <w:r>
              <w:rPr>
                <w:rFonts w:ascii="Work Sans;sans-serif" w:hAnsi="Work Sans;sans-serif"/>
                <w:b w:val="false"/>
                <w:color w:val="000000"/>
                <w:sz w:val="18"/>
              </w:rPr>
              <w:t>Trademark Application</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Copyright Registration</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Patent Application</w:t>
            </w:r>
          </w:p>
          <w:p>
            <w:pPr>
              <w:pStyle w:val="TableContents"/>
              <w:bidi w:val="0"/>
              <w:spacing w:lineRule="auto" w:line="288" w:before="120" w:after="283"/>
              <w:jc w:val="left"/>
              <w:rPr>
                <w:rFonts w:ascii="Work Sans;sans-serif" w:hAnsi="Work Sans;sans-serif"/>
                <w:b/>
                <w:color w:val="000000"/>
                <w:sz w:val="18"/>
              </w:rPr>
            </w:pPr>
            <w:r>
              <w:rPr>
                <w:rFonts w:ascii="Work Sans;sans-serif" w:hAnsi="Work Sans;sans-serif"/>
                <w:b/>
                <w:color w:val="000000"/>
                <w:sz w:val="18"/>
              </w:rPr>
              <w:t>Concierge Transaction Services</w:t>
            </w:r>
          </w:p>
          <w:p>
            <w:pPr>
              <w:pStyle w:val="TableContents"/>
              <w:bidi w:val="0"/>
              <w:spacing w:lineRule="auto" w:line="288" w:before="60" w:after="283"/>
              <w:jc w:val="left"/>
              <w:rPr>
                <w:rFonts w:ascii="Work Sans;sans-serif" w:hAnsi="Work Sans;sans-serif"/>
                <w:b w:val="false"/>
                <w:color w:val="000000"/>
                <w:sz w:val="18"/>
              </w:rPr>
            </w:pPr>
            <w:r>
              <w:rPr>
                <w:rFonts w:ascii="Work Sans;sans-serif" w:hAnsi="Work Sans;sans-serif"/>
                <w:b w:val="false"/>
                <w:color w:val="000000"/>
                <w:sz w:val="18"/>
              </w:rPr>
              <w:t>Dissolution Concierge</w:t>
            </w:r>
          </w:p>
          <w:p>
            <w:pPr>
              <w:pStyle w:val="TableContents"/>
              <w:bidi w:val="0"/>
              <w:spacing w:lineRule="auto" w:line="268" w:before="0" w:after="0"/>
              <w:jc w:val="left"/>
              <w:rPr>
                <w:rFonts w:ascii="Work Sans;sans-serif" w:hAnsi="Work Sans;sans-serif"/>
                <w:b w:val="false"/>
                <w:color w:val="000000"/>
                <w:sz w:val="18"/>
              </w:rPr>
            </w:pPr>
            <w:r>
              <w:rPr>
                <w:rFonts w:ascii="Work Sans;sans-serif" w:hAnsi="Work Sans;sans-serif"/>
                <w:b w:val="false"/>
                <w:color w:val="000000"/>
                <w:sz w:val="18"/>
              </w:rPr>
              <w:t>501(c)(3) Concierge</w:t>
            </w:r>
          </w:p>
          <w:p>
            <w:pPr>
              <w:pStyle w:val="TableContents"/>
              <w:bidi w:val="0"/>
              <w:spacing w:lineRule="auto" w:line="268" w:before="0" w:after="120"/>
              <w:jc w:val="left"/>
              <w:rPr>
                <w:rFonts w:ascii="Work Sans;sans-serif" w:hAnsi="Work Sans;sans-serif"/>
                <w:b w:val="false"/>
                <w:color w:val="000000"/>
                <w:sz w:val="18"/>
              </w:rPr>
            </w:pPr>
            <w:r>
              <w:rPr>
                <w:rFonts w:ascii="Work Sans;sans-serif" w:hAnsi="Work Sans;sans-serif"/>
                <w:b w:val="false"/>
                <w:color w:val="000000"/>
                <w:sz w:val="18"/>
              </w:rPr>
              <w:t>Entity Conversion Concierge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color w:val="000000"/>
                <w:sz w:val="18"/>
              </w:rPr>
            </w:pPr>
            <w:r>
              <w:rPr>
                <w:rFonts w:ascii="Work Sans;sans-serif" w:hAnsi="Work Sans;sans-serif"/>
                <w:b/>
                <w:color w:val="000000"/>
                <w:sz w:val="18"/>
              </w:rPr>
              <w:t>Consumer, Estate Planning and Other</w:t>
            </w:r>
          </w:p>
          <w:p>
            <w:pPr>
              <w:pStyle w:val="TableContents"/>
              <w:bidi w:val="0"/>
              <w:spacing w:lineRule="auto" w:line="288" w:before="60" w:after="283"/>
              <w:jc w:val="left"/>
              <w:rPr>
                <w:rFonts w:ascii="Work Sans;sans-serif" w:hAnsi="Work Sans;sans-serif"/>
                <w:b w:val="false"/>
                <w:color w:val="000000"/>
                <w:sz w:val="18"/>
              </w:rPr>
            </w:pPr>
            <w:r>
              <w:rPr>
                <w:rFonts w:ascii="Work Sans;sans-serif" w:hAnsi="Work Sans;sans-serif"/>
                <w:b w:val="false"/>
                <w:color w:val="000000"/>
                <w:sz w:val="18"/>
              </w:rPr>
              <w:t>Last Will and Testament</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Living Will</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Living Trust</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Power of Attorney</w:t>
            </w:r>
          </w:p>
          <w:p>
            <w:pPr>
              <w:pStyle w:val="TableContents"/>
              <w:bidi w:val="0"/>
              <w:spacing w:lineRule="auto" w:line="288" w:before="0" w:after="120"/>
              <w:jc w:val="left"/>
              <w:rPr>
                <w:rFonts w:ascii="Work Sans;sans-serif" w:hAnsi="Work Sans;sans-serif"/>
                <w:b w:val="false"/>
                <w:color w:val="000000"/>
                <w:sz w:val="18"/>
              </w:rPr>
            </w:pPr>
            <w:r>
              <w:rPr>
                <w:rFonts w:ascii="Work Sans;sans-serif" w:hAnsi="Work Sans;sans-serif"/>
                <w:b w:val="false"/>
                <w:color w:val="000000"/>
                <w:sz w:val="18"/>
              </w:rPr>
              <w:t>Legal Forms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3350"/>
                <wp:effectExtent l="0" t="0" r="0" b="0"/>
                <wp:wrapNone/>
                <wp:docPr id="9" name="Frame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Work Sans;sans-serif" w:hAnsi="Work Sans;sans-serif"/>
          <w:b/>
          <w:i/>
          <w:color w:val="000000"/>
          <w:sz w:val="18"/>
        </w:rPr>
      </w:pPr>
      <w:r>
        <w:rPr>
          <w:rFonts w:ascii="Work Sans;sans-serif" w:hAnsi="Work Sans;sans-serif"/>
          <w:b/>
          <w:i/>
          <w:color w:val="000000"/>
          <w:sz w:val="18"/>
        </w:rPr>
        <w:t>Subscription services</w:t>
      </w:r>
    </w:p>
    <w:p>
      <w:pPr>
        <w:pStyle w:val="TextBody"/>
        <w:bidi w:val="0"/>
        <w:spacing w:lineRule="auto" w:line="288" w:before="120" w:after="120"/>
        <w:ind w:left="0" w:right="0" w:firstLine="450"/>
        <w:jc w:val="left"/>
        <w:rPr/>
      </w:pPr>
      <w:r>
        <w:rPr>
          <w:rFonts w:ascii="Work Sans;sans-serif" w:hAnsi="Work Sans;sans-serif"/>
          <w:b w:val="false"/>
          <w:color w:val="000000"/>
          <w:sz w:val="18"/>
        </w:rPr>
        <w:t>At December 31, 2025, we h</w:t>
      </w:r>
      <w:r>
        <w:rPr>
          <w:rFonts w:ascii="Work Sans;sans-serif" w:hAnsi="Work Sans;sans-serif"/>
          <w:b w:val="false"/>
          <w:color w:val="000000"/>
          <w:sz w:val="18"/>
          <w:shd w:fill="FFFFFF" w:val="clear"/>
        </w:rPr>
        <w:t xml:space="preserve">ad approximately </w:t>
      </w:r>
      <w:r>
        <w:rPr>
          <w:rFonts w:ascii="Work Sans;sans-serif" w:hAnsi="Work Sans;sans-serif"/>
          <w:b w:val="false"/>
          <w:color w:val="000000"/>
          <w:sz w:val="18"/>
        </w:rPr>
        <w:t>1.9 million</w:t>
      </w:r>
      <w:r>
        <w:rPr>
          <w:color w:val="000000"/>
          <w:shd w:fill="FFFFFF" w:val="clear"/>
        </w:rPr>
        <w:t xml:space="preserve"> </w:t>
      </w:r>
      <w:r>
        <w:rPr>
          <w:rFonts w:ascii="Work Sans;sans-serif" w:hAnsi="Work Sans;sans-serif"/>
          <w:b w:val="false"/>
          <w:color w:val="000000"/>
          <w:sz w:val="18"/>
          <w:shd w:fill="FFFFFF" w:val="clear"/>
        </w:rPr>
        <w:t>subscription</w:t>
      </w:r>
      <w:r>
        <w:rPr>
          <w:color w:val="000000"/>
        </w:rPr>
        <w:t xml:space="preserve"> </w:t>
      </w:r>
      <w:r>
        <w:rPr>
          <w:rFonts w:ascii="Work Sans;sans-serif" w:hAnsi="Work Sans;sans-serif"/>
          <w:b w:val="false"/>
          <w:color w:val="000000"/>
          <w:sz w:val="18"/>
        </w:rPr>
        <w:t>units outstanding. Our subscriptions generally have annual terms, while some have monthly terms. Our primary subscription services are listed below, and a more detailed description of certain of our subscription services follows below:</w:t>
      </w:r>
    </w:p>
    <w:p>
      <w:pPr>
        <w:pStyle w:val="TextBody"/>
        <w:bidi w:val="0"/>
        <w:spacing w:lineRule="auto" w:line="288" w:before="120" w:after="283"/>
        <w:jc w:val="left"/>
        <w:rPr>
          <w:rFonts w:ascii="Work Sans;sans-serif" w:hAnsi="Work Sans;sans-serif"/>
          <w:b/>
          <w:color w:val="000000"/>
          <w:sz w:val="18"/>
        </w:rPr>
      </w:pPr>
      <w:r>
        <w:rPr>
          <w:rFonts w:ascii="Work Sans;sans-serif" w:hAnsi="Work Sans;sans-serif"/>
          <w:b/>
          <w:color w:val="000000"/>
          <w:sz w:val="18"/>
        </w:rPr>
        <w:t>Compliance Subscription Services</w:t>
      </w:r>
    </w:p>
    <w:p>
      <w:pPr>
        <w:pStyle w:val="TextBody"/>
        <w:bidi w:val="0"/>
        <w:spacing w:lineRule="auto" w:line="288" w:before="60" w:after="283"/>
        <w:jc w:val="left"/>
        <w:rPr>
          <w:rFonts w:ascii="Work Sans;sans-serif" w:hAnsi="Work Sans;sans-serif"/>
          <w:b w:val="false"/>
          <w:color w:val="000000"/>
          <w:sz w:val="18"/>
        </w:rPr>
      </w:pPr>
      <w:r>
        <w:rPr>
          <w:rFonts w:ascii="Work Sans;sans-serif" w:hAnsi="Work Sans;sans-serif"/>
          <w:b w:val="false"/>
          <w:color w:val="000000"/>
          <w:sz w:val="18"/>
        </w:rPr>
        <w:t>Registered Agent</w:t>
      </w:r>
    </w:p>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Compliance</w:t>
      </w:r>
    </w:p>
    <w:p>
      <w:pPr>
        <w:pStyle w:val="TextBody"/>
        <w:bidi w:val="0"/>
        <w:spacing w:lineRule="auto" w:line="288" w:before="120" w:after="283"/>
        <w:jc w:val="left"/>
        <w:rPr>
          <w:rFonts w:ascii="Work Sans;sans-serif" w:hAnsi="Work Sans;sans-serif"/>
          <w:b/>
          <w:color w:val="000000"/>
          <w:sz w:val="18"/>
        </w:rPr>
      </w:pPr>
      <w:r>
        <w:rPr>
          <w:rFonts w:ascii="Work Sans;sans-serif" w:hAnsi="Work Sans;sans-serif"/>
          <w:b/>
          <w:color w:val="000000"/>
          <w:sz w:val="18"/>
        </w:rPr>
        <w:t>Legal Subscription Services</w:t>
      </w:r>
    </w:p>
    <w:p>
      <w:pPr>
        <w:pStyle w:val="TextBody"/>
        <w:bidi w:val="0"/>
        <w:spacing w:lineRule="auto" w:line="288" w:before="60" w:after="283"/>
        <w:jc w:val="left"/>
        <w:rPr>
          <w:rFonts w:ascii="Work Sans;sans-serif" w:hAnsi="Work Sans;sans-serif"/>
          <w:b w:val="false"/>
          <w:color w:val="000000"/>
          <w:sz w:val="18"/>
        </w:rPr>
      </w:pPr>
      <w:r>
        <w:rPr>
          <w:rFonts w:ascii="Work Sans;sans-serif" w:hAnsi="Work Sans;sans-serif"/>
          <w:b w:val="false"/>
          <w:color w:val="000000"/>
          <w:sz w:val="18"/>
        </w:rPr>
        <w:t>Small Business Attorney Advice through our Legal Plans</w:t>
      </w:r>
    </w:p>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Consumer Attorney Advice through our Legal Plans</w:t>
      </w:r>
    </w:p>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Legal Forms</w:t>
      </w:r>
    </w:p>
    <w:p>
      <w:pPr>
        <w:pStyle w:val="TextBody"/>
        <w:bidi w:val="0"/>
        <w:spacing w:lineRule="auto" w:line="288" w:before="120" w:after="283"/>
        <w:jc w:val="left"/>
        <w:rPr>
          <w:rFonts w:ascii="Work Sans;sans-serif" w:hAnsi="Work Sans;sans-serif"/>
          <w:b/>
          <w:color w:val="000000"/>
          <w:sz w:val="18"/>
        </w:rPr>
      </w:pPr>
      <w:r>
        <w:rPr>
          <w:rFonts w:ascii="Work Sans;sans-serif" w:hAnsi="Work Sans;sans-serif"/>
          <w:b/>
          <w:color w:val="000000"/>
          <w:sz w:val="18"/>
        </w:rPr>
        <w:t>Concierge Subscription Services</w:t>
      </w:r>
    </w:p>
    <w:p>
      <w:pPr>
        <w:pStyle w:val="TextBody"/>
        <w:bidi w:val="0"/>
        <w:spacing w:lineRule="auto" w:line="288" w:before="60" w:after="283"/>
        <w:jc w:val="left"/>
        <w:rPr>
          <w:rFonts w:ascii="Work Sans;sans-serif" w:hAnsi="Work Sans;sans-serif"/>
          <w:b w:val="false"/>
          <w:color w:val="000000"/>
          <w:sz w:val="18"/>
        </w:rPr>
      </w:pPr>
      <w:r>
        <w:rPr>
          <w:rFonts w:ascii="Work Sans;sans-serif" w:hAnsi="Work Sans;sans-serif"/>
          <w:b w:val="false"/>
          <w:color w:val="000000"/>
          <w:sz w:val="18"/>
        </w:rPr>
        <w:t xml:space="preserve">Compliance Concierge </w:t>
      </w:r>
    </w:p>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Compliance and Legal Concierge</w:t>
      </w:r>
    </w:p>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 xml:space="preserve">Reinstatement Concierge and Compliance Concierge </w:t>
      </w:r>
    </w:p>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Business Concierge</w:t>
      </w:r>
    </w:p>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Business and Legal Concierge</w:t>
      </w:r>
    </w:p>
    <w:p>
      <w:pPr>
        <w:pStyle w:val="TextBody"/>
        <w:bidi w:val="0"/>
        <w:spacing w:before="0" w:after="0"/>
        <w:jc w:val="left"/>
        <w:rPr/>
      </w:pPr>
      <w:r>
        <w:rPr/>
      </w:r>
    </w:p>
    <w:p>
      <w:pPr>
        <w:pStyle w:val="TextBody"/>
        <w:bidi w:val="0"/>
        <w:spacing w:lineRule="auto" w:line="288" w:before="0" w:after="0"/>
        <w:jc w:val="left"/>
        <w:rPr>
          <w:rFonts w:ascii="Work Sans;sans-serif" w:hAnsi="Work Sans;sans-serif"/>
          <w:b/>
          <w:color w:val="000000"/>
          <w:sz w:val="18"/>
        </w:rPr>
      </w:pPr>
      <w:r>
        <w:rPr>
          <w:rFonts w:ascii="Work Sans;sans-serif" w:hAnsi="Work Sans;sans-serif"/>
          <w:b/>
          <w:color w:val="000000"/>
          <w:sz w:val="18"/>
        </w:rPr>
        <w:t>Business Management and Other Subscription Services</w:t>
      </w:r>
    </w:p>
    <w:p>
      <w:pPr>
        <w:pStyle w:val="TextBody"/>
        <w:bidi w:val="0"/>
        <w:spacing w:lineRule="auto" w:line="288" w:before="60" w:after="283"/>
        <w:jc w:val="left"/>
        <w:rPr>
          <w:rFonts w:ascii="Work Sans;sans-serif" w:hAnsi="Work Sans;sans-serif"/>
          <w:b w:val="false"/>
          <w:color w:val="000000"/>
          <w:sz w:val="18"/>
        </w:rPr>
      </w:pPr>
      <w:r>
        <w:rPr>
          <w:rFonts w:ascii="Work Sans;sans-serif" w:hAnsi="Work Sans;sans-serif"/>
          <w:b w:val="false"/>
          <w:color w:val="000000"/>
          <w:sz w:val="18"/>
        </w:rPr>
        <w:t>Business Licenses</w:t>
      </w:r>
    </w:p>
    <w:p>
      <w:pPr>
        <w:pStyle w:val="TextBody"/>
        <w:bidi w:val="0"/>
        <w:spacing w:lineRule="auto" w:line="288" w:before="60" w:after="283"/>
        <w:jc w:val="left"/>
        <w:rPr>
          <w:rFonts w:ascii="Work Sans;sans-serif" w:hAnsi="Work Sans;sans-serif"/>
          <w:b w:val="false"/>
          <w:color w:val="000000"/>
          <w:sz w:val="18"/>
        </w:rPr>
      </w:pPr>
      <w:r>
        <w:rPr>
          <w:rFonts w:ascii="Work Sans;sans-serif" w:hAnsi="Work Sans;sans-serif"/>
          <w:b w:val="false"/>
          <w:color w:val="000000"/>
          <w:sz w:val="18"/>
        </w:rPr>
        <w:t xml:space="preserve">Virtual Mail and Check Deposit Services </w:t>
      </w:r>
    </w:p>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 xml:space="preserve">Estate Planning Bundle </w:t>
      </w:r>
    </w:p>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Bookkeeping</w:t>
      </w:r>
    </w:p>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eSignature</w:t>
      </w:r>
    </w:p>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Trademark Monitoring</w:t>
      </w:r>
    </w:p>
    <w:p>
      <w:pPr>
        <w:pStyle w:val="TextBody"/>
        <w:bidi w:val="0"/>
        <w:spacing w:lineRule="auto" w:line="288" w:before="120" w:after="120"/>
        <w:ind w:left="0" w:right="0" w:firstLine="450"/>
        <w:jc w:val="left"/>
        <w:rPr/>
      </w:pPr>
      <w:r>
        <w:rPr>
          <w:rFonts w:ascii="Work Sans;sans-serif" w:hAnsi="Work Sans;sans-serif"/>
          <w:b w:val="false"/>
          <w:i/>
          <w:color w:val="000000"/>
          <w:sz w:val="18"/>
        </w:rPr>
        <w:t>Registered agent subscriptions</w:t>
      </w:r>
      <w:r>
        <w:rPr>
          <w:rFonts w:ascii="Work Sans;sans-serif" w:hAnsi="Work Sans;sans-serif"/>
          <w:b w:val="false"/>
          <w:color w:val="000000"/>
          <w:sz w:val="18"/>
        </w:rPr>
        <w:t>. In most states, small businesses are required to have a registered agent, which generally must be an adult or an authorized business that can receive mail or hand-delivered court documents at a physical address during normal business hours. This requirement can be burdensome for many small businesses to handle on their own. With our registered agent subscription, we serve as our customer’s registered agent: accepting their documents through the mail, digitizing critical business documents, and alerting them of critical business documents or notices. This subscription serves to help small business owners adhere to critical tax and annual report deadlines, among other benefits. During the year ended December 31, 2025, we had staffed registered agent locations covering all 50 U.S. states.</w:t>
      </w:r>
    </w:p>
    <w:p>
      <w:pPr>
        <w:pStyle w:val="TextBody"/>
        <w:bidi w:val="0"/>
        <w:spacing w:lineRule="auto" w:line="288" w:before="120" w:after="120"/>
        <w:ind w:left="0" w:right="0" w:firstLine="450"/>
        <w:jc w:val="left"/>
        <w:rPr/>
      </w:pPr>
      <w:r>
        <w:rPr>
          <w:rFonts w:ascii="Work Sans;sans-serif" w:hAnsi="Work Sans;sans-serif"/>
          <w:b w:val="false"/>
          <w:i/>
          <w:color w:val="000000"/>
          <w:sz w:val="18"/>
        </w:rPr>
        <w:t>Compliance subscriptions</w:t>
      </w:r>
      <w:r>
        <w:rPr>
          <w:rFonts w:ascii="Work Sans;sans-serif" w:hAnsi="Work Sans;sans-serif"/>
          <w:b w:val="false"/>
          <w:color w:val="000000"/>
          <w:sz w:val="18"/>
        </w:rPr>
        <w:t>. Our compliance subscriptions provide assistance with state-mandated regulatory filings, such as corporate annual reports that are required to keep a business entity in good standing. These compliance subscriptions also monitor the status of a customer’s business with certain state agencies to help the customer stay abreast of important deadlines and to provide alerts if their business falls out of good standing.</w:t>
      </w:r>
    </w:p>
    <w:p>
      <w:pPr>
        <w:pStyle w:val="TextBody"/>
        <w:bidi w:val="0"/>
        <w:spacing w:lineRule="auto" w:line="288" w:before="120" w:after="120"/>
        <w:ind w:left="0" w:right="0" w:firstLine="450"/>
        <w:jc w:val="left"/>
        <w:rPr/>
      </w:pPr>
      <w:r>
        <w:rPr>
          <w:rFonts w:ascii="Work Sans;sans-serif" w:hAnsi="Work Sans;sans-serif"/>
          <w:b w:val="false"/>
          <w:i/>
          <w:color w:val="000000"/>
          <w:sz w:val="18"/>
        </w:rPr>
        <w:t xml:space="preserve">Compliance concierge subscription. </w:t>
      </w:r>
      <w:r>
        <w:rPr>
          <w:rFonts w:ascii="Work Sans;sans-serif" w:hAnsi="Work Sans;sans-serif"/>
          <w:b w:val="false"/>
          <w:color w:val="000000"/>
          <w:sz w:val="18"/>
        </w:rPr>
        <w:t>Our DIFM compliance concierge subscription is a higher-value human</w:t>
        <w:noBreakHyphen/>
        <w:t>led, premium compliance service that pairs small business customers with a dedicated concierge manager who manages key state filings on their behalf, including annual and other periodic reports and ongoing compliance monitoring. This offering is designed to serve more complex and higher</w:t>
        <w:noBreakHyphen/>
        <w:t>value small businesses that prefer to delegate compliance tasks rather than self</w:t>
        <w:noBreakHyphen/>
        <w:t>serve through our digital workflows.</w:t>
      </w:r>
    </w:p>
    <w:p>
      <w:pPr>
        <w:pStyle w:val="TextBody"/>
        <w:bidi w:val="0"/>
        <w:spacing w:lineRule="auto" w:line="288" w:before="120" w:after="120"/>
        <w:ind w:left="0" w:right="0" w:firstLine="450"/>
        <w:jc w:val="left"/>
        <w:rPr/>
      </w:pPr>
      <w:r>
        <w:rPr>
          <w:rFonts w:ascii="Work Sans;sans-serif" w:hAnsi="Work Sans;sans-serif"/>
          <w:b w:val="false"/>
          <w:i/>
          <w:color w:val="000000"/>
          <w:sz w:val="18"/>
        </w:rPr>
        <w:t>Attorney advice subscriptions</w:t>
      </w:r>
      <w:r>
        <w:rPr>
          <w:rFonts w:ascii="Work Sans;sans-serif" w:hAnsi="Work Sans;sans-serif"/>
          <w:b w:val="false"/>
          <w:color w:val="000000"/>
          <w:sz w:val="18"/>
        </w:rPr>
        <w:t>. For small businesses and consumers seeking legal advice, we offer subscription legal plans that provide access to independent attorneys in all 50 U.S. states. These attorney advice subscription packages include other robust benefits, such as having an attorney review a customer’s documents, the ability to edit and electronically sign forms from our attorney-drafted legal forms library, discounts on additional legal services offered by the network attorney, and, in some cases, an annual checkup with the network attorney for small business or estate planning purposes.</w:t>
      </w:r>
    </w:p>
    <w:p>
      <w:pPr>
        <w:pStyle w:val="TextBody"/>
        <w:bidi w:val="0"/>
        <w:spacing w:lineRule="auto" w:line="288" w:before="120" w:after="120"/>
        <w:ind w:left="0" w:right="0" w:firstLine="450"/>
        <w:jc w:val="left"/>
        <w:rPr/>
      </w:pPr>
      <w:r>
        <w:rPr>
          <w:rFonts w:ascii="Work Sans;sans-serif" w:hAnsi="Work Sans;sans-serif"/>
          <w:b w:val="false"/>
          <w:i/>
          <w:color w:val="000000"/>
          <w:sz w:val="18"/>
        </w:rPr>
        <w:t xml:space="preserve">Virtual mail subscriptions. </w:t>
      </w:r>
      <w:r>
        <w:rPr>
          <w:rFonts w:ascii="Work Sans;sans-serif" w:hAnsi="Work Sans;sans-serif"/>
          <w:b w:val="false"/>
          <w:color w:val="000000"/>
          <w:sz w:val="18"/>
        </w:rPr>
        <w:t xml:space="preserve">The rise of the gig economy and remote work have resulted in an increasing number of small businesses operating out of a home or personal address. Our virtual mail subscription protects a customer’s personal information by providing an independent business address. It also provides our customers flexibility by allowing them to check their mail from anywhere. Our virtual mail services include mail receipt, sorting, digitization, check depository services, and shipment or storing of select mail.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3350"/>
                <wp:effectExtent l="0" t="0" r="0" b="0"/>
                <wp:wrapNone/>
                <wp:docPr id="10" name="Frame1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pPr>
      <w:r>
        <w:rPr>
          <w:rFonts w:ascii="Work Sans;sans-serif" w:hAnsi="Work Sans;sans-serif"/>
          <w:b w:val="false"/>
          <w:i/>
          <w:color w:val="000000"/>
          <w:sz w:val="18"/>
        </w:rPr>
        <w:t xml:space="preserve">Legal forms and eSignature subscriptions. </w:t>
      </w:r>
      <w:r>
        <w:rPr>
          <w:rFonts w:ascii="Work Sans;sans-serif" w:hAnsi="Work Sans;sans-serif"/>
          <w:b w:val="false"/>
          <w:color w:val="000000"/>
          <w:sz w:val="18"/>
        </w:rPr>
        <w:t>Our legal forms subscription includes unlimited access to our library of customizable legal forms, electronic storage of applicable LegalZoom documents, and document revisions. We also offer eSignature subscriptions, which allow customers to upload their own documents or draft new documents using one of our attorney-drafted legal form templates and then sign and manage those documents online, all in one place.</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Seasonality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Historically, our customers have tended to place a higher number of orders and entered into new or renewed subscriptions in the first quarter of the year, which is when we believe the demand for forming businesses is the highest. Further seasonality is reflected in the timing of our revenue recognition in the second quarter, when we have typically recognized a high amount of revenue from orders placed in the first quarter but fulfilled in the second quarter. We have historically seen demand for our services decline around the beginning of the third quarter as a result of summer vacations and in the last two months of the fourth quarter as a result of the winter holidays. </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Our Technology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developed a highly scalable and flexible technology platform that enables us to efficiently process thousands of customer orders daily and facilitate seamless interactions with our customers and the independent attorneys participating in our legal network. We devote substantial resources to consistently enhance our technology platform. Key components of our technology are described below.</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Dynamic online questionnaire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Legal documents are populated by our platform through the use of our dynamic online questionnaires. Our customers complete a comprehensive yet intuitive questionnaire that is powered by a rules-based engine to pose questions based on the customer’s legal jurisdiction, location and prior responses to solicit the information needed to comply with local and state laws and regulations.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Document automation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technology platform includes complex automation systems that transfer customer responses into many state or county-specific templates to generate customized legal documents. Our automation unifies the various methods used by states and counties to form businesses into a single easy-to-understand customer experience. We use straight through processing for several products, which has enabled us to deliver the documents to the customer in near real-time.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Compliance platform</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built a system to notify our customers of upcoming compliance milestones and associated requirements. Additionally, for our registered agent subscribers, we have a system of receiving, scanning, sorting, and labeling documents from state agencies across the country that leverages technology to quickly deliver physical and electronic copies to our customer.</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Workflow platform</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a proprietary workflow and collaboration platform that powers our DIFM and human</w:t>
        <w:noBreakHyphen/>
        <w:t>assisted services across legal subscriptions, intellectual property, and emerging concierge offerings. The platform standardizes certain legal and compliance work into templated, AI</w:t>
        <w:noBreakHyphen/>
        <w:t>ready workflows with integrated customer data, documents, messaging and time tracking in a single system. Our workflow platform is integrated with our document automation, compliance, CRM, and fulfillment systems. We leverage this platform with our in-house ABS attorneys and business specialists, as well as with our independent network of attorneys that service our legal plans, to deliver consistent outcomes and collaboration at scale while layering in generative AI to automate routine steps.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Robust CRM platform</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account executives, customer care and sales organization and fulfillment specialists leverage a multi-channel customer relationship management platform, powered by integrating a variety of tier one contact center technologies. The platform is integrated into various systems and enables us to support customers through communications via multiple channels including our websites, email, text, phone and online chat.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3350"/>
                <wp:effectExtent l="0" t="0" r="0" b="0"/>
                <wp:wrapNone/>
                <wp:docPr id="11" name="Frame1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Scalable and secure infrastructure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platform resides on a combination of on-premises infrastructure and best-in-class public cloud-based platforms. Our platform is highly scalable to accommodate an increasing volume of customer orders. We have designed our websites to be highly intuitive and secure using proprietary software and commercially supported tools.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website allows users to access the same content on our platform from their laptops, tablets, or smart phones.</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Intellectual Property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believe that our proprietary technology is an important and valuable part of our business. We protect this proprietary technology by relying on a variety of intellectual property mechanisms including copyright, patent and trademark laws, restrictions on disclosure and other methods. We frequently file applications for trademarks and service marks in order to protect our intellectual property.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various trademark registrations in the U.S. and in foreign jurisdictions, as well as pending trademark applications in the U.S. and internationally. We have no issued patents, but we have a patent-pending application that we are pursuing in the U.S. and internationally. We also license intellectual property from third-parties, such as software used to support our technology and operations.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we seek to protect our intellectual property rights by requiring our employees and independent contractors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Sales and Marketing</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invest significantly to create a highly recognizable brand, online and offline and we attract a meaningful percentage of unpaid website traffic, underscoring our brand strength and content offering. Our content marketing includes educational initiatives such as our Article Center on our website, where we create content to better inform our customers on how they can plan for and protect themselves, their families, and their businesses.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use a strategic mix of online and offline marketing and strategic partnerships in combination with inbound sales. Our largest customer acquisition media spend is in search engine marketing to capture demand generated by our other paid and organic channels. As we aim to reach a wider audience of new and existing small businesses, we have been diversifying our marketing spend beyond search engine marketing into brand, affiliate, and partner channels with a goal of broadening our media mix and customer acquisition levers. We also advertise from time to time across television, radio, podcasts, digital video, and social media.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taking customer calls, our sales team uses a conversational approach to introduce our services, explain features and recommend various partners. When our sales team becomes involved, the average order size frequently increases due to our team’s effectiveness in selling ancillary offerings. Our sales teams also proactively target qualified prospects, such as those who began a questionnaire in our customer experience journey but have yet to purchase.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As part of our acquisition of Formation Nation in February 2025, we expanded our sales team with the onboarding of a team of seasoned sales experts. </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Human Capital Management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At December 31, 2025, we, together with all our subsidiaries, had 1,196 employees worldwide. At December 31, 2025, we also engaged approximately 700 contractors and consultants globally. None of our employees are represented by a labor union. We have not experienced any work stoppages, and we believe that our employee relations are strong.</w:t>
      </w:r>
    </w:p>
    <w:p>
      <w:pPr>
        <w:pStyle w:val="TextBody"/>
        <w:bidi w:val="0"/>
        <w:spacing w:lineRule="auto" w:line="268" w:before="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primary compensation strategy is to promote a pay-for-performance culture. Our guiding principles are anchored on the goals of being able to attract, incentivize, and retain talented employees who can develop, implement, and drive long-term value creation strategies. We’ve designed our compensation approach so that every U.S. based employee has a component of their compensation that is performance or incentive driven. We offer competitive compensation that we believe is aligned with the market and fair relative to our peers.</w:t>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At LegalZoom, our values are Lift Each Other Up, Champion Our Customers, See the Whole Picture, Focus on Results, and Keep It Simple. These values shine through in all that we do to foster an inclusive and empowering culture, as we continue to focus on the well-being and success of our employees.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3350"/>
                <wp:effectExtent l="0" t="0" r="0" b="0"/>
                <wp:wrapNone/>
                <wp:docPr id="12" name="Frame1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monitor the state of our employees’ happiness with regular engagement surveys, open feedback forums, and action planning based on results. We continue to see positive engagement scores, particularly in overall satisfaction, or OSAT, and Net Promoter Score, or NPS, when our employees are asked the likelihood of recommending LegalZoom as a great place to work.</w:t>
      </w:r>
    </w:p>
    <w:p>
      <w:pPr>
        <w:pStyle w:val="TextBody"/>
        <w:bidi w:val="0"/>
        <w:spacing w:before="0" w:after="0"/>
        <w:jc w:val="left"/>
        <w:rPr/>
      </w:pPr>
      <w:r>
        <w:rPr/>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a flexible work policy, which enables flexibility to work remotely and collaborate in offices. We utilize virtual tools and office locations in multiple states for engagement events, in-person meetings, team offsites, leadership conferences, and more to build connection and productivity. This approach has allowed us to build foundational infrastructure and establish a stronger culture both virtually and in-person.</w:t>
      </w:r>
    </w:p>
    <w:p>
      <w:pPr>
        <w:pStyle w:val="TextBody"/>
        <w:bidi w:val="0"/>
        <w:spacing w:before="0" w:after="0"/>
        <w:jc w:val="left"/>
        <w:rPr/>
      </w:pPr>
      <w:r>
        <w:rPr/>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also invest in employee engagement to help improve connection. Our employee recognition program rewards and provides visibility to our employees’ accomplishments as they align to our business goals and operating values. We also continue to fuel our organization’s passion for social good, with our employee giving program and platform that provides dollar-for-dollar matching and paid time off for volunteering. We also host social impact events, like our annual Impact Week, where we come together to volunteer, learn about causes and fundraise.</w:t>
      </w:r>
    </w:p>
    <w:p>
      <w:pPr>
        <w:pStyle w:val="TextBody"/>
        <w:bidi w:val="0"/>
        <w:spacing w:before="0" w:after="0"/>
        <w:jc w:val="left"/>
        <w:rPr/>
      </w:pPr>
      <w:r>
        <w:rPr/>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seven employee resource groups today, including Pride Zoomer Alliance Network, Lift Every Voice Black Network, RiseUp Women’s Network, Women in Tech Network, Asian Pacific American Zoomer Association, Nos Unimos LatinX Network, and LZ Veterans, each with dedicated internal funding and executive sponsorship. These networks, which are open to all employees, have built internal mentorship and development programs, host meaningful and educational events, and have contributed to their broader communities outside of LegalZoom through their initiatives.</w:t>
      </w:r>
    </w:p>
    <w:p>
      <w:pPr>
        <w:pStyle w:val="TextBody"/>
        <w:bidi w:val="0"/>
        <w:spacing w:before="0" w:after="0"/>
        <w:jc w:val="left"/>
        <w:rPr/>
      </w:pPr>
      <w:r>
        <w:rPr/>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remain committed to our principles of taking care of our employees holistically while continuously looking for ways to improve our overall benefits offerings. We offer competitive benefits including: 100% employer-paid medical, travel reimbursement for out-of-state procedures, dental and vision plans, fertility coverage, mental health coverage and workshops, physical wellness, lifestyle benefits, paid-time off, and 401k match. </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Government Regulation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operate in a particularly complex legal and regulatory environment. We are subject to a wide variety of state and federal laws, rules and regulations in the U.S., including those related to internet activities, UPL, the corporate practice of law, or CPL, privacy, data protection, cybersecurity, data retention, consumer protection, content regulation, subscription offerings, virtual mail, the processing of legal documents, commercial registered agents, the provision of online payment services and other matters, which are continuously evolving and developing.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business model includes the provision of services that represent an alternative to traditional legal services, which has subjected us to allegations of UPL. UPL generally refers to an entity or person giving or offering legal advice who is not licensed to practice law. However, laws and regulations defining UPL, and the governing bodies that enforce UPL rules, differ among the various jurisdictions in which we operate. The regulatory environment in the U.S. is evolving slowly with only a few states approving regulatory reform that permits non-lawyers to co-own law firms and other legal service operations. We received a license to operate one of our U.S. subsidiaries as an ABS in Arizona in September 2021. This Arizona ABS employs and contracts with licensed attorneys to provide limited scope legal services to U.S.-based consumers who purchase such services on our websites. While we believe this ABS structure is legally permissible, it is generally untested in U.S. courts and we cannot assure you that it will insulate us from claims of CPL or UPL. These laws and regulations are regularly evolving and tested in courts, and may be interpreted, applied, created, or amended, in a manner that could harm our business.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we are subject to numerous foreign and domestic laws, regulations, and standards regarding privacy and data security governing the personal information and other data that we collect, store, use, or process. Such privacy and data security laws and regulations, as well as the interpretation and enforcement of such laws and regulations, are continuously developing and evolving and there is significant uncertainty with respect to how compliance with these laws and regulations may evolve and the costs and complexity of future compliance.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compliance with applicable government laws and regulations is not expected to materially affect our earnings or competitive position or result in material capital expenditures. However, we cannot predict what laws will be enacted in the future, or how existing or future laws will be administered, interpreted or enforced. We also cannot predict the amount of future expenditures that we may need to make to comply with, or to satisfy claims and lawsuits relating to, these various laws and regulations. See Part I, Item 1A, “Risk Factors” of this Annual Report on Form 10-K for additional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3350"/>
                <wp:effectExtent l="0" t="0" r="0" b="0"/>
                <wp:wrapNone/>
                <wp:docPr id="13" name="Frame1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Corporate and Other Information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are headquartered in Mountain View, California. We were incorporated as a California corporation in July 1999 and converted to a Delaware corporation in February 2007. Our website is located at https://www.legalzoom.com.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Investor Relations website is https://investors.legalzoom.com and we encourage investors to use it as a way of easily finding information about us. We make available on this website, free of charge, the reports that we file or furnish with the SEC including our Annual Reports on Form 10-K, Quarterly Reports on Form 10-Q, Current Reports on Form 8-K, and our Proxy Statements, and any amendments to these reports, as soon as reasonably practicable after we file such material with, or furnish it to, the SEC. We also make available certain corporate governance information, including our Code of Business Conduct and Ethics, and select press releases.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3350"/>
                <wp:effectExtent l="0" t="0" r="0" b="0"/>
                <wp:wrapNone/>
                <wp:docPr id="14" name="Frame1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1A. Risk Factors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business involves significant risks, and the material factors that make an investment in us risky or speculative are described below. You should carefully consider the risks and uncertainties described below, together with all of the other information in this Annual Report on Form 10-K, including our consolidated financial statements and related notes thereto. The risks and uncertainties described below are not the only ones we face. Additional risks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 </w:t>
      </w:r>
    </w:p>
    <w:p>
      <w:pPr>
        <w:pStyle w:val="TextBody"/>
        <w:bidi w:val="0"/>
        <w:spacing w:lineRule="auto" w:line="288" w:before="240" w:after="240"/>
        <w:jc w:val="left"/>
        <w:rPr>
          <w:rFonts w:ascii="Work Sans;sans-serif" w:hAnsi="Work Sans;sans-serif"/>
          <w:b/>
          <w:color w:val="000000"/>
          <w:sz w:val="18"/>
        </w:rPr>
      </w:pPr>
      <w:r>
        <w:rPr>
          <w:rFonts w:ascii="Work Sans;sans-serif" w:hAnsi="Work Sans;sans-serif"/>
          <w:b/>
          <w:color w:val="000000"/>
          <w:sz w:val="18"/>
        </w:rPr>
        <w:t>Risks Relating to Our Business and Industry</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business primarily depends on business formations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majority of our transaction revenue is generated by providing business formation services to guide our customers. In 2025 and 2024, business formations represented the largest share of our total transaction orders. The number of business formations on our platform is subject to unpredictable declines or fluctuations as a result of a number of factors, many of which are out of our control, including an overall decline in the number of U.S. business formations, an economic slowing or downturn, a public health pandemic or epidemic, increased competition, regulatory obstacles, changes in law (including changes in tax laws and regulations), changes in the business environment due to inflation, tariffs, interest rates, government assistance, increased compliance or operating costs (including wage and benefit pressures) and dissatisfaction with our services. In addition, the U.S. continues to experience significant political events that cast uncertainty on global financial and economic markets. Actions taken by the current Presidential administration have had and may continue to have a negative impact on the U.S. economy and the number of U.S. business formations. Declines in the overall number of U.S. business formations or the number of business formations on our platform have adversely affected, and may in the future adversely affect, our business, results of operations, financial condition or future prospects. To the extent the growth rate of new business formations declines, these impacts can be expected to intensify.</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business depends substantially on our customers expanding their use of our platform, including our transactional customers converting into subscribers and our subscribers renewing their subscriptions with us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For the past few years, a significant amount of our revenue has been derived from our subscriptions for small businesses and individuals. In 2025, approximately 65% of our revenue came from subscriptions. Subscriptions have primarily originated from transactional customers who opted to become subscribers. For us to maintain or improve our operating results, including our revenue growth rate, it is important that we convert transactional customers into subscribers, retain our existing subscribers and that our existing subscribers expand their use of our platform. However, subscriptions may be terminated at any time, and the rate at which we retain our subscribers may decline or fluctuate as a result of a number of factors, including subscribers’ satisfaction or dissatisfaction with our platform, the effectiveness of our customer support services, the quality and perceived quality of the services we provide, our pricing and the pricing of competing products or services, the lifecycle of our customers’ businesses and their evolving needs, and the effects of global economic conditions, regulatory changes and reductions in subscribers’ discretionary income and spending levels. As a result, we cannot accurately predict subscription renewal rates or the number of existing or new customers that will subscribe to our subscription services, including whether customers will continue to subscribe at the same rate as they have historically. During 2024, we experienced a deceleration in our subscription revenue growth rate. If our subscription revenue growth rate does not continue to improve, our business, results of operations, financial condition and future prospects would be adversely affected. If the growth of our subscription business, including our subscription revenue growth rate, falls below the expectations of the public market, securities analysts or investors, the price of our common stock could also be harmed.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Failure to effectively manage our growth could adversely impact our business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the past, we have experienced significant growth in both operations and headcount, which placed increased demands on our management team and our administrative, operational and financial infrastructure. Our management team has developed a strategy to continue growing our business. In addition, we acquired Formation Nation in February 2025, which we are integrating into our operations. Our ability to manage this expected growth effectively and to continue to integrate the employees, operations and technologies of Formation Nation into our existing business will require us to continue to expand our operational and financial infrastructure, to improve our management controls and reporting systems and procedures and to continue to retain, attract, train, motivate and manage employees. Failure to effectively manage our growth could result in declines in service quality or customer satisfaction, increased costs, difficulties or delays in introducing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3350"/>
                <wp:effectExtent l="0" t="0" r="0" b="0"/>
                <wp:wrapNone/>
                <wp:docPr id="15" name="Frame1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products or services or other operational difficulties. Any of these difficulties could adversely impact our brand and reputation, business, results of operations, financial condition or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ability to achieve our growth strategy also impacts our ability to forecast our future operating results. If the assumptions regarding the growth of our business are incorrect or change, our results of operations and financial condition could differ materially from our expectations, our business could suffer and the trading price of our stock may decline.</w:t>
      </w:r>
    </w:p>
    <w:p>
      <w:pPr>
        <w:pStyle w:val="TextBody"/>
        <w:bidi w:val="0"/>
        <w:spacing w:lineRule="auto" w:line="288" w:before="240" w:after="120"/>
        <w:jc w:val="left"/>
        <w:rPr/>
      </w:pPr>
      <w:r>
        <w:rPr>
          <w:rFonts w:ascii="Work Sans;sans-serif" w:hAnsi="Work Sans;sans-serif"/>
          <w:b/>
          <w:i/>
          <w:color w:val="000000"/>
          <w:sz w:val="18"/>
        </w:rPr>
        <w:t>Our future quarterly results of operations may fluctuate significantly due to a wide range of factors, which makes our future results difficult to predict</w:t>
      </w:r>
      <w:r>
        <w:rPr>
          <w:color w:val="000000"/>
        </w:rPr>
        <w:t xml:space="preserve">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revenue and results of operations have historically varied from period to period, and we expect that they will continue to do so as a result of a number of factors, many of which are outside of our control, including, but not limited to the risks and uncertainties discussed herein and the following:</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ability to successfully implement our updated strategic execution priorities;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number of business formations and the rate of failure of small businesses;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level of demand for our services;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ability to attract new customers and retain existing customers, including the rate of renewal of subscriptions by, and extent of sales of additional subscriptions to, existing customers;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size, timing and terms of our subscription agreements with existing and new customers;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to our product offerings, including any new or discontinued products, pricing changes, the bundling of certain product offerings and our testing of new product line-ups;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mix of subscriptions and transactional products sold during a period;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introduction of new products and product enhancements by existing competitors or new entrants into our markets, and changes in pricing for solutions offered by us or our competitors;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seasonal variations, including those related to orders placed, sales and marketing and other activities or other seasonal fluctuations in our results of operations that are out of our control;</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in stock-based compensation;</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application of new or changing financial accounting standards or practices;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ability to increase, retain and incentivize the strategic partners that market and sell our platform;</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ability to control costs, including our operating expenses;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in governmental or other regulations affecting our business;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to government agency staffing and other practices and the functionality of their websites, which may cause delay or disruptions in our business, including the processing of business formations or Employer Identification Numbers, or EINs;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adverse global macroeconomic and market conditions or uncertainty with respect thereto, including economic conditions specifically affecting industries in which our customers operate;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general geopolitical events and conditions, both domestically and internationally.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Fluctuations in our quarterly operating results may be particularly pronounced in the current global macroeconomic environment, including due to uncertainty caused by recessionary fears, inflation, tariffs and interest rates and their respective impacts on consumer spending patterns, the success of existing small businesses and the formation of new small businesses. In addition, fluctuations in our quarterly operating results may cause those results to fall below our financial guidance or other projections, or the expectations of analysts or investors, which could cause the price of our common stock to decline. Fluctuations in our operating results could also cause a number of other problems. For example, analysts or investors may change their models for valuing our common stock, we could experience short-term liquidity issues, our ability to retain or attract key personnel may diminish, and other unanticipated issues may arise.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quarterly operating results may vary in the future and period-to-period comparisons of our operating results may not be meaningful. You should not rely on the results of any given quarter as an indication of future performance.</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have a history of net losses and we may not be able to maintain profitability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Since inception, we have incurred an accumulated deficit and may incur net losses in the foreseeable future. At December 31, 2025, we had an accumulated deficit of $1,134.4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3350"/>
                <wp:effectExtent l="0" t="0" r="0" b="0"/>
                <wp:wrapNone/>
                <wp:docPr id="16" name="Frame1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will need to generate and sustain increased revenue levels in future periods to maintain or increase our level of profitability. If our revenue and gross profits do not grow at a greater rate than our operating expenses, we will not be able to maintain or increase profitability and our business may be harmed. We may incur significant losses in the future for a number of reasons, including due to the risks and uncertainties described herein. Even if we are profitable, we may not be able to sustain or increase profitability on a quarterly or annual basis. Our failure to achieve sustained profitability would depress the value of our company and could impair our ability to raise capital, expand our business, diversify our product offerings, market our current and planned products, or continue our operations.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If we fail to provide high-quality products and services that meet our customers’ expectations, we may not be able to attract and retain customers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order to increase revenue and maintain profitability, we must attract new customers and retain existing customers. The quality and value of our services, customer care and customer experience, as well as the quality and accuracy of the services provided by the independent attorneys who participate in our and our partner’s networks, are critical to the success of our business and our ability to attract and retain customers. The failure or perceived failure of our customer support and fulfillment services and/or these independent attorneys to satisfy customer expectations could impede our ability to attract and retain customers.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we intend to continue to add new products and services and enhance our existing products and services, both of which will require us to devote significant resources before we know whether such products or services will be successful. For instance, in late 2025 we launched new concierge offerings for DIFM management of business compliance requirements. The success of any new products or services or enhancements to existing products or services depends on several factors, including timely completion, competitive pricing, adequate quality testing, introduction, integration with existing products and services, and market awareness and acceptance. We have in the past invested resources and introduced new products and services that have failed to produce the customer interest or results that we expected. We may fail to attract new customers or lose existing customers if current or future development efforts or services fail to meet customer expectations on a timely basis if at all. If we are unable to continue offering innovative solutions or if new or enhanced solutions fail to engage our customers, we may be unable to attract additional customers or retain our current customers, which may adversely affect our business, results of operations, financial condition or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If we do not continue to innovate and provide a platform that is useful to our customers, we may not remain competitive, and our results of operations could suffer</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success depends on our ability to provide innovative features that make our platform useful for existing and prospective customers. We have invested and intend to continue to invest resources in technology and development to continue improving the simplicity and effectiveness of our platform. We have also developed and introduced new and unproven services into our platform, including using technologies with which we have little or no prior development or operating experience, such as artificial intelligence, or AI. There is no assurance that our past or future investments in any changes or developments to our platform will provide us with the benefits we expect.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addition, because our platform is available over the internet and on mobile networks, we need to regularly modify and enhance our platform to keep pace with changes in internet-related hardware, software, communications and database technologies and standards. We expect the number of people who access our platform through mobile devices, including smartphones and handheld tablets or computers, to increase. If we are not able to provide customers with the experience, solutions and functionality they want on mobile devices, we may not be able to attract or retain customers or convert our website traffic into customers and our business may be harmed. If we are unable to respond to these rapid technological developments and changes in a timely and cost-effective manner, our platform may become less marketable, less competitive or obsolete, and our business, results of operations, financial condition and future prospects would be harmed. If new technologies emerge that can deliver competitive services at lower prices, more efficiently, more conveniently or more securely than LegalZoom, such technologies could adversely impact our ability to compete. Our platform must also integrate with a variety of network, hardware, mobile, and software platforms and technologies, and we need to frequently modify and enhance our services to adapt to changes and innovation in these technologies. Any failure of our platform to operate effectively with current or future infrastructure platforms and technologies could reduce the demand for our platform and harm our results of operations.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The legal solutions market is highly competitive and our failure to effectively compete successfully could materially and adversely affect our business, results of operations, financial condition and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operate in a very competitive industry. We face intense competition from law firms, solo attorneys, online legal document services, legal plans, secretaries of state and other service providers. The online legal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3350"/>
                <wp:effectExtent l="0" t="0" r="0" b="0"/>
                <wp:wrapNone/>
                <wp:docPr id="17" name="Frame1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solutions market is evolving rapidly and is becoming increasingly competitive. New market entrants that provide technologies that improve the delivery of legal solutions, such as AI and machine learning, have increased and could continue to increase the level of competition in the market. Other companies that focus on the online legal services market or business formations, including law firms that may elect to pursue the online legal services market, can and do directly compete with us. Law firms and solo attorneys, who provide in-person consultations and are able to provide direct legal advice that we generally cannot offer due to laws and regulations regarding UPL, compete with us offline and have developed and may continue to develop competing online legal services. We also compete in the registered agent services business with several companies that target small businesses, and these competitors have extensive experience in this market. In addition, some U.S. state and federal agencies have increased their offerings to our target customers or otherwise made their offerings more attractive to our target customers, including through free and easy-to-use business formation services or other document filing portals. To the extent U.S. states and federal agencies continue to increase or enhance their offerings to our target customers, it could have a significant adverse effect on our business, financial condition or results of operations. To the extent we are unable to compete, our business, results of operations, financial condition or future prospects may be harmed.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Any of our existing competitors, or other potential competitors that have not yet entered the market, have developed and may continue to develop innovative and cost-effective services, including automated corporate formation document processing, that target our existing and potential customers. Some of our competitors and potential competitors are larger and have greater name recognition, longer operating histories, more established customer relationships, larger budgets, and significantly greater resources than we do. As a result, our competitors may be able to respond more quickly and effectively than we can to new or changing opportunities, technologies, standards, or customer requirements. We expect to face increasing competition from offline and online legal services providers in our market, including through their use of AI, and our failure to effectively compete with these providers could result in revenue reductions, reduced margins, or loss of market share, any of which could have a material adverse effect on our business, results of operations, financial condition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business depends on our brand and reputation, which could be adversely affected by numerous factors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believe our brand has contributed to the success of our business and we have made substantial investments to build and strengthen our brand and reputation. Maintaining and enhancing the LegalZoom brand and our reputation is critical to growing and retaining our customer base. Regulatory proceedings, consumer claims, false and misleading advertising claims, litigation, customer complaints or negative publicity through word-of-mouth, social media outlets, blogs, and other third-party sources related to our business practices, as well as customer care, data privacy or security issues, irrespective of their validity, could diminish confidence in our services and adversely affect our brand and reputation and our ability to attract and retain customers. In addition, our brand and reputation could be impacted by any damage or reputational harm to the Inc Authority and Nevada Corporate Headquarters brands we acquired in February 2025.</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services, as well as those of our competitors, are regularly reviewed and commented upon by online and social media sources. Negative reviews, or reviews in which our competitors’ services are rated more highly than ours, irrespective of their accuracy, could negatively affect our brand and reputation. We have in the past received negative reviews wherein our customers expressed dissatisfaction with our services, including dissatisfaction with our customer support, our billing policies and the way our subscriptions operate, and we expect to receive similar reviews in the future. If we do not handle customer complaints effectively, our brand and reputation may suffer. We may lose our customers’ confidence, they may choose not to renew their subscriptions or purchase additional services from us, and we may fail to attract new customers. In addition, maintaining and enhancing our brand and reputation may require us to incur significant expenses and make substantial investments, which may not be successful. If we fail to successfully promote and maintain our brand and reputation, or if we incur excessive expenses in doing so, our business, results of operations, financial condition and future prospects may be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Furthermore, our brand and reputation are in part reliant on third-parties, including the independent attorneys who participate in our network and the partners to which we refer our customers for business insurance, tax solutions or banking services, among others. The failure or perceived failure of these third parties to satisfy customer expectations could negatively impact our brand and reputation.</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are incorporating AI into some of our offerings, which may present both compliance risks and reputational risks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have incorporated and intend to continue incorporating a number of AI-powered features into our platform and product offerings. The technologies underpinning these features are in the early stages of commercial use and present a number of regulatory, litigation, ethical, reputational, operational and financial risks. AI technologies, including the third-party large language models incorporated into our AI-powered offerings, may create accuracy issues, including flawed, incomplete, or inaccurate outputs and/or unintended biases and discriminatory outcomes. If the output, recommendations, content, or analyses that our AI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3350"/>
                <wp:effectExtent l="0" t="0" r="0" b="0"/>
                <wp:wrapNone/>
                <wp:docPr id="18" name="Frame1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applications assist in producing are or are alleged to be deficient, inaccurate, biased or discriminatory, or if they are determined to constitute UPL, we could be subjected to competitive harm, legal or regulatory liability, and brand or reputational harm. Some AI scenarios may also present ethical issues. If we enable or offer AI solutions that are controversial because of their perceived or real impact on human rights, privacy, employment, or other social issues, we may experience brand or reputational harm. Moreover, the regulatory framework for AI is rapidly evolving as many federal, state, and foreign government bodies and agencies have introduced or are considering additional laws and regulations. For example, the Colorado AI Act and California’s AI-related laws regulate the development and deployment of AI technologies. While new AI initiatives, laws, and regulations are emerging and evolving, what they ultimately will look like remains uncertain, and our obligation to comply with them could impact our development, offering and use of AI technologies, entail significant costs, limit our ability to incorporate certain AI capabilities into our business, or result in regulatory investigations and actions, and lawsuits.</w:t>
      </w:r>
    </w:p>
    <w:p>
      <w:pPr>
        <w:pStyle w:val="TextBody"/>
        <w:bidi w:val="0"/>
        <w:spacing w:lineRule="auto" w:line="276"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our employees and personnel use AI technologies to perform certain functions of their work, and the disclosure and use of personal data in AI technologies is subject to various privacy laws and other privacy obligations. Further, sensitive information regarding the Company or its customers could be leaked, disclosed, or revealed as a result of or in connection with our employees’, personnel’s, or vendors’ use of AI technologies.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If our marketing efforts are unsuccessful, our business, results of operations, financial condition and future prospects may be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ability to attract new customers and retain existing customers depends in large part on the success of our marketing channels. The primary marketing channels that generate traffic for our websites include search engine marketing, social media and other digital channels, television and our sales team.</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ability to maintain or increase customer traffic to our websites from internet search engines is not entirely within our control. We rely on both algorithmic and paid listing internet search results to drive customer traffic to our websites. Algorithmic listings are determined and displayed solely by a set of formulas designed by internet search engine companies. Internet search engines periodically revise their algorithms, methodologies and displays or incorporate AI into their platforms in ways that we cannot predict. Such changes, including an increased prominence of AI on the search engine results page, have adversely affected, and may continue to adversely affect, the placement of our search result page ranking and the resulting traffic to our websites, as well as our customer acquisition costs. In addition, we can purchase paid listings, which are displayed if particular words or terms are included in a customer’s internet search. We bid for paid listings against our competitors and third parties that may outbid us for preferred placement, which could adversely impact advertising efficiency and customer acquisition efforts. To the extent competition for paid listings increases or if paid listings prohibit the use of particular words or terms, we have in the past, and may again in the future, be required to increase our marketing expenses or reduce the number or prominence of these paid listings. If we reduce our internet search engine advertising, the number of customers who visit our websites could decline significantly. Additionally, changes in regulations or the business practices of third parties have in the past and could in the future limit our ability and the ability of search engines and social media platforms, including Google and Meta Platforms, to collect data from users and engage in targeted advertising, making them less effective in disseminating our advertisements to our target customers. The regulation of the use of cookies and other current online tracking and advertising practices or a loss in our ability to make effective use of services that employ such practices could adversely affect our business.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introduction of new technology or changes in the way in which customers consume information on the internet, such as shifting preferences for AI chat platforms, has diminished and may continue to diminish the effectiveness of our current marketing practices. We have in the past and may in the future be required to adopt new approaches to marketing to respond to these shifts and our efforts to remain competitive with technology trends, including the use of new or improved technology such as AI powered search platforms or evolving creative user interfaces, may increase our costs but may not increase sales or attract consumers. Any inability to respond to these changes effectively and in a cost-effective manner, or any future reduction or loss of any of our current advertising channels, could adversely affect our ability to attract new customers, which could adversely affect our business, results of operations, financial condition and future prospects.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depend on top talent, including our senior management team, to grow and operate our business, and if we are unable to hire, retain or motivate our employees, we may not be able to grow or operate effectively, which may adversely affect our business and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future success will depend upon our continued ability to identify, hire, develop, motivate and retain top talent. Competition for such talent is intense, particularly within the technology industry. To attract top talent, we have had to offer, and believe we will need to continue to offer, highly competitive compensation and benefit packages before we can validate the productivity of those employees, a practice which may not be sustainable and, even if sustainable, can be costly. We have from time to time experienced, and we expect to continue to experience, difficulty in hiring and retaining highly skilled employees with appropriate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3350"/>
                <wp:effectExtent l="0" t="0" r="0" b="0"/>
                <wp:wrapNone/>
                <wp:docPr id="19" name="Frame1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qualifications which may, among other things, impede our ability to execute our growth strategies or continue to operate our business in a satisfactory manner. In addition, our flexible first work policy, which results in a predominantly remote workforce, has made it difficult to orient, train, develop, motivate, and engage with our employees and embed them into the LegalZoom culture. If we are not able to effectively attract or retain quality employees and manage both our domestic and international workforce, including if employee relations deteriorate, disruptions to the business will occur, our costs will increase, our ability to achieve our strategic objectives will be adversely impacted, our brand or reputation could suffer, and our business may be adversely affected. In addition, we have in the past, and may in the future, conduct reduction in workforce actions, which can lead to the elimination of roles causing unexpected adverse impacts on our business. These adverse impacts can include attrition beyond the intended reduction in workforce, delays in the development of new products or services due to gaps in knowledge transfer and new employee ramp up time, an increased risk of litigation, the distraction of employees, and reduced employee morale, any of which could also adversely affect our reputation as an employer and make it more difficult for us to hire new employees in the future.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if we cannot attract additional, qualified independent attorneys to participate in our legal plan network to service the needs of our legal plan subscribers and attorneys to support our attorney assisted legal offerings, or if these attorneys encounter regulatory issues that prevent them from being able to service the needs of our customers, we may not be able grow and maintain our legal plan subscription business or other assisted legal solutions and, as a result, our business, revenue, results of operations and future prospects may be adversely affected.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business and success depend in part on our strategic relationships with third parties, including our partner ecosystem, and our business may be harmed if we fail to maintain or expand these relationships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depend on, and anticipate we will continue to depend on, various third-party relationships to sustain and grow our business. For example, we currently partner with a variety of third parties to provide us with lead referrals and to provide our customers with tax solutions, website development, credit card and banking services, productivity tools and business insurance, among others. Our sales and customer experience depend on our ability to connect to, and integrate easily with, such third-party solutions. We have in the past and may in the future determine to exit certain partnership relationships. We may also fail to retain and expand partnership relationships for many reasons, including third parties’ failure to maintain, support, or secure their technology platforms in general, restrictions imposed by regulatory compliance, and our integrations in particular. Terminations of partnership relationships, whether voluntary or involuntary, have in the past and could again in the future result in disputes or litigation or harm our relationship with our customers, our reputation and brand, our business and results of operations, and our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As we continue to add different types of partners to our partner ecosystem, it is uncertain whether any new or current third-party partners will be successful in building integrations, co-marketing our solutions to provide a significant volume and quality of lead referrals and orders, or continuing to work with us as their own businesses evolve. Identifying and negotiating new and expanded partner relationships requires significant resources and we cannot guarantee that the parties with which we have relationships can or will continue to devote the resources necessary to operate and expand our platform. In addition, integrating third-party technology can be complex, costly and time-consuming. Third parties may be unwilling to build integrations, and we may be required to devote additional resources to develop integrations for business applications on our own. The contracts applicable to third party development tools may be unfavorable and add costs or risks to our business or may require us to push additional contract terms to our customers that affect our relationship with our customers. Third parties we partner with, including providers of business applications with which we have integrations, may decide to compete with us or enter into arrangements with our competitors, resulting in such providers withdrawing support for our integrations. If we are unsuccessful in establishing or maintaining our relationships with third-parties, our ability to compete or our revenue, results of operations and future prospects may be adversely affected. Even if we are successful in establishing and maintaining these relationships with third parties, we cannot ensure that these relationships will result in increased usage of our platform or increased revenue. In addition, any failure of our solutions to operate effectively with these business applications could reduce the demand for our solutions and harm to our business and we may also be held responsible for obligations that arise from the actions or omissions of third parties. If we are unable to respond to these failures in a cost-effective manner, our solutions may become less marketable, less competitive or obsolete, and our results of operations may be negatively impacted.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reliance on third-party providers could adversely affect our business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rely on third parties to fulfill portions of the services we offer and to support our operations. For example, we rely on government agencies, including secretary of state offices, the U.S. Internal Revenue Service and the U.S. Patent and Trademark Office, to process business formation documents and related filings and intellectual property applications. These agencies have in the past and may in the future be unable or refuse to process submissions in a timely manner, including as a result of any government shutdowns, slowdowns or staffing shortages. To the extent we are unable to process submissions or filings in a timely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3350"/>
                <wp:effectExtent l="0" t="0" r="0" b="0"/>
                <wp:wrapNone/>
                <wp:docPr id="20" name="Frame2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manner, our brand and reputation may be adversely affected, or our customers may seek other avenues for their business formation or intellectual property needs.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also utilize third parties in connection with the fulfillment and distribution of our services, including the independent attorneys in our legal plan network and to support our registered agent and virtual mail subscription services. We also outsource certain operational functions, including certain sales, customer service and fulfillment functions. As a result, we rely on third parties to ensure that our and our customers’ needs are sufficiently met. While we select third-party providers carefully, we have limited control over their actions. If these third-party providers encounter difficulties, or if we have difficulty communicating with them, our business operations could be adversely affected. This reliance on third-party providers also subjects us to risks arising from the loss of control over processes, and potentially, termination of these services by the third parties. A failure of our third-party providers to perform services in a satisfactory manner may have a significant adverse effect on our business. In addition, our platform interoperates with certain third-party sites. As a result, our results may be affected by the performance of those parties and the interoperability of our platform with other sites. If certain third parties limit certain integration functionality, change their treatment of our services at any time, or experience quality issues, such as bugs and defects, our revenue, results of operations and future prospects may be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also utilize various types of data, technology, intellectual property and services licensed or otherwise obtained from unaffiliated third parties in order to provide certain elements of our solutions. For example, we rely on cloud computing infrastructure, particularly from Amazon Web Services, or AWS, to host our platform and support our operations. We exercise limited, if any, control over these third parties, including AWS, which increases our vulnerability to problems with the services they provide for us and to security incidents or breaches affecting the data and information they hold or process on our behalf. Any errors, defects, bugs or other vulnerabilities in any third-party data or other technology could result in errors in our solutions that could harm our business, damage our reputation and result in losses in revenue, and we could be required to undertake substantial additional research and expend significant development resources to fix any problems that arise. In addition, licensed data, technology, intellectual property and services may not continue to be available on commercially reasonable terms, or at all. Any loss of the right to use any of these services on commercially reasonable terms, or at all, could result in delays in producing or delivering our solutions until equivalent data, technology, intellectual property or services are identified and integrated, which delays could harm our business. In this situation we would be required to either redesign our solutions to function with such equivalent data, technology, intellectual property or services available from other parties or to develop these components or services ourselves, which would result in increased costs and potential delays in service. Furthermore, we might be forced to limit the features available in our current or future solutions. If we fail to maintain or renegotiate any of these data, technology or intellectual property licenses or services, we could face significant delays and diversion of resources in attempting to develop similar or replacement technology, or to license and integrate a functional equivalent of the relevant data, technology, intellectual property or service. The occurrence of any of these events may have an adverse effect on our business, financial condition, results of operations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The acquisition of Formation Nation and any future acquisitions or investments may divert our management’s attention, result in additional dilution to our stockholders or adversely affect our operating results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in the past acquired or invested in businesses, products or technologies that we believed could complement or expand our current platform, enhance our technical capabilities or otherwise offer growth opportunities. In February 2025, we acquired Formation Nation, and we may in the future seek to acquire or invest in additional businesses, products or technologies. The risks and uncertainties we face in connection with the recent acquisition of Formation Nation or any future acquisitions or investments, whether or not they are consummated, include, but are not limited to:</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an acquisition may require us to incur charges or assume substantial debt or other liabilities, cause adverse tax consequences, expose us to claims and disputes by stockholders and third parties, including intellectual property claims and disputes, and may not generate sufficient financial return to offset any additional costs and expenses related to such acquisition;</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difficulties or unforeseen expenditures in integrating the business, technologies, products, personnel or operations of the acquired company, particularly if key personnel of the acquired company decide not to work for us;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inability to retain personnel, key customers, distributors, vendors and other business partners of the acquired business;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inability to realize the financial and strategic goals or anticipated synergies of the acquisition or investment on a timely basis, if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3350"/>
                <wp:effectExtent l="0" t="0" r="0" b="0"/>
                <wp:wrapNone/>
                <wp:docPr id="21" name="Frame2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incurring higher than anticipated costs to effectively integrate an acquired business, to bring an acquired company into compliance with applicable laws and regulations or due to additional compensation issued or assumed in connection with an acquisition;</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disruption to our ongoing business, diversion of resources and distraction of our management;</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delays or reductions in customer purchases for both us and the company acquired due to customer uncertainty about continuity and effectiveness of service from either company;</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challenges integrating the employees of the acquired company into our company culture;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exposure to litigation or other claims in connection with, or inheritance of claims or litigation risk as a result of, an acquisition;</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potential identified or unknown security vulnerabilities in acquired products or technologies that expose us to additional security risks or delay our ability to integrate the products or technologies into our offerings;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difficulty in maintaining controls, procedures and policies during the transition and integration and inability to conclude that our internal controls over financial reporting are effective;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use of cash to pay for acquisitions or other investments would limit other potential uses for our cash;</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if we incur debt to fund any acquisitions, such debt may subject us to material restrictions on our ability to conduct our business due to new financial maintenance and other covenants;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issuance of a significant amount of equity securities in connection with any future acquisitions could dilute existing stockholders and earnings per share may decrease.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in the past faced difficulties in connection with integrating some of our acquisitions and expect to face similar difficulties in the future. These difficulties can range from lost productivity to legal proceedings, and we cannot know in advance the extent of the issues that may be involved with a particular acquisition or investment. We may also decide to restructure, divest or sell businesses, products or technologies that we have acquired or invested in previously. The occurrence of any of the foregoing risks could have an adverse effect on our business, results of operations, financial condition and future prospects and could adversely affect the market price of our common stock.</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focus on the long-term best interests of our company and our consideration of our stakeholders, more broadly, including our stockholders, customers, employees, and other stakeholders that we may identify from time to time, may conflict with short- or medium-term financial interests and business performance, which may negatively impact the value of our common stock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believe that focusing on the long-term best interests of our company and our consideration of our stakeholders more broadly, including our stockholders, customers, employees, partners, the communities in which we operate, and other stakeholders we may identify from time to time, is essential to the long-term success of our company and to long-term stockholder value. Therefore, we have made decisions, and may in the future make decisions, that we believe are in the long-term best interests of our company and our stockholders, even if such decisions may negatively impact the short- or medium-term performance of our business, results of operations, and financial condition or the short- or medium-term performance of our common stock. Our commitment to pursuing long-term value for our company and our stockholders, potentially at the expense of short- or medium-term performance, may materially adversely affect the trading price of our common stock, including by making owning our common stock less appealing to investors who are focused on returns over a shorter time horizon. Our decisions and actions in pursuit of long-term success and long-term stockholder value, which may include changes to our platform to enhance the experience of our customers, partners and the communities in which we operate, enabling equitable access to legal and compliance services, investing in our relationships with our customers, partners, and employees, investing in and introducing new services, or changing our approach to working with local or national jurisdictions on laws and regulations governing our business, may not result in the long-term benefits that we expect, in which case our business, results of operations, financial condition and the trading price of our common stock could be materially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Further, the independent attorneys who participate in our legal plans and attorneys who fulfill our attorney assisted legal offerings have duties both to the courts and their clients. These duties, including the associated responsibilities, such as confidentiality and the rules relating to the attorney-client and attorney work product privileges, are paramount. There could be circumstances in which the attorneys who participate in our network and fulfill the attorney assisted legal offerings believe that in order to comply with these duties they may have to act against the interests of our stockholders and the short-term profitability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3350"/>
                <wp:effectExtent l="0" t="0" r="0" b="0"/>
                <wp:wrapNone/>
                <wp:docPr id="22" name="Frame2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may not effectively ensure that online services and physical locations are protected from significant outages, denial or degradation of service attacks, natural disasters, including adverse weather conditions, and other disruptions, any of which could adversely affect our brand and reputation, business, results of operations, financial condition and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 key element of our business operations and continued growth is the ability of our customers to access our websites and mobile applications and our ability to fulfill orders placed through such platforms. Our systems may not be adequately designed with the necessary reliability to avoid performance delays, disruptions or outages that could be harmful to our business. We have experienced, and may in the future experience, website and service disruptions, outages and other performance problems due to a variety of factors, including infrastructure maintenance, natural disasters, human or software errors, ransomware attacks, capacity constraints, denial or degradation of service, fraud, climate change and extreme weather-related events, terrorism, war, telecommunications and electrical failures, cyberattacks or other security-related incidents. In some instances, the steps we have taken to try to prevent these attacks and disruptions and mitigate their potential impact on our systems and operations may be expensive and may not be successful. In addition, dependence upon information systems (including automated systems) may further increase the risk that operational system flaws, personnel error or malfeasance (including of service providers upon which we rely), or manipulation of those systems will result in defects or efforts that are difficult to detect. We may not be able to identify the cause or causes of any website or mobile application performance problems within an acceptable period of time. It may become increasingly difficult to maintain and improve our website or mobile application performance, especially during peak usage times, if the number of online services we offer increases, our services become more complex, or our customer traffic grows. If our websites or mobile applications are unavailable when customers attempt to access them, our customers may seek other solutions to address their needs and may not return to our websites or mobile applications in the future. Any failure to maintain performance, reliability, security or availability of our legal document services and online technology platform to the satisfaction of our customers may harm our brand and reputation, as well as our ability to retain existing customers and attract new customers, which could adversely affect our business, results of operations, financial condition and future prospects. In addition, to the extent that we do not effectively address future capacity constraints, upgrade and protect our systems, and continually develop our online legal platform to accommodate actual and anticipated technology changes, our brand and reputation, business, results of operations, financial condition and future prospects could be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operations and online services also rely on the continued functioning and accessibility of certain physical locations, including product fulfillment locations and data centers operated by AWS or other service providers. These physical locations are vulnerable to damage or interruption from natural disasters, adverse weather conditions, power losses, telecommunication failures, terrorist attacks, human errors or malfeasance, lockdown orders resulting from a public health pandemic or epidemic, break-ins and similar events. The occurrence of any of the foregoing events or other unanticipated problems at our facilities could result in lengthy interruptions in our services. We may not be able to efficiently relocate our fulfillment and delivery operations due to disruptions in service if one of these events occurs, and our insurance coverage may be insufficient to compensate us for such losses. Because the Los Angeles and Silicon Valley areas, where a large portion of our employees are located, are in earthquake fault zones and because both the Los Angeles area and Frisco, Texas, where a lot of our virtual mail operations are currently located, are subject to the increased risk of wildfires, tornadoes and power outages, we are particularly sensitive to the risk of damage to, or total destruction of, our offices and two key fulfillment and delivery centers. Our insurance limits against any certain losses or expenses that may result from a disruption to our business due to earthquakes or wildfires may not be sufficient to cover all such losses or expenses, and the occurrence of either of these events could adversely affect our business, results of operations, financial condition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may from time to time become involved in litigation, arbitration or government investigation matters that are expensive and time consuming and, if resolved adversely, could harm our brand and reputation, business, results of operations, financial condition or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are susceptible to various legal claims, lawsuits, arbitration, regulatory action or other proceedings, including those related to UPL, patent, trademark, trade secret and other intellectual property matters, taxes, labor and employment, competition and antitrust, privacy, data use, data protection, data security, network security, wiretapping, consumer protection and product liability, unfair business practices, breach of contract and other matters. We have been and may in the future become subject to various claims which, if resolved adversely, could have a material adverse effect on our financial position, results of operations, or cash flows. We anticipate that we will continue to be a target for such lawsuits in the future.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plaintiffs in these actions generally seek monetary damages, penalties, and/or injunctive relief. We cannot predict the outcome of such proceedings or the amount of time and expense that will be required to resolve such proceedings. If such claims are made against us, there can be no assurances that favorable final outcomes will be obtained; if such claims were to be determined adversely to our interests, or if we were forced to settle such matters for a significant amount, such resolutions or settlements may result in changes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3350"/>
                <wp:effectExtent l="0" t="0" r="0" b="0"/>
                <wp:wrapNone/>
                <wp:docPr id="23" name="Frame2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to or discontinuance of some of our services, potential liabilities or additional costs. Defending these claims is also costly and can impose a significant burden on management and employees, and we may receive unfavorable preliminary or interim rulings in the course of litigation. Any litigation to which we are currently or may in the future be a party may result in an onerous or unfavorable judgment that may not be reversed upon appeal, or we may decide to settle lawsuits on unfavorable terms. Any such negative outcome could result in payments of substantial monetary damages or fines, injunctive relief, adverse effects on the market price of our common stock or changes to our products or business practices, and accordingly, our brand and reputation, business, results of operations, financial condition or future prospects could be materially and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also may encounter future claims. For example, our U.S. subsidiary, LZ Legal Services, LLC, is licensed as an alternative business structure, which allows corporate entities to become licensed providers of reserved legal activities in Arizona. As a result, LZ Legal Services, LLC may be susceptible to potential claims from clients, such as breach of contract, product liability, negligence or other claims. Any such claims could result in reputational damage or an adverse effect on our results of operations. The professional liability insurance held by LZ Legal Services, LLC and limiting its liability in accordance with engagement letters with clients may not insure or protect against all potential claims or sufficiently indemnify us or the subsidiary for all liability that may be incurred. Any such liability, inclusive of the costs and expenses that may be incurred in defending any such claims, that exceeds the insurance coverage could have a material adverse effect on our business, results of operations, financial condition, or future prospects.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are subject to risks related to accepting credit and debit card payments that may harm our business or expose us to additional costs and liabilities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accept payments from our customers primarily through credit and debit card transactions. Our customers generally pay for transactions in advance by credit or debit card except for certain services provided under installment plans where we allow customers to pay for their order in three or twelve equal payments. Acceptance and processing of credit and debit cards requires that we pay interchange and other fees. In addition, we rely on third parties to provide payment processing services, including the processing of our credit and debit card transactions, and to provide payment collection services. To the extent there are increases in payment processing fees, material changes in the payment ecosystem, such as large re-issuances of payment cards, delays in receiving payments from payment processors, loss of payment partners and/or disruptions or failures in our payment processing systems, including products we use to update payment information, our revenue, operating expenses and results of operation could be adversely impacted. For example, if our processing vendors have problems with our billing software or the billing software malfunctions, we could lose customers who subscribe to our legal plans, registered agent services and other subscription services, which could decrease our revenue. In addition, if our billing software fails to work properly and, as a result, we do not automatically charge our subscribers’ credit cards on a timely basis or at all, our revenue could be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are also subject to payment card industry rules, certification requirements and rules governing electronic funds transfer, any of which could change or be reinterpreted to make it more difficult for us to comply. Our failure to comply fully with these rules or requirements may subject us to fines, higher transaction fees, penalties, damages, and civil liability and may result in the loss of our ability to accept credit and debit card payments, which could have a material adverse effect on our business, results of operations, financial condition and future prospects.</w:t>
      </w:r>
    </w:p>
    <w:p>
      <w:pPr>
        <w:pStyle w:val="TextBody"/>
        <w:bidi w:val="0"/>
        <w:spacing w:lineRule="auto" w:line="288" w:before="240" w:after="240"/>
        <w:jc w:val="left"/>
        <w:rPr>
          <w:rFonts w:ascii="Work Sans;sans-serif" w:hAnsi="Work Sans;sans-serif"/>
          <w:b/>
          <w:color w:val="000000"/>
          <w:sz w:val="18"/>
        </w:rPr>
      </w:pPr>
      <w:r>
        <w:rPr>
          <w:rFonts w:ascii="Work Sans;sans-serif" w:hAnsi="Work Sans;sans-serif"/>
          <w:b/>
          <w:color w:val="000000"/>
          <w:sz w:val="18"/>
        </w:rPr>
        <w:t xml:space="preserve">Risks Relating to Our Financial Condition, Indebtedness and Capital Requirements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results of operations may not immediately reflect downturns or upturns in sales because we recognize revenue from our customers over the term of their paid subscriptions with us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recognize revenue from paid subscriptions to our services over the respective term of the subscription period. For example, after a short introductory trial period, if any, subscribers can make a subscription commitment, with the upcoming subscription fee paid upon subscribing. As a result, much of our revenue is generated from the recognition of deferred revenue relating to subscriptions entered into during previous quarters. Consequently, shortfalls in demand for our services or declines in new or renewed subscriptions in any one quarter have in the past had, and may again in the future have, a small impact on the revenue that we recognize for that quarter but could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majority of our costs are expensed as incurred, while revenue is recognized over the life of the subscription agreement. As a result, growth in the number of customers could continue to result in our recognition of higher costs and lower revenue in the earlier periods of our subscription agreements. Further, our subscription-based revenue model also makes it difficult for us to rapidly increase our revenue through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3350"/>
                <wp:effectExtent l="0" t="0" r="0" b="0"/>
                <wp:wrapNone/>
                <wp:docPr id="24" name="Frame2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additional sales in any period, as revenue from new customers and significant increases in the size of subscriptions with existing customers must be recognized over the applicable subscription term.</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track certain financial and operating metrics with internal systems and tools and do not independently verify such metrics. Certain of our financial and operating metrics are subject to inherent challenges in measurement, and real or perceived inaccuracies in such metrics may harm our reputation and negatively affect our business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track certain financial and operating metrics, including key business metrics such as number of transactions, number of subscription units and average revenue per subscription unit, with internal company data, systems and tools that are not independently verified by any third-party. Our internal systems and tools have a number of limitations, and our methodologies for tracking these metrics may change over time, which could result in unexpected changes to our metrics, including the metrics we publicly disclose. If the internal systems and tools we use to track these metrics under-count or over-count performance or contain algorithmic or other technical errors, the data we report may not be accurate and we may be required to revise or cease reporting such metrics or figures. While the numbers we report are based on what we believe to be reasonable estimates of our metrics for the applicable period of measurement, there are inherent challenges in measuring how our services are used across large populations globally. For example, there are customers who have multiple subscriptions, which we treat as multiple subscription units for purposes of calculating our subscription units.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limitations or errors with respect to how we measure data or with respect to the data that we measure may affect our understanding of certain details of our business, which could affect our long-term strategies. If our financial and operating metrics are not accurate representations of our business, if investors do not perceive our operating metrics to be accurate, or if we discover material inaccuracies in our metrics, our reputation may be harmed, and our business, results of operations, financial condition and future prospects could be adversely affected.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have in the past identified material weaknesses in our internal control over financial reporting, and if we are unable to maintain effective internal control over financial reporting in the future, investors may lose confidence in the accuracy and completeness of our financial reports and the market price of our common stock may decline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are required to maintain internal control over financial reporting and to report any material weaknesses in such internal control. On an annual basis, we are required to furnish a report by management on the effectiveness of our internal control over financial reporting pursuant to Section 404 of the Sarbanes-Oxley Act and our independent registered public accounting firm is required to attest to the effectiveness of our internal control over financial reporting.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Compiling the system and processing documentation necessary to perform the evaluation needed to comply with Section 404 is costly and challenging. Our compliance with Section 404 requires that we incur substantial accounting expense and expend significant management efforts. We have hired and may need to continue to hire additional accounting and financial staff with appropriate public company experience and technical accounting knowledge and compile the system and process documentation necessary to maintain effective internal control over financial reporting.</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found material weaknesses in our internal control over financial reporting in the past. Although we remediated our material weaknesses and management concluded that our internal control over financial reporting was effective as of December 31, 2025, we cannot assure you that there will not be additional material weaknesses in our internal control over financial reporting in the future. Any failure to maintain internal control over financial reporting could severely inhibit our ability to accurately report our financial condition or results of operations. In addition, any future material weaknesses could result in the loss of investor confidence in the accuracy and completeness of our financial reports, the market price of our common stock could be negatively affected, and we could be subject to sanctions or investigations by the stock exchange on which our securities are listed, the SEC or other regulatory authorities, which would also require additional financial and management resources. Failure to maintain effective control systems required of public companies could also restrict our future access to the capital markets.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The agreement governing our revolving credit facility requires us to meet certain operating and financial covenants and places restrictions on our operating and financial flexibility. If we raise additional capital through debt financing, the terms of any new debt could further restrict our ability to operate our business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revolving facility that we entered into on July 2, 2021, or, as amended from time to time, the Amended Revolving Facility, contains affirmative and negative covenants, indemnification provisions and events of default. The affirmative covenants include, among others, administrative, reporting and legal covenants, in each case subject to certain exceptions. The negative covenants include, among others,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3350"/>
                <wp:effectExtent l="0" t="0" r="0" b="0"/>
                <wp:wrapNone/>
                <wp:docPr id="25" name="Frame2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limitations on our and certain of our subsidiaries’ abilities to carry out the following, in each case subject to certain exceptions: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incur additional indebtedness and guarantee indebtedness;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create or incur liens;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pay dividends and distribute or repurchase capital stock;</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merge, liquidate and make asset sales;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 lines of business;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 our fiscal year;</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incur restrictions on our subsidiaries’ ability to make distributions and create liens;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modify our organizational documents;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make investments, loans and advances;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enter into certain transactions with affiliates.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Amended Revolving Facility also contains a financial covenant that requires us to maintain a total net first lien leverage ratio not to exceed 4.50:1.00 on the last day of any fiscal quarter during which our Amended Facility usage exceeds 35% of the Amended Facility capacity. As a result of the restrictions described above, we may be limited as to how we conduct our business and we may be unable to raise additional debt or equity financing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or amend the covenants.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ability to comply with the covenants and restrictions contained in the Amended Revolving Facility may be affected by economic, financial and industry conditions beyond our control. The restrictions in the Amended Revolving Facility may prevent us from taking actions that we believe would be in the best interests of our business and may make it difficult for us to execute our business strategy successfully or effectively compete with companies that are not similarly restricted. Our failure to comply with the restrictive covenants and other terms of our indebtedness could result in an event of default, which, if not cured or waived, could result in the lenders declaring all obligations, together with accrued and unpaid interest, immediately due and payable and take control of the collateral, potentially requiring us to renegotiate the Amended Revolving Facility on terms less favorable to us and could also trigger cross-default provisions in other contracts, potentially resulting in serious consequences to our business, results of operations, financial condition and future prospects, including bankruptcy or insolvency. Even if the Amended Revolving Facility is terminated, any additional debt that we incur in the future could subject us to similar or additional covenants.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the Amended Revolving Facility also permits borrowings denominated in Euros, British pound sterling and other alternative currencies that may be approved by the administrative agent and revolving lenders. Such non-U.S. dollar-denominated debt may not necessarily correspond to the cash flow we generate in such currencies.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are subject to fluctuations in interest rates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Any borrowings under the Revolving Facility will be subject to variable rates of interest and expose us to interest rate risk. Sharp changes in interest rates could adversely affect us if amounts are outstanding under the Revolving Facility. In the future, we may enter into contractual arrangements designed to hedge our exposure to changes in interest rates. If we enter into derivative financial instruments to mitigate interest rate risk in the future, we may not maintain interest rate swaps, caps or other applicable financial instruments with respect to all of our indebtedness, and any financial instrument we enter into may not fully mitigate our interest rate risk, may prove disadvantageous or may create additional risks. If these hedging arrangements are unsuccessful, we may experience an adverse effect on our business, results of operations, financial condition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ability to use our NOL carryforwards may be limited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Unused U.S. federal net operating losses, or NOLs, for taxable years beginning before January 1, 2018, may be carried forward for 20 years to offset future taxable income, if any, until such unused NOLs expire. U.S. federal NOLs incurred in taxable years beginning after December 31, 2017, can be carried forward indefinitely and are limited to 80% of taxable income. In addition, under Section 382 of the Internal Revenue Code of 1986, as amended, and corresponding provisions of state law, if a corporation undergoes an “ownership change,” which is generally defined as a greater than 50 percentage point change (by value) in its equity ownership over a three-year period, the corporation’s ability to use its pre-change NOL carryforwards to offset its post-change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3350"/>
                <wp:effectExtent l="0" t="0" r="0" b="0"/>
                <wp:wrapNone/>
                <wp:docPr id="26" name="Frame2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income or taxes may be limited. We have determined that none of our NOLs will expire solely due to Section 382 limitations. However, we may experience ownership changes in the future as a result of shifts in our stock ownership, some of which may be outside of our control. This could limit the amount of NOLs that we can utilize annually to offset future taxable income or tax liabilities. Subsequent ownership changes and changes to the U.S. tax rules in respect of the utilization of NOLs may further affect the limitation in future years. In addition, at the state level, there may be periods during which the use of NOLs is suspended or otherwise limited, which could accelerate or permanently increase state taxes owed. For example, California imposed limits on the usability of California NOLs to offset taxable income and certain business credits to offset California tax liabilities in tax years beginning after 2023 and before 2027.</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Changes in our effective tax rate or tax liability may have an adverse effect on our results of operations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are subject to income taxes in the U.S. and various foreign jurisdictions. The determination of our worldwide provision for income taxes and other tax liabilities requires significant judgment by management, and there are many transactions where the ultimate tax determination is uncertain. We believe that our provision for income taxes is reasonable, but the ultimate tax outcome may differ from the amounts recorded in our consolidated financial statements and may affect our financial results in the period or periods in which such outcome is determined.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effective tax rate could increase due to several factors, including:</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in the relative amounts of income before taxes in the various jurisdictions in which we operate that have differing statutory tax rates;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in tax laws, tax treaties, and regulations or the interpretation of them, including the Inflation Reduction Act of 2022, or the IRA, and the One Big Beautiful Bill Act, or the OBBBA;</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outcome of current and future tax audits, examinations, or administrative appeals;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effects of acquisitions.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Any of these developments could adversely affect our results of operations.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Changes in tax laws or regulations that are applied adversely to us or our customers may have a material adverse effect on our business, cash flow, financial condition or results of operations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New tax laws, statutes, rules, regulations or ordinances could be enacted at any time. For example, the One Big Beautiful Bill Act, or the OBBBA, which was enacted into law in July 2025, includes significant changes to federal tax law. New tax laws, including the OBBBA, may affect our operating results and financial conditions. Further, existing tax laws, statutes, rules, regulations or ordinances could be interpreted differently, changed, modified, or repealed at any time. Any such enactment, interpretation, change, modification, or repeal could adversely affect us, possibly with retroactive effect.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addition, changes in the tax laws of foreign jurisdictions could arise as a result of the global implementation of the Inclusive Framework on Base Erosion and Profit Shifting and Pillar Two Model Rules, announced by The Organization for Economic Cooperation and Development (OECD). This change, or any other changes in foreign tax laws, if enacted, could increase our tax obligations in the countries where we do business or require us to change the manner in which we operate our business.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Changes in corporate tax rates, the realization of net deferred tax assets, the taxation of foreign earnings and the deductibility of expenses, could potentially have a material impact on the value of our deferred tax assets, could result in significant one-time charges, and could increase our future tax expense.</w:t>
      </w:r>
    </w:p>
    <w:p>
      <w:pPr>
        <w:pStyle w:val="TextBody"/>
        <w:bidi w:val="0"/>
        <w:spacing w:lineRule="auto" w:line="288" w:before="240" w:after="240"/>
        <w:jc w:val="left"/>
        <w:rPr>
          <w:rFonts w:ascii="Work Sans;sans-serif" w:hAnsi="Work Sans;sans-serif"/>
          <w:b/>
          <w:color w:val="000000"/>
          <w:sz w:val="18"/>
        </w:rPr>
      </w:pPr>
      <w:r>
        <w:rPr>
          <w:rFonts w:ascii="Work Sans;sans-serif" w:hAnsi="Work Sans;sans-serif"/>
          <w:b/>
          <w:color w:val="000000"/>
          <w:sz w:val="18"/>
        </w:rPr>
        <w:t>Risks Relating to Legal, Compliance and Regulatory Matters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business and services subject us to complex and evolving U.S. and foreign laws and regulations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business involves providing services that meet the legal and other needs of our customers and, as a result, we are subject to a variety of complex and evolving government laws, rules and regulations, including but not limited to, laws and regulations related to labor, advertising, sales and marketing, deceptive trade practices, our subscription offerings and related billing, renewal and cancellation practices, virtual mail, legal document processing services, registered agent services, our legal plans, electronic funds transfer, consumer protection, artificial intelligence, real estate, e-commerce, promotions, intellectual property (e.g., ownership, examination, registration and infringement), postal, anti-bribery and anti-corruption, insurance, foreign exchange controls and cash repatriation restrictions, anti-competition, environmental, health and safety,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3350"/>
                <wp:effectExtent l="0" t="0" r="0" b="0"/>
                <wp:wrapNone/>
                <wp:docPr id="27" name="Frame2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other regulated activities. In recent years, there have been significant new and changing regulations in many of these areas and we expect continued heightened focus by the government on many of these areas. In addition, as we expand our products and services and evolve our business models, we may become subject to additional government regulation or increased regulatory scrutiny.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scope of the federal, state and local laws and regulations to which we are subject is often vague and broad, and their applications and interpretations are often uncertain and conflicting. Compliance with these disparate laws and regulations requires us to structure our business and services differently in certain jurisdictions. Additionally, these laws and regulations are frequently evolving, and challenges to, changes in, or new interpretations of, such laws and regulations could restrict the types of products and services that we can offer or the prices we can charge or require us to significantly change the ways we currently structure our business and services. For instance, in March 2025, the Financial Crimes Enforcement Network (FinCEN) issued an interim final rule removing the requirement for U.S. companies to file a beneficial ownership information report under the Corporate Transparency Act, which was first adopted in September 2022. The laws and regulations to which we are subject could also make it more difficult for us to convert our transactional customers to subscribers or attract new subscribers to grow our subscription services. We dedicate significant management time and expense to dealing with these issues and we expect that these issues will continue to be a significant focus as we expand into other services and jurisdictions.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Any failure or perceived failure by us to comply with applicable laws and regulations may subject us to regulatory inquiries, claims, suits and prosecutions. We have also incurred in the past, and expect to incur in the future, costs associated with responding to, defending, resolving, and/or settling proceedings, particularly those related to UPL, competitor claims, employee claims and the provision of our services more generally. We can give no assurance that we will prevail in such regulatory inquiries, claims, suits and prosecutions on commercially reasonable terms or at all. Responding to, defending and/or settling regulatory inquiries, claims, suits and prosecutions may be time-consuming and divert management and financial resources or have other adverse effects on our business. A negative outcome in any of these proceedings may result in claims, changes to or discontinuance of some of our services, potential liabilities or additional costs that could have a material adverse effect on our business, results of operations, financial condition, future prospects and brand.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Arizona subsidiary, which is licensed as an ABS, may not insulate us from claims of the unauthorized practice of law and is subject to restrictions under Arizona Code of Judicial Administration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business model includes the provision of services that represent an alternative to traditional legal services, which subjects us to allegations of UPL. UPL generally refers to an entity or person giving legal advice that is not licensed to practice law or advertising their services as the practice of law. However, laws and regulations defining UPL, and the governing bodies that enforce UPL rules, differ among the various jurisdictions in which we operate and are often vague. Further, in the U.S., we are generally unable to hire attorneys as employees to provide legal advice directly to our customer, because we do not meet certain regulatory requirements, such as being exclusively owned by licensed attorneys. We are currently unable to acquire a license to practice law in most U.S. states, and laws, regulations and professional responsibility rules impose limitations on business transactions between attorneys and persons who are not licensed attorneys, including those related to the ethics of attorney fee-splitting and CPL.</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However, Arizona currently permits non-lawyers to co-own law firms and other legal service operations. In September 2021, we received our license to operate our Arizona ABS, which employs and contracts with licensed attorneys to provide limited scope legal services to U.S.-based consumers who purchase such services on our websites. Our U.S. subsidiary, LZ Legal Services, LLC, which holds the license to operate the Arizona ABS, may be susceptible to potential claims from clients, such as breach of contract, product liability, negligence or other claims. Any such claims could result in reputational damage or an adverse effect on our results of operations. In addition, this structure is generally untested in U.S. courts and we cannot assure you that it will insulate us from claims of CPL or UPL. The professional liability insurance held by our U.S. subsidiary and limiting its liability in accordance with its engagement letters with clients, may not insure or protect against all potential claims or sufficiently indemnify us or our U.S. subsidiary for all liability that may be incurred. Any liability, inclusive of the costs and expenses that may be incurred in defending any such claims, that exceeds our insurance coverage could have a material adverse effect on our business, results of operations, financial condition, or future prospects.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addition, under Section 7-209 of the Arizona Code of Judicial Administration, or ACJA, there are restrictions on holding an interest of 10% or more in the issued share capital of a licensed ABS or the parent company of a licensed ABS. As our U.S. subsidiary is a licensed ABS for the purposes of the ACJA, these restrictions apply to any holder(s) of 10% or more of our common stock. Each “authorized person”, as defined in ACJA 702-9, including the members of our board of directors, could be required to file an ABS Authorized Person application with the Arizona Supreme Court when determined to be seeking a restricted interest. The Arizona Supreme Court may attach conditions to any authorization granted in respect to holding of a restricted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3350"/>
                <wp:effectExtent l="0" t="0" r="0" b="0"/>
                <wp:wrapNone/>
                <wp:docPr id="28" name="Frame2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Arizona Supreme Court can force any person who acquires a restricted interest in contravention of the applicable rules, whether knowingly or unknowingly, to divest its share ownership in the licensed ABS or its parent company. The Arizona Supreme Court also has the ability to suspend or revoke our U.S. subsidiary’s licensed ABS status in the event any such contravention occurs. Any suspension or revocation of our U.S. subsidiary’s licensed ABS status would have a serious detrimental impact on our business, and, in such circumstances, we would seek to collaborate with the Arizona Supreme Court to minimize any resultant business disruption.</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If the independent professionals who participate in our or our partners' networks, or otherwise work with LegalZoom as a consultant or contractor, are characterized as employees, we would be subject to employment and withholding liabilities and regulatory risks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structure our relationships with the independent attorneys and independent accountants who participate in our and our partners' networks in a manner that we believe results in an independent contractor relationship, not an employee relationship. On the other hand, some of our intellectual property offerings are currently fulfilled by our or our subsidiaries’ own lawyers and fulfillment staff. We also use contractors, temporary employees and/or consultants as part of our operations. An independent contractor is generally distinguished from an employee by his or her degree of autonomy and independence in providing services. A high degree of autonomy and independence is generally indicative of a contractor relationship, while a high degree of control is generally indicative of an employment relationship. Tax or other regulatory authorities may in the future challenge our characterization of the independent attorneys who participate in our networks, or the other contractors and consultants used by us. If such regulatory authorities or state, federal or foreign courts were to determine that these attorneys or other contractors and consultants are employees, and not independent contractors, we would be required to withhold income taxes, to withhold and pay social security, Medicare and similar taxes, to pay unemployment and other related payroll taxes and could face allegations of UPL or CPL. We would also be liable for unpaid past taxes and subject to penalties. As a result, any determination that these individuals are our employees could have a material adverse effect on our business, results of operations, financial condition and future prospects. It is also possible that we could face claims of joint employment from the independent professionals who participate in our partner networks or from individuals working as a consultant, temporary employee, or contractor, if they were to pursue employment claims against LegalZoom. If a joint employment relationship is found to exist, joint liability for any successful claims would also likely exist.</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Compliance with U.S. and foreign privacy and data security requirements could result in additional costs and liabilities to us or inhibit our ability to collect and store data, and the failure to comply with such requirements could subject us to significant fines and penalties, which could adversely affect our business, financial condition and reputation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the ordinary course of business, we collect and otherwise process information from and about our customers and others, which include personal information and other data. As a result, aspects of our business are subject to laws, rules, regulations and other obligations (such as contracts and privacy notices) relating to privacy and the collection, use and security of personal information. In the United States, federal, state and local governments have enacted or introduced comprehensive data privacy laws and regulations, including the California Consumer Privacy Act of 2018. Many other U.S. states have enacted, or have proposed enacting, similar comprehensive privacy laws that impose certain obligations on covered businesses, including providing specific disclosures in privacy notices, conducting privacy and security assessments, obtaining consumer consent and affording residents with certain rights concerning their personal data. The exercise of these rights may impact our business and ability to provide our products and services. These state laws allow for statutory fines for noncompliance. Outside the U.S., an increasing number of laws, regulations and industry standards govern data privacy and security. For example, we are also subject to the European Union’s General Data Protection Regulation, or GDPR, with respect to some portions of activities. In addition, we are subject to the terms of our privacy policies and obligations to third-parties related to privacy, data protection and information security.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publish privacy policies, marketing materials and other statements regarding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Any actual or perceived failure by us or third parties working on our behalf to comply with applicable privacy and data security laws, rules and regulations or related contractual or other obligations, or any perceived privacy rights violation, could lead to investigations, claims, and proceedings by governmental entities and private parties, damages for contract breaches, additional reporting obligations and other significant costs, penalties, and other liabilities, as well as harm to our reputation and market position. In addition, the global regulatory framework for privacy and data security issues is rapidly evolving and privacy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3350"/>
                <wp:effectExtent l="0" t="0" r="0" b="0"/>
                <wp:wrapNone/>
                <wp:docPr id="29" name="Frame2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and data security laws have been and may in the future be enacted by other U.S. states and countries in which we do business. As a result, interpretation of applicable privacy and data security laws, rules and regulations is ongoing, may not be fully determined at this time and may conflict across jurisdictions. In our efforts to meet the various data privacy obligations that apply to us, we have made and continue to make certain operational changes to our products and business practices. Preparing for and complying with these obligations requires significant time and resources and may necessitate further changes to our information technologies, systems, and practices and to those of our customers, and of any third parties that process personal information on our behalf. In addition, these obligations may require us to change our business model.</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Further, certain jurisdictions have enacted data localization laws and cross-border personal data transfer laws, which may make it more difficult for us to transfer personal data across jurisdictions (such as transferring or receiving personal data that originates in the EU or in other foreign jurisdictions). Existing mechanisms that facilitate cross-border personal data transfers may change or be invalidated. For example, the GDPR generally prohibits the transfer of personal information to countries outside of the European Economic Area that the European Commission does not consider to provide an adequate level of privacy and data security, such as the U.S., absent appropriate safeguards. In addition, certain countries outside Europe have also passed or are considering laws requiring local data residency or otherwise impeding the transfer of personal data across borders, any of which could increase the cost and complexity of doing business. If we cannot implement a valid compliance mechanism for cross-border data transfers, we may face increased exposure to regulatory actions, substantial fines, and injunctions against processing personal data from Europe or other foreign jurisdictions. The inability to import personal data to the U.S. could significantly and negatively impact our business operations, limit our ability to collaborate with parties that are subject to cross-border data transfer or localization laws, or require us to increase our data processing capabilities and infrastructure in foreign jurisdictions at significant expense.</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Breaches and other types of security incidents of our data, networks or systems, or those of the third parties with whom we work, could negatively impact our ability to conduct our business, our brand and reputation, our ability to retain existing customers and attract new customers, and may cause us to incur significant liabilities and adversely affect our business, results of operations, financial condition and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collect, use, store, transmit and otherwise process data and information about our customers, employees and others, some of which are sensitive, personal and/or confidential. Any actual or perceived breach of our security measures or those of the third parties with whom we work could adversely affect our business, operations and future prospects. Circumvention of our security measures or those of our service providers may result in access, misappropriation, deletion, alteration, publication, modification or other compromise of our information or information security systems, which could cause interruptions in our business and operations, fraud or loss to third parties, regulatory enforcement actions, litigation, indemnity obligations and other possible liabilities, as well as negative publicity. Widespread negative publicity may also result from real, threatened or perceived security compromises affecting our industry, competitors and customers. Concerns regarding data privacy and security could cause some of our customers to stop using our services and fail to renew their subscriptions. This discontinuance in use and failure to renew could harm our business, results of operations, financial condition and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internal information systems, cloud-based computing services, and those of our current and any future service providers and third parties with whom we work are vulnerable to a variety of evolving threats. Cyberattacks and other malicious internet-based activity, such as computer malware, hacking and phishing attempts, continue to increase. In addition to traditional computer “hackers,” sophisticated nation-state and nation-state supported actors now engage in similar attacks (including advanced persistent threat intrusions). Other threats include malicious code (such as viruses, worms and ransomware), social engineering attacks (such as through deep fakes and phishing attacks, cyber extortion, personnel error or malfeasance (including theft and misuse), malware, denial-of-service attacks, supply-chain attacks, software bugs, information systems malfunctions and failures, data loss, and other similar threats are evolving. In particular, severe ransomware attacks are becoming increasingly prevalent and can lead to significant interruptions in our operations, ability to provide our products and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currently have a flexible-first work policy, which enables flexibility to work remotely and collaborate in offices. This policy, which results in a predominantly remote workforce, poses additional data security risks to our information technology systems and data, as our personnel work from home and utilize network connections outside our premises. Additionally, future or past business transactions, acquisitions or integrations, including our recent acquisition of Formation Nation, could expose us to additional cybersecurity risks and vulnerabilities, as our systems could be negatively affected by vulnerabilities present in acquired or integrated entities’ systems and technologies. Any of the previously identified or similar threats could cause a security breach or other interruption. A security breach or other interruption could result in unauthorized,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3350"/>
                <wp:effectExtent l="0" t="0" r="0" b="0"/>
                <wp:wrapNone/>
                <wp:docPr id="30" name="Frame3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 xml:space="preserve">unlawful, or accidental acquisition, modification, destruction, loss, alteration, encryption, disclosure of, or access to our sensitive information.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have in the past and may in the future expend significant resources or modify our business activities to try to protect against security breaches. In addition, certain data privacy and security obligations have required and may in the future require us to implement and maintain specific security measures, industry-standard or reasonable security measures to protect our information technology systems and sensitive information, including contractually. We cannot guarantee that our security measures to protect customer information and prevent data loss and other security breaches will be sufficient to protect against unauthorized access to, or other compromise of, personal information, or confidential, proprietary or otherwise sensitive information. The techniques used to sabotage or to obtain unauthorized access to our platform, systems, networks and/or physical facilities in which data is stored or through which data is transmitted change frequently, and we have not always been able in the past and may be unable in the future to anticipate such techniques or implement adequate preventative measures or stop security breaches that may arise from such techniques. As a result, our safeguards and preventive measures may not be adequate to prevent past, current or future cyberattacks and security breaches, including security breaches that may remain undetected for extended periods of time, which can substantially increase the potential for a material adverse impact resulting from the breach.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Like many companies, we rely on service providers to operate critical business systems to process sensitive information in a variety of contexts, including, without limitation, providers of cloud-based infrastructure, employee email, customer service and other functions. We may share or receive sensitive information with or from third parties. Our ability to monitor these third parties’ information security practices is limited, and these third parties may not have adequate information security measures in place, which could lead to a breach in our information.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If we, or third parties with whom we work, experience or are perceived to have experienced (in the past or future) a security breach, we may experience adverse consequences. While we may be entitled to damages if our service providers fail to satisfy their privacy or security-related obligations to us, any award or other recovery may be insufficient to cover our damages.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implement and maintain security measures designed to protect against security breaches and other compromise. However, there can be no assurance these measures will be effective. For example, we take steps designed to detect, mitigate and remediate vulnerabilities in our information systems (such as our hardware and software, including of third parties upon which we rely). We may not, however, detect and remediate all such vulnerabilities on a timely and effective basis. We may experience delays in developing and deploying remedial measures designed to address any such identified vulnerabilities. Vulnerabilities could be exploited and result in a security incident.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may expend significant resources or modify our business activities to try to protect against security incidents. Certain data privacy and security obligations may require us to implement and maintain specific security measures or industry-standard or reasonable security measures designed to protect our information technology systems and information.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Applicable data privacy and security obligations may require us to notify relevant stakeholders, which may include affected individuals, regulatory authorities, or customers of security breaches. We operate in an industry that is prone to cyberattacks. We have experienced security breaches (such as unauthorized access to customer information) for which we may have been or were legally required to notify individuals, customers, regulators, the media and others. Data breach notification disclosures are costly, time consuming, and could lead to adverse consequences. In addition, the costs to respond to a cybersecurity event or to mitigate any security vulnerabilities that may be identified could be significant, including costs for remediating the effects of such an event, paying a ransom, restoring data from backups and conducting data analysis to determine what data may have been affected by the breach. In addition, our efforts to contain or remediate a security breach or any vulnerability exploited to cause a breach may be unsuccessful, and efforts and any related failures to contain or remediate them could result in interruptions, delays, loss in customer trust, harm to our reputation and increases to our insurance coverage.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contracts may not contain limitations of liability, and even where they do, there can be no assurance that limitations of liability in our contracts are sufficient to protect us from liabilities, damages, or claims related to our data privacy and security obligations. We may not have adequate insurance coverage for security incidents or breaches, including fines, judgments, settlements, penalties, costs, attorney fees and other impacts that arise out of such breaches. We cannot assure you that our cyber liability insurance coverage will be adequate to cover liabilities actually incurred or that insurance will continue to be available to us on economically reasonable terms, or at all.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Our risks are likely to increase as we continue to expand, grow our customer base, and process increasingly large amounts of sensitive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3350"/>
                <wp:effectExtent l="0" t="0" r="0" b="0"/>
                <wp:wrapNone/>
                <wp:docPr id="31" name="Frame3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w:t>
      </w:r>
    </w:p>
    <w:p>
      <w:pPr>
        <w:pStyle w:val="TextBody"/>
        <w:bidi w:val="0"/>
        <w:spacing w:lineRule="auto" w:line="288" w:before="240" w:after="240"/>
        <w:jc w:val="left"/>
        <w:rPr>
          <w:rFonts w:ascii="Work Sans;sans-serif" w:hAnsi="Work Sans;sans-serif"/>
          <w:b/>
          <w:color w:val="000000"/>
          <w:sz w:val="18"/>
        </w:rPr>
      </w:pPr>
      <w:r>
        <w:rPr>
          <w:rFonts w:ascii="Work Sans;sans-serif" w:hAnsi="Work Sans;sans-serif"/>
          <w:b/>
          <w:color w:val="000000"/>
          <w:sz w:val="18"/>
        </w:rPr>
        <w:t>Risks Relating to Intellectual Property</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use of open source software could negatively affect our proprietary technologies and our ability to offer and sell subscriptions to our products and could subject us to possible litigation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Certain of the technologies we currently use incorporate open source software, or OSS, and we expect to continue to utilize OSS in the future. OSS is licensed by its authors under a variety of license types. Some of these licenses (often called “hereditary” or “viral” licenses) contain requirements that could cause us to make available the source code of the modifications or derivative works that we create based upon the licensed OSS, and that we license such modifications or derivative works under the terms of a particular open source license granting third-parties certain rights of further use. By the terms of such open source licenses, we also could be required to release the source code of our proprietary (closed-source) software, and to make our proprietary software available under open source licenses, if we combine and/or distribute our proprietary software with such open source software in a manner that triggers the obligation of the license. We cannot be sure that all OSS and their associated licenses are reviewed prior to use in our proprietary software, that our programmers have not incorporated open source software into our proprietary software in a manner triggering such adverse licensing obligations, or that they will not do so in the future. Additionally, the terms of many open source licenses have not been interpreted by U.S. or other courts, and these licenses could be construed in a manner that imposes unanticipated conditions or restrictions on our ability to commercialize our products. We may face claims from others claiming ownership of open source software or patents reading on that software, rights to our intellectual property or breach of open source license terms, including a demand for release of material portions of our source code or otherwise seeking to enforce the terms of the applicable open source license. These claims could result in litigation, which could be costly to defend, require us to purchase a costly license (such as a commercial version of an open source license), require us to establish additional specific open source compliance procedures or require us to devote additional research and development resources to remove open source elements from or otherwise change our solutions, any of which would have a negative effect on our business, results of operations, financial condition and future prospects. Any of the foregoing could disrupt and harm our business, results of operations, financial condition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If we are unable to adequately protect our intellectual property to prevent unauthorized use or appropriation, the value of our brand and other intangible assets, as well as our business, results of operations, financial condition and future prospects may be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rely and expect to continue to rely on confidentiality and license agreements with our employees, consultants and third parties, and protection and enforcement of our intellectual property rights, including in our trademarks, copyrights, trade secrets and domain names. Third parties may knowingly or unknowingly infringe on or challenge our proprietary rights, and pending and future trademark or other intellectual property applications may not be approved and if approved, may be inadequate to prevent third parties from circumventing such intellectual property rights. In addition, effective intellectual property protection may not be available in every country in which we operate or intend to operate our business. In these cases, we may expend significant time and expense to prevent infringement and enforce our rights. We cannot assure you that others will not offer services or concepts that are substantially similar to ours and compete with our business. If the protection of our proprietary rights is inadequate to prevent unauthorized use or appropriation, the value of our brand and other intangible assets may be diminished and competitors may be able to more effectively mimic our services, business practices or operations, which may have an adverse effect on our business, results of operations, financial condition and future prospects.</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 xml:space="preserve">Risks Relating to Ownership of Our Common Stock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The market price of our common stock may be volatile or may decline regardless of our operating performance, resulting in substantial losses for our investors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market price of our common stock may fluctuate significantly in response to numerous factors, many of which are beyond our control, including:</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actual or anticipated fluctuations in our revenue and results of operations;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 xml:space="preserve">our ability to effectively and successfully integrate the operations of Formation Nation into our existing business; </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ability to successfully implement our strategic execution priorities;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3350"/>
                <wp:effectExtent l="0" t="0" r="0" b="0"/>
                <wp:wrapNone/>
                <wp:docPr id="32" name="Frame3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operating and financial projections we may provide to the public, any changes in these projections or our failure to meet these projections;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an increase or loss of customers;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fluctuations in product sales mix;</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in our pricing strategy or those of our competitors;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developments in new legislation and pending lawsuits or regulatory actions, including interim or final rulings by judicial or regulatory bodies;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involvement in any litigation;</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actual or anticipated changes in our growth rate relative to those of our competitors;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announcements of technological innovations or new products or services offered by us or our competitors;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announcements by us or our competitors of significant acquisitions, strategic partnerships, joint ventures or capital-raising activities or commitments;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additions or departures of key personnel;</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actions of securities analysts who initiate or maintain coverage of us, changes in financial estimates by any securities analysts who follow our company, or our failure to meet these estimates or investor expectations;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fluctuations in the valuation of companies perceived by investors to be comparable to us;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technical factors in the public trading market for our common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common stock, access to margin debt, and trading in options and other derivatives on our common stock;</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additional shares of our common stock or other securities being sold into the market by us or our existing stockholders or the anticipation of such sales;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price and volume fluctuations in the overall stock market, including as a result of trends in the economy as a whole;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general macroeconomic, political, regulatory and market conditions, such as those related to recessionary fears, tariffs, inflation and/or elevated interest rates;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other events or factors, including those resulting from war, incidents of terrorism, a public health pandemic or epidemic, bank failures, or responses to these events.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the past, companies that have experienced volatility in the market price of their stock have been subject to securities class action or other litigation or regulatory investigations. We may be the target of such litigation or investigations in the future, which could result in substantial costs and divert our management’s attention from other business concerns, which could adversely affect our business, results of operations, financial condition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A significant portion of our total outstanding shares may be sold into the market in the near future, which could cause the market price of our common stock to drop significantly, even if our business is performing well</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 At December 31, 2025, holders of approximately 55 million shares of our common stock, are entitled to rights pursuant to an investors’ rights agreement, subject to some conditions, to require us to file registration statements covering their shares or to include their shares in registration statements that we may file for ourselves or other stockholders. If one or more of these holders of our common stock sells a large number of shares by exercising their registration rights, it has in the past and may in the future adversely affect the market price for our common stock. In addition, if we file a registration statement for the purposes of selling additional shares to raise capital and are required to include shares held by these holders pursuant to the exercise of their registration rights, our ability to raise capital may be impaired.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3350"/>
                <wp:effectExtent l="0" t="0" r="0" b="0"/>
                <wp:wrapNone/>
                <wp:docPr id="33" name="Frame3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Concentration of ownership of our common stock among our existing executive officers, directors and other affiliates may prevent new investors from influencing significant corporate decisions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Based upon shares of our common stock outstanding as of December 31, 2025, our executive officers, directors and other affiliates, in the aggregate, own shares, directly or indirectly, representing approximately 21% of our outstanding common stock. If our executive officers, directors and affiliates acted together, they may be able to significantly influence matters requiring stockholder approval, including the election and removal of directors and approval of any merger, consolidation or sale of all or substantially all of our assets. The concentration of voting power and transfer restrictions could delay or prevent an acquisition of our company on terms that other stockholders may desire or result in the management of our company in ways with which other stockholders disagree.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FPLZ I, L.P., FPLZ II, L.P. and their affiliated investment entities, or FP, may have influence over management and control over matters requiring stockholder approval, including the annual election of directors and significant corporate transactions. Pursuant to a director nomination agreement previously entered into with FP, we will have the obligation to support the nomination of, and to cause our board of directors to include in the slate of nominees recommended to our stockholders for election, a number of designees equal to at least: (i) two individuals for so long as FP continuously beneficially owns shares of common stock representing at least 50% of the shares of common stock owned by FP immediately following our IPO and (ii) one individual for so long as FP continuously beneficially owns shares of common stock representing at least 25%, but less than 50% of the shares of common stock, owned by FP immediately following the completion of our IPO.</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Provisions in our corporate charter documents and provisions under Delaware law could make an acquisition of us, which may be beneficial to our stockholders, more difficult and may prevent attempts by our stockholders to replace or remove our current management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Provisions in our corporate charter and our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establish a classified board of directors such that not all members of the board are elected at one time;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allow the authorized number of our directors to be changed only by resolution of our board of directors;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limit the manner in which stockholders can remove directors from the board;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establish advance notice requirements for stockholder proposals that can be acted on at stockholder meetings and nominations to our board of directors;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require that stockholder actions must be effected at a duly called stockholder meeting and prohibit actions by our stockholders by written consent;</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limit who may call stockholder meetings;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require the approval of the holders of at least 66 2/3% of the votes that all our stockholders would be entitled to cast to amend or repeal certain provisions of our charter or bylaws.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Moreover, because we are incorporated in Delaware, we are governed by the provisions of Section 203 of the Delaware General Corporation Law,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3350"/>
                <wp:effectExtent l="0" t="0" r="0" b="0"/>
                <wp:wrapNone/>
                <wp:docPr id="34" name="Frame3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amended and restated certificate of incorporation provides that the doctrine of “corporate opportunity” will not apply with respect to certain stockholders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 incorporation provides that the doctrine of “corporate opportunity” will not apply with respect to certain parties to our investors’ rights agreement, in each case together with their respective affiliates, and its and their affiliates’ directors, partners, principals, officers, members, managers and/or employees. LucasZoom, LLC, Permira Advisers LLC, FPLZ I, L.P., FPLZ II, L.P., GPI Capital Gemini Holdco, LP, TCV IX, L.P., TCV IX (A), L.P., TCV IX (B), L.P., TCV Member Fund, L.P., TCV IX (A) Opportunities, L.P., Bryant Stibel Growth, LLC and Bryant-Stibel Fund, I LLC or their affiliates will, therefore, have no duty to communicate or present corporate opportunities to us, and will have the right to either hold any corporate opportunity for their (and their affiliates’) own account and benefit or to recommend, assign or otherwise transfer such corporate opportunity to persons other than us. As a result, certain of our stockholders, directors and their respective affiliates will not be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financial condition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amended and restated certificate of incorporation, provides that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thereof shall be the exclusive forum for certain claims or causes of actions under Delaware statutory or common law.</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provisions would not apply to suits brought to enforce a duty or liability created by the Securities Exchange Act of 1934, as amended. Furthermore, Section 22 of the Securities Act of 1933, as amended,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U.S. will be the exclusive forum for resolving any complaint asserting a cause or causes of action arising under the Securities Act, including all causes of action asserted against any defendant to such complaint.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While the Delaware courts have determined that such choice of forum provisions are facially valid, a stockholder may nevertheless seek to bring a claim in a venue other than those designated in the exclusive forum provisions. In such an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1B. Unresolved Staff Comments</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3350"/>
                <wp:effectExtent l="0" t="0" r="0" b="0"/>
                <wp:wrapNone/>
                <wp:docPr id="35" name="Frame3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1C. Cybersecurity</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Cybersecurity Risk Management and Strategy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identify, assess and manage material risks associated with cybersecurity threats, as such term is defined in Item 106(a) of Regulation S-K. These risks include, among other things, operational risks, intellectual property theft, fraud, extortion, harm to personnel and customers, violation of privacy and security laws and other litigation and legal risk, and reputational risks. We have implemented and continue to maintain various cybersecurity processes, technologies, and controls designed to aid in our efforts to assess, identify, and manage such material risks.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To identify, assess and manage material risks from cybersecurity threats, our enterprise risk management program considers cybersecurity threat risks alongside other company risks as part of our overall risk assessment process. Our enterprise risk management committee, a multidisciplinary committee that includes our Chief Financial &amp; Operating Officer and Chief Business &amp; Customer Officer and is chaired by our Chief Legal Officer, collaborates with internal subject matter specialists in an effort to gather information for identifying, assessing and managing material cybersecurity risks, such as information related to their severity, likelihood of occurrence and potential mitigation strategies. At least quarterly, our Chief Information Officer and Senior Director, Information Security, meet with our enterprise risk management committee to present and discuss a cybersecurity risk assessment. Key cybersecurity risks are then incorporated into our enterprise risk management framework. To help inform our cybersecurity risk identification, assessment and management, we also employ a range of tools and services, including network and endpoint monitoring, vulnerability assessments, periodic penetration testing, bug bounty program and tabletop exercises.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an effort designed to provide for the availability of critical data and systems, manage our material risks from cybersecurity threats, and protect against, detect, and respond to cybersecurity incidents, as such term is defined in Item 106(a) of Regulation S-K, we also undertake the below listed activities: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closely monitor emerging data protection laws and implement any necessary changes to our processes;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conduct annual security training for all our employees;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conduct annual cybersecurity management and incident training designed for certain employees such as those who handle sensitive data;</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conduct phishing email simulations for personnel with access to corporate email systems in an effort to enhance awareness and responsiveness to such possible threats;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periodically evaluate customer support interactions to help ensure compliance with security protocols and service standards;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through policy, practice and contract (as applicable) require employees, as well as third parties who provide services on our behalf, to treat customer information and data with care;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hold regular meetings of an internal multidisciplinary working group to discuss our cybersecurity incident preparedness;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run tabletop exercises to simulate a cybersecurity incident and use findings from such exercises in an effort to improve our processes and technologies;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maintain and regularly review and test a framework designed to help us identify, protect, detect, respond, and recover when there is an actual or potential cybersecurity incident;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carry information security risk insurance designed to mitigate potential losses arising from cybersecurity incidents.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incident response plan coordinates the activities we take to prepare for, detect, respond to and recover from cybersecurity incidents, which include processes designed to triage, assess severity for, escalate, contain, investigate, and remediate the incident, as well as to comply with potentially applicable legal obligations and mitigate brand and reputational damage.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As part of the above processes, from time to time we work with third parties that are intended to help us to identify, assess, and manage cybersecurity risks, including professional services firms, threat intelligence service providers, managed cybersecurity service providers and penetration testing firms.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To operate our business, we utilize certain service providers to perform a variety of functions, such as professional services, data center facilities and other functions. Our processes are designed to address cybersecurity threat risks associated with our use of service providers, including those in our supply chain or who have access to our customer and employee data or our information systems. Certain risks associated with our use of service providers are included within our enterprise risk management assessment program, as well as our processes designed to identify, assess and manage cybersecurity-specific risks, both of which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3350"/>
                <wp:effectExtent l="0" t="0" r="0" b="0"/>
                <wp:wrapNone/>
                <wp:docPr id="36" name="Frame3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discussed above. In addition, cybersecurity considerations may affect the selection and oversight of our service providers. We perform diligence on certain service providers that have access to our systems, data or facilities that house such systems or data. This diligence may include a review of the service providers’ internal and/or external security audits and certifications. Additionally, we may impose specific cybersecurity obligations on certain service providers.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face a number of cybersecurity risks in connection with our business. We have, from time to time, experienced threats to and breaches of our data and systems. For a description of the risks from cybersecurity threats that may materially affect the Company and how they may do so, see Part I, Item 1A, “Risk Factors” of this Annual Report on Form 10-K.</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Cybersecurity Governance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Cybersecurity is an area of focus for our board of directors and management.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audit committee of our board of directors is responsible for overseeing the adequacy and effectiveness of the Company’s information security policies and practices, as well as risks related to information security and cybersecurity. At least semiannually, and more frequently depending upon applicable facts and circumstances, our audit committee receives a presentation on our cybersecurity threat risk management and strategy processes, which covers topics such as our incident response plan, results from third-party assessments, our cybersecurity risk roadmap and any threat risks, cybersecurity incidents or developments, and our progress towards risk-mitigation-related goals. The audit committee receives information related to the foregoing matters from our Chief Information Officer and Senior Director, Information Security, as well as with representatives from our enterprise risk management committee. Our audit committee also receives an annual information security report, which contains information regarding, among other things, the data security processes and procedures that have been implemented across company business units. In addition, our full board of directors is presented with updates on our cybersecurity threat risk management and strategy processes at least annually.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cybersecurity risk management and strategy processes, which are discussed in greater detail above, are led by our Chief Information Officer and Senior Director, Information Security. Such individuals have collectively over 20 years of prior work experience in various roles involving managing and safeguarding information security, formulating and executing strategies for cybersecurity, and instituting programs for information and cyber protection, as well as several relevant degrees and certifications, including Certified Information Systems Security Professional, or CISSP, Offensive Security Certified Professional, or OCSP, M.S. Cybersecurity and Information Assurance, M.B.A. Information Systems. These individuals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2. Properties</w:t>
      </w:r>
    </w:p>
    <w:p>
      <w:pPr>
        <w:pStyle w:val="TextBody"/>
        <w:bidi w:val="0"/>
        <w:spacing w:lineRule="auto" w:line="288" w:before="120" w:after="120"/>
        <w:ind w:left="0" w:right="0" w:firstLine="450"/>
        <w:jc w:val="left"/>
        <w:rPr/>
      </w:pPr>
      <w:r>
        <w:rPr>
          <w:rFonts w:ascii="Work Sans;sans-serif" w:hAnsi="Work Sans;sans-serif"/>
          <w:b w:val="false"/>
          <w:color w:val="000000"/>
          <w:sz w:val="18"/>
        </w:rPr>
        <w:t>Our corporate headquarters are located in Mountain View, California, under a lease expiring in 2029. In March 2025, we completed the sale of our operational headquarters in Austin, Texas, which is discussed in more detail in Note 4 to our consolidated financial statements included elsewhere in this Annual Report on Form 10-K. We also lease office spaces in other locations throughout the U.S. and internationally. We believe that these facilities are sufficient for our current needs and that additional facilities will be available to accommodate the expansion of our business should they be needed</w:t>
      </w:r>
      <w:r>
        <w:rPr>
          <w:rFonts w:ascii="Work Sans;sans-serif" w:hAnsi="Work Sans;sans-serif"/>
          <w:b/>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3. Legal Proceedings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are not currently a party to any material legal proceedings. However, from time to time we become subject to legal proceedings, claims and litigation arising in the ordinary course of business, and we anticipate that legal proceedings, claims and litigation could be brought against us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4. Mine Safety Disclosures</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3350"/>
                <wp:effectExtent l="0" t="0" r="0" b="0"/>
                <wp:wrapNone/>
                <wp:docPr id="37" name="Frame3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Work Sans;sans-serif" w:hAnsi="Work Sans;sans-serif"/>
          <w:b/>
          <w:color w:val="000000"/>
          <w:sz w:val="18"/>
        </w:rPr>
      </w:pPr>
      <w:r>
        <w:rPr>
          <w:rFonts w:ascii="Work Sans;sans-serif" w:hAnsi="Work Sans;sans-serif"/>
          <w:b/>
          <w:color w:val="000000"/>
          <w:sz w:val="18"/>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5. Market for Registrant's Common Equity, Related Stockholder Matters and Issuer Purchases of Equity Securities</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Market Information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common stock trades on the Nasdaq Global Select Market under the symbol “LZ.” </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Holders of Record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As of February 13, 2026, there were 90 holders of record of our common stock.</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Dividend Policy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have not paid any dividends on our common stock in the last three years and do not intend to pay dividends in the foreseeable future. </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Purchases of Equity Securities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October 2023, our board of directors approved a stock repurchase program authorizing repurchases of our common stock, with no fixed expiration. In May 2025, our board of directors approved a $100.0 million increase in our stock repurchase program, bringing the aggregate amount authorized to $315.0 million. At December 31, 2025, approximately $69.5 million remained available for future repurchases of our common stock under the stock repurchase program. Stock repurchases under this program may be made through any manner, including in open market transactions (including pursuant to Rule 10b5-1 plans), through accelerated stock repurchase agreements, or in privately negotiated transactions with third parties, and in such amounts as management deems appropriate. This stock repurchase program does not obligate us to acquire any particular amount of common stock and may be modified, suspended or terminated at any time at the discretion of our board of directors.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Stock repurchase activity during the three months ended December 31, 2025 was as follows:</w:t>
      </w:r>
    </w:p>
    <w:tbl>
      <w:tblPr>
        <w:tblW w:w="10205" w:type="dxa"/>
        <w:jc w:val="left"/>
        <w:tblInd w:w="0" w:type="dxa"/>
        <w:tblLayout w:type="fixed"/>
        <w:tblCellMar>
          <w:top w:w="28" w:type="dxa"/>
          <w:left w:w="28" w:type="dxa"/>
          <w:bottom w:w="28" w:type="dxa"/>
          <w:right w:w="28" w:type="dxa"/>
        </w:tblCellMar>
      </w:tblPr>
      <w:tblGrid>
        <w:gridCol w:w="645"/>
        <w:gridCol w:w="415"/>
        <w:gridCol w:w="421"/>
        <w:gridCol w:w="794"/>
        <w:gridCol w:w="500"/>
        <w:gridCol w:w="501"/>
        <w:gridCol w:w="109"/>
        <w:gridCol w:w="109"/>
        <w:gridCol w:w="109"/>
        <w:gridCol w:w="297"/>
        <w:gridCol w:w="770"/>
        <w:gridCol w:w="144"/>
        <w:gridCol w:w="109"/>
        <w:gridCol w:w="109"/>
        <w:gridCol w:w="109"/>
        <w:gridCol w:w="924"/>
        <w:gridCol w:w="674"/>
        <w:gridCol w:w="675"/>
        <w:gridCol w:w="109"/>
        <w:gridCol w:w="109"/>
        <w:gridCol w:w="109"/>
        <w:gridCol w:w="341"/>
        <w:gridCol w:w="1884"/>
        <w:gridCol w:w="239"/>
      </w:tblGrid>
      <w:tr>
        <w:trPr/>
        <w:tc>
          <w:tcPr>
            <w:tcW w:w="64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Period</w:t>
            </w:r>
          </w:p>
        </w:tc>
        <w:tc>
          <w:tcPr>
            <w:tcW w:w="1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xml:space="preserve">Total Number of Shares Purchased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Total Number of Shares Purchased as Part of Publicly Announced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Approximate Dollar Value of Shares that May Yet be purchased Under the Plans</w:t>
            </w:r>
          </w:p>
        </w:tc>
      </w:tr>
      <w:tr>
        <w:trPr/>
        <w:tc>
          <w:tcPr>
            <w:tcW w:w="1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October 1, 2025 through October 31, 2025</w:t>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2,909,376 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9.98 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2,909,376 </w:t>
            </w:r>
          </w:p>
        </w:tc>
        <w:tc>
          <w:tcPr>
            <w:tcW w:w="6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82,971,621 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November 1, 2025 through November 30, 2025</w:t>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1,174,584 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9.55 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1,174,584 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71,757,977 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December 1, 2025 through December 31, 2025</w:t>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245,439 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9.37 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245,439 </w:t>
            </w:r>
          </w:p>
        </w:tc>
        <w:tc>
          <w:tcPr>
            <w:tcW w:w="6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69,458,183 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Total</w:t>
            </w:r>
          </w:p>
        </w:tc>
        <w:tc>
          <w:tcPr>
            <w:tcW w:w="12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4,329,399 </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9.83 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4,329,399 </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February 2026, our board of directors approved a $100.0 million increase in our stock repurchase program, bringing the aggregate amount authorized to $415.0 million.</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Performance Graph</w:t>
      </w:r>
    </w:p>
    <w:p>
      <w:pPr>
        <w:pStyle w:val="TextBody"/>
        <w:bidi w:val="0"/>
        <w:spacing w:lineRule="auto" w:line="288" w:before="120" w:after="120"/>
        <w:ind w:left="0" w:right="0" w:firstLine="450"/>
        <w:jc w:val="left"/>
        <w:rPr>
          <w:rFonts w:ascii="Work Sans;sans-serif" w:hAnsi="Work Sans;sans-serif"/>
          <w:b w:val="false"/>
          <w:i/>
          <w:color w:val="000000"/>
          <w:sz w:val="18"/>
        </w:rPr>
      </w:pPr>
      <w:r>
        <w:rPr>
          <w:rFonts w:ascii="Work Sans;sans-serif" w:hAnsi="Work Sans;sans-serif"/>
          <w:b w:val="false"/>
          <w:i/>
          <w:color w:val="000000"/>
          <w:sz w:val="18"/>
        </w:rPr>
        <w:t>The following performance graph and related information shall not be deemed “soliciting material” or to be “filed” with the SEC, nor shall such information be incorporated by reference into any future filing under the Securities Act or the Exchange Act, whether made before or after the date hereof and irrespective of any general incorporation language in any such filing, or otherwise subject to the liabilities under the Securities Act or Exchange Act, except to the extent that we specifically incorporate it by reference into such filing.</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graph depicts the total cumulative stockholder return on our common stock from June 30, 2021, the first day of trading of our common stock on the Nasdaq Global Select Market, through December 31, 2025, relative to the cumulative total returns of the Nasdaq Composite Index and Nasdaq CTA Internet Index. The graph assumes an initial investment of $100.00 at the close of trading on June 30, 2021 and the reinvestment of all dividends. The performance shown in the graph below is not intended to forecast or be indicative of future stock price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3350"/>
                <wp:effectExtent l="0" t="0" r="0" b="0"/>
                <wp:wrapNone/>
                <wp:docPr id="38" name="Frame3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34</w:t>
                      </w:r>
                    </w:p>
                  </w:txbxContent>
                </v:textbox>
                <w10:wrap type="none"/>
              </v:rect>
            </w:pict>
          </mc:Fallback>
        </mc:AlternateContent>
      </w:r>
    </w:p>
    <w:p>
      <w:pPr>
        <w:pStyle w:val="TextBody"/>
        <w:bidi w:val="0"/>
        <w:spacing w:before="0" w:after="0"/>
        <w:jc w:val="left"/>
        <w:rPr/>
      </w:pPr>
      <w:r>
        <w:rPr/>
      </w:r>
    </w:p>
    <w:p>
      <w:pPr>
        <w:pStyle w:val="TextBody"/>
        <w:bidi w:val="0"/>
        <w:spacing w:before="0" w:after="120"/>
        <w:jc w:val="center"/>
        <w:rPr/>
      </w:pPr>
      <w:r>
        <w:rPr/>
        <w:drawing>
          <wp:inline distT="0" distB="0" distL="0" distR="0">
            <wp:extent cx="5638800" cy="4676775"/>
            <wp:effectExtent l="0" t="0" r="0" b="0"/>
            <wp:docPr id="3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 descr=""/>
                    <pic:cNvPicPr>
                      <a:picLocks noChangeAspect="1" noChangeArrowheads="1"/>
                    </pic:cNvPicPr>
                  </pic:nvPicPr>
                  <pic:blipFill>
                    <a:blip r:embed="rId2"/>
                    <a:stretch>
                      <a:fillRect/>
                    </a:stretch>
                  </pic:blipFill>
                  <pic:spPr bwMode="auto">
                    <a:xfrm>
                      <a:off x="0" y="0"/>
                      <a:ext cx="5638800" cy="4676775"/>
                    </a:xfrm>
                    <a:prstGeom prst="rect">
                      <a:avLst/>
                    </a:prstGeom>
                  </pic:spPr>
                </pic:pic>
              </a:graphicData>
            </a:graphic>
          </wp:inline>
        </w:drawing>
      </w:r>
      <w:bookmarkStart w:id="0" w:name="i-1"/>
      <w:bookmarkEnd w:id="0"/>
    </w:p>
    <w:tbl>
      <w:tblPr>
        <w:tblW w:w="10247" w:type="dxa"/>
        <w:jc w:val="left"/>
        <w:tblInd w:w="0" w:type="dxa"/>
        <w:tblLayout w:type="fixed"/>
        <w:tblCellMar>
          <w:top w:w="28" w:type="dxa"/>
          <w:left w:w="28" w:type="dxa"/>
          <w:bottom w:w="28" w:type="dxa"/>
          <w:right w:w="28" w:type="dxa"/>
        </w:tblCellMar>
      </w:tblPr>
      <w:tblGrid>
        <w:gridCol w:w="587"/>
        <w:gridCol w:w="516"/>
        <w:gridCol w:w="518"/>
        <w:gridCol w:w="226"/>
        <w:gridCol w:w="826"/>
        <w:gridCol w:w="109"/>
        <w:gridCol w:w="109"/>
        <w:gridCol w:w="109"/>
        <w:gridCol w:w="109"/>
        <w:gridCol w:w="226"/>
        <w:gridCol w:w="826"/>
        <w:gridCol w:w="109"/>
        <w:gridCol w:w="109"/>
        <w:gridCol w:w="109"/>
        <w:gridCol w:w="109"/>
        <w:gridCol w:w="247"/>
        <w:gridCol w:w="773"/>
        <w:gridCol w:w="121"/>
        <w:gridCol w:w="109"/>
        <w:gridCol w:w="109"/>
        <w:gridCol w:w="109"/>
        <w:gridCol w:w="226"/>
        <w:gridCol w:w="826"/>
        <w:gridCol w:w="109"/>
        <w:gridCol w:w="109"/>
        <w:gridCol w:w="109"/>
        <w:gridCol w:w="109"/>
        <w:gridCol w:w="226"/>
        <w:gridCol w:w="826"/>
        <w:gridCol w:w="109"/>
        <w:gridCol w:w="109"/>
        <w:gridCol w:w="109"/>
        <w:gridCol w:w="109"/>
        <w:gridCol w:w="226"/>
        <w:gridCol w:w="826"/>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June 30,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December 31,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December 31, 2025</w:t>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LegalZoom.com, Inc.</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20.45 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26.24 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Nasdaq Composite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73.00 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136.81 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165.73 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Nasdaq CTA Internet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44.15 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107.77 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3350"/>
                <wp:effectExtent l="0" t="0" r="0" b="0"/>
                <wp:wrapNone/>
                <wp:docPr id="40" name="Frame3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7. Management's Discussion and Analysis of Financial Condition and Results of Operations</w:t>
      </w:r>
    </w:p>
    <w:p>
      <w:pPr>
        <w:pStyle w:val="TextBody"/>
        <w:bidi w:val="0"/>
        <w:spacing w:lineRule="auto" w:line="288" w:before="120" w:after="120"/>
        <w:ind w:left="0" w:right="0" w:firstLine="450"/>
        <w:jc w:val="left"/>
        <w:rPr>
          <w:rFonts w:ascii="Work Sans;sans-serif" w:hAnsi="Work Sans;sans-serif"/>
          <w:b w:val="false"/>
          <w:i/>
          <w:color w:val="000000"/>
          <w:sz w:val="18"/>
        </w:rPr>
      </w:pPr>
      <w:r>
        <w:rPr>
          <w:rFonts w:ascii="Work Sans;sans-serif" w:hAnsi="Work Sans;sans-serif"/>
          <w:b w:val="false"/>
          <w:i/>
          <w:color w:val="000000"/>
          <w:sz w:val="18"/>
        </w:rPr>
        <w:t>You should read the following discussion and analysis of our financial condition and results of operations together with our consolidated financial statements and related notes included elsewhere in this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the "Risk Factors" section of this Annual Report on Form 10-K. See “Forward-Looking Statements” preceding Part I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Overview</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LegalZoom is a leading online platform for legal services, transforming how individuals and small businesses navigate the legal system. By combining intuitive technology with access to experienced attorneys—whether through our vast independent attorney network or our own law firm—we offer the tools and guidance people need to confidently manage everything from business formation and compliance to intellectual property protection and ongoing business management and legal support. We operate across all 50 states and in over 3,000 counties in the U.S. With over two decades of experience and millions of customers served, LegalZoom helps individuals and small businesses navigate legal needs with confidence.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Key Factors Affecting Our Performance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believe that our future performance will depend on many factors, including the following:</w:t>
      </w:r>
    </w:p>
    <w:p>
      <w:pPr>
        <w:pStyle w:val="TextBody"/>
        <w:bidi w:val="0"/>
        <w:spacing w:lineRule="auto" w:line="288" w:before="120" w:after="120"/>
        <w:ind w:left="0" w:right="0" w:hanging="360"/>
        <w:jc w:val="left"/>
        <w:rPr/>
      </w:pPr>
      <w:r>
        <w:rPr>
          <w:color w:val="000000"/>
        </w:rPr>
        <w:t>•</w:t>
      </w:r>
      <w:r>
        <w:rPr>
          <w:rFonts w:ascii="Work Sans;sans-serif" w:hAnsi="Work Sans;sans-serif"/>
          <w:b/>
          <w:i/>
          <w:color w:val="000000"/>
          <w:sz w:val="18"/>
        </w:rPr>
        <w:t>Macroeconomic factors</w:t>
      </w:r>
      <w:r>
        <w:rPr>
          <w:rFonts w:ascii="Work Sans;sans-serif" w:hAnsi="Work Sans;sans-serif"/>
          <w:b/>
          <w:color w:val="000000"/>
          <w:sz w:val="18"/>
        </w:rPr>
        <w:t xml:space="preserve">. </w:t>
      </w:r>
      <w:r>
        <w:rPr>
          <w:rFonts w:ascii="Work Sans;sans-serif" w:hAnsi="Work Sans;sans-serif"/>
          <w:b w:val="false"/>
          <w:color w:val="000000"/>
          <w:sz w:val="18"/>
        </w:rPr>
        <w:t>Adverse changes in, or uncertainty with respect to, general macroeconomic, political, regulatory and market conditions can negatively impact consumer spending patterns, the success of existing small businesses and the formation of new small businesses. While we continue to actively monitor the impacts of the evolving macroeconomic environment on all aspects of our business, future negative or decelerating impacts from factors such as inflation, tariffs, higher interest rates, regulatory obstacles or changes in laws and regulations remain uncertain.</w:t>
      </w:r>
    </w:p>
    <w:p>
      <w:pPr>
        <w:pStyle w:val="TextBody"/>
        <w:bidi w:val="0"/>
        <w:spacing w:lineRule="auto" w:line="288" w:before="120" w:after="120"/>
        <w:ind w:left="0" w:right="0" w:hanging="360"/>
        <w:jc w:val="left"/>
        <w:rPr/>
      </w:pPr>
      <w:r>
        <w:rPr>
          <w:color w:val="000000"/>
        </w:rPr>
        <w:t>•</w:t>
      </w:r>
      <w:r>
        <w:rPr>
          <w:rFonts w:ascii="Work Sans;sans-serif" w:hAnsi="Work Sans;sans-serif"/>
          <w:b/>
          <w:i/>
          <w:color w:val="000000"/>
          <w:sz w:val="18"/>
        </w:rPr>
        <w:t>Our share of small and medium-sized businesses (SMBs)</w:t>
      </w:r>
      <w:r>
        <w:rPr>
          <w:rFonts w:ascii="Work Sans;sans-serif" w:hAnsi="Work Sans;sans-serif"/>
          <w:b/>
          <w:color w:val="000000"/>
          <w:sz w:val="18"/>
        </w:rPr>
        <w:t>.</w:t>
      </w:r>
      <w:r>
        <w:rPr>
          <w:color w:val="000000"/>
        </w:rPr>
        <w:t xml:space="preserve"> </w:t>
      </w:r>
      <w:r>
        <w:rPr>
          <w:rFonts w:ascii="Work Sans;sans-serif" w:hAnsi="Work Sans;sans-serif"/>
          <w:b w:val="false"/>
          <w:color w:val="000000"/>
          <w:sz w:val="18"/>
        </w:rPr>
        <w:t>In 2025, business formations represented the largest share of our total transaction orders. Business formations act as an entrance point for many customers to the LegalZoom ecosystem, where they then often purchase a mix of transaction and subscription offerings alongside and after the initial formation transaction. In addition, we are expanding our go-to-market strategy to focus on emerging and established business, which we believe will decrease our dependence on business formations over time. As a result, our operating results depend on the continuation of new business formations in the U.S. and even more so, on our ability to increase our share of new business formations and to attract existing businesses to our platform.</w:t>
      </w:r>
    </w:p>
    <w:p>
      <w:pPr>
        <w:pStyle w:val="TextBody"/>
        <w:bidi w:val="0"/>
        <w:spacing w:lineRule="auto" w:line="288" w:before="120" w:after="120"/>
        <w:ind w:left="0" w:right="0" w:hanging="360"/>
        <w:jc w:val="left"/>
        <w:rPr/>
      </w:pPr>
      <w:r>
        <w:rPr>
          <w:color w:val="000000"/>
        </w:rPr>
        <w:t>•</w:t>
      </w:r>
      <w:r>
        <w:rPr>
          <w:rFonts w:ascii="Work Sans;sans-serif" w:hAnsi="Work Sans;sans-serif"/>
          <w:b/>
          <w:i/>
          <w:color w:val="000000"/>
          <w:sz w:val="18"/>
        </w:rPr>
        <w:t>Ability to enhance customer lifetime value</w:t>
      </w:r>
      <w:r>
        <w:rPr>
          <w:rFonts w:ascii="Work Sans;sans-serif" w:hAnsi="Work Sans;sans-serif"/>
          <w:b/>
          <w:color w:val="000000"/>
          <w:sz w:val="18"/>
        </w:rPr>
        <w:t>.</w:t>
      </w:r>
      <w:r>
        <w:rPr>
          <w:color w:val="000000"/>
        </w:rPr>
        <w:t xml:space="preserve"> </w:t>
      </w:r>
      <w:r>
        <w:rPr>
          <w:rFonts w:ascii="Work Sans;sans-serif" w:hAnsi="Work Sans;sans-serif"/>
          <w:b w:val="false"/>
          <w:color w:val="000000"/>
          <w:sz w:val="18"/>
        </w:rPr>
        <w:t xml:space="preserve">Our future performance depends on our ability to integrate new products and services into our LegalZoom ecosystem and to increase recurring revenue through subscription offerings. As we continue to optimize our subscription business, including by testing various commercialization strategies for our offerings and introducing new, higher value DIFM subscription offerings, we have experienced and we expect to continue to experience increased volatility across our key business metrics. </w:t>
      </w:r>
    </w:p>
    <w:p>
      <w:pPr>
        <w:pStyle w:val="TextBody"/>
        <w:bidi w:val="0"/>
        <w:spacing w:lineRule="auto" w:line="288" w:before="120" w:after="120"/>
        <w:ind w:left="0" w:right="0" w:hanging="360"/>
        <w:jc w:val="left"/>
        <w:rPr/>
      </w:pPr>
      <w:r>
        <w:rPr>
          <w:color w:val="000000"/>
        </w:rPr>
        <w:t>•</w:t>
      </w:r>
      <w:r>
        <w:rPr>
          <w:rFonts w:ascii="Work Sans;sans-serif" w:hAnsi="Work Sans;sans-serif"/>
          <w:b/>
          <w:i/>
          <w:color w:val="000000"/>
          <w:sz w:val="18"/>
        </w:rPr>
        <w:t>Ability to integrate augmented legal expertise</w:t>
      </w:r>
      <w:r>
        <w:rPr>
          <w:rFonts w:ascii="Work Sans;sans-serif" w:hAnsi="Work Sans;sans-serif"/>
          <w:b/>
          <w:color w:val="000000"/>
          <w:sz w:val="18"/>
        </w:rPr>
        <w:t>.</w:t>
      </w:r>
      <w:r>
        <w:rPr>
          <w:color w:val="000000"/>
        </w:rPr>
        <w:t xml:space="preserve"> </w:t>
      </w:r>
      <w:r>
        <w:rPr>
          <w:rFonts w:ascii="Work Sans;sans-serif" w:hAnsi="Work Sans;sans-serif"/>
          <w:b w:val="false"/>
          <w:color w:val="000000"/>
          <w:sz w:val="18"/>
        </w:rPr>
        <w:t xml:space="preserve">We believe that the future of legal and small business services involves a combination of AI and human expertise. We aim to utilize AI to drive efficiency and scale, while relying on our team of concierge managers and our independent network of attorneys to provide the judgment and trust that customers need. The extent to which we are able to combine AI with our human expertise in order to drive cost efficiencies and increase the consumption of our DIFM offerings will impact our future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Key Components of our Results of Operations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Revenue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generate revenue from the sources identified below. </w:t>
      </w:r>
    </w:p>
    <w:p>
      <w:pPr>
        <w:pStyle w:val="TextBody"/>
        <w:bidi w:val="0"/>
        <w:spacing w:lineRule="auto" w:line="288" w:before="120" w:after="120"/>
        <w:ind w:left="0" w:right="0" w:firstLine="450"/>
        <w:jc w:val="left"/>
        <w:rPr/>
      </w:pPr>
      <w:r>
        <w:rPr>
          <w:rFonts w:ascii="Work Sans;sans-serif" w:hAnsi="Work Sans;sans-serif"/>
          <w:b w:val="false"/>
          <w:i/>
          <w:color w:val="000000"/>
          <w:sz w:val="18"/>
        </w:rPr>
        <w:t>Transaction revenue</w:t>
      </w:r>
      <w:r>
        <w:rPr>
          <w:color w:val="000000"/>
        </w:rPr>
        <w:t>—</w:t>
      </w:r>
      <w:r>
        <w:rPr>
          <w:rFonts w:ascii="Work Sans;sans-serif" w:hAnsi="Work Sans;sans-serif"/>
          <w:b w:val="false"/>
          <w:color w:val="000000"/>
          <w:sz w:val="18"/>
        </w:rPr>
        <w:t xml:space="preserve">Transaction revenue is primarily generated from our customized legal document services upon fulfillment of these services. Transaction revenue includes filing fees and is net of cancellations, promotional discounts, sales allowances and credit reserves. We also earn fees from third-party providers in connection with lead generation activities, where referred customers purchased services that are transactional in nature. </w:t>
      </w:r>
    </w:p>
    <w:p>
      <w:pPr>
        <w:pStyle w:val="TextBody"/>
        <w:bidi w:val="0"/>
        <w:spacing w:lineRule="auto" w:line="288" w:before="120" w:after="120"/>
        <w:ind w:left="0" w:right="0" w:firstLine="450"/>
        <w:jc w:val="left"/>
        <w:rPr/>
      </w:pPr>
      <w:r>
        <w:rPr>
          <w:rFonts w:ascii="Work Sans;sans-serif" w:hAnsi="Work Sans;sans-serif"/>
          <w:b w:val="false"/>
          <w:i/>
          <w:color w:val="000000"/>
          <w:sz w:val="18"/>
        </w:rPr>
        <w:t>Subscription revenue</w:t>
      </w:r>
      <w:r>
        <w:rPr>
          <w:color w:val="000000"/>
        </w:rPr>
        <w:t>—</w:t>
      </w:r>
      <w:r>
        <w:rPr>
          <w:rFonts w:ascii="Work Sans;sans-serif" w:hAnsi="Work Sans;sans-serif"/>
          <w:b w:val="false"/>
          <w:color w:val="000000"/>
          <w:sz w:val="18"/>
        </w:rPr>
        <w:t xml:space="preserve">Subscription revenue is generated primarily from subscriptions to our registered agent, compliance packages, attorney advice, legal forms, tax and accounting, virtual mail and eSignature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3350"/>
                <wp:effectExtent l="0" t="0" r="0" b="0"/>
                <wp:wrapNone/>
                <wp:docPr id="41" name="Frame4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 xml:space="preserve">services, and software-as-a-service, or SaaS, subscriptions. We generally recognize revenue from our subscriptions ratably over the subscription term. Subscription terms generally range from thirty days to one year. Subscription revenue also includes amounts earned from third-party providers in connection with lead generation activities, where referred customers purchased services that are subscription in nature. Subscription revenue includes the transaction price allocated to bundled free trials for our subscription services and is net of promotional discounts, cancellations, sales allowances and credit reserves and payments to third-party service providers such as legal plan law firms.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For transaction and subscription revenue, we generally collect payments and fees at the time orders are placed and prior to services being rendered. We record amounts collected for services that have not been performed as deferred revenue on our consolidated balance sheet. The transaction price that we record is generally based on the contractual amounts and is reduced for estimated sales allowances for price concessions, charge-backs, sales credits and refunds, which are accounted for as variable consideration when estimating the amount of revenue to recognize.</w:t>
      </w:r>
    </w:p>
    <w:p>
      <w:pPr>
        <w:pStyle w:val="TextBody"/>
        <w:bidi w:val="0"/>
        <w:spacing w:lineRule="auto" w:line="288" w:before="120" w:after="120"/>
        <w:ind w:left="0" w:right="0" w:firstLine="450"/>
        <w:jc w:val="left"/>
        <w:rPr/>
      </w:pPr>
      <w:r>
        <w:rPr>
          <w:rFonts w:ascii="Work Sans;sans-serif" w:hAnsi="Work Sans;sans-serif"/>
          <w:b w:val="false"/>
          <w:color w:val="000000"/>
          <w:sz w:val="18"/>
        </w:rPr>
        <w:t>See the section titled “—</w:t>
      </w:r>
      <w:r>
        <w:rPr>
          <w:rFonts w:ascii="Work Sans;sans-serif" w:hAnsi="Work Sans;sans-serif"/>
          <w:b w:val="false"/>
          <w:i/>
          <w:color w:val="000000"/>
          <w:sz w:val="18"/>
        </w:rPr>
        <w:t>Critical Accounting Estimates—Revenue Recognition</w:t>
      </w:r>
      <w:r>
        <w:rPr>
          <w:color w:val="000000"/>
        </w:rPr>
        <w:t xml:space="preserve">” </w:t>
      </w:r>
      <w:r>
        <w:rPr>
          <w:rFonts w:ascii="Work Sans;sans-serif" w:hAnsi="Work Sans;sans-serif"/>
          <w:b w:val="false"/>
          <w:color w:val="000000"/>
          <w:sz w:val="18"/>
        </w:rPr>
        <w:t>below for a description of the accounting policies related to revenue recognition, including arrangements that contain multiple deliverables.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Cost of revenue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Cost of revenue includes all costs of providing and fulfilling our services. Cost of revenue primarily includes government filing fees, costs of fulfillment, customer care, and payroll services, and related benefits, including stock-based compensation, and costs of independent contractors for document preparation, telecommunications and data center costs, amortization of acquired developed technology, depreciation and amortization of network computers, equipment and internal-use software, printing, shipping and handling charges, credit and debit card fees, allocated overhead, legal document kit expenses, and sales and use taxes. We defer direct and incremental costs primarily related to government filing fees incurred prior to the associated service meeting the criteria for revenue recognition. These contract assets are recognized as cost of revenue in the same period the related revenue is recognized.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Gross profit and gross margin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Gross profit, or revenue less cost of revenue, and gross margin, or gross profit as a percentage of revenue, have been and will continue to be affected by various factors, primarily the mix between transaction and subscription revenue. Our long-term gross margin expansion is also expected to be driven by automation improvements and digitization efforts. Further, our acquisitions of other companies have negatively impacted our gross margin in the past, and any such future acquisitions could have a similar effect. Our gross margin could fluctuate from period to period due to fulfillment rates and seasonality.</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Operating expenses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operating expenses consist primarily of sales and marketing, technology and development, general and administrative expenses, and to a lesser extent, impairments of goodwill, long-lived assets, other assets and gain on sale of assets held for sale.</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Sales and marketing</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Sales and marketing expenses consist of customer acquisition media costs, compensation and related benefits, including stock-based compensation for marketing and sales personnel, media production, public relations and other promotional activities, general business development activities, an allocation of depreciation and amortization and allocated overhead. Customer acquisition media costs consist primarily of search engine marketing, television and social media costs. Marketing and advertising costs to promote our services are expensed in the period incurred. Media production costs are expensed the first time the advertisement is aired.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Customer acquisition media spend has historically been highest in the first quarter of the year to align with business formation seasonality and we expect this trend to continue to invest in sales and marketing to drive additional revenue, further penetrate our expanding addressable market, and build on our digital brand leadership and awareness. We anticipate that sales and marketing expenses will continue to be our largest operating expense category for the foreseeable future.</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Technology and development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Technology and development expenses consist primarily of personnel costs and related benefits, including stock-based compensation for technology and development personnel, expenses for outside consultants, an allocation of depreciation and amortization and allocated overhead. These expenses include costs incurred in the development and implementation of our products, websites, mobile applications, online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3350"/>
                <wp:effectExtent l="0" t="0" r="0" b="0"/>
                <wp:wrapNone/>
                <wp:docPr id="42" name="Frame4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legal platform, research and development and related infrastructure. Technology and development expenses are expensed as incurred, except to the extent that such costs are associated with internal-use software costs that qualify for capitalization.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Excluding stock-based compensation, we expect our technology and development expenses to remain relatively consistent as a percentage of our revenue for the foreseeable future, although our technology and development expenses may fluctuate as a percentage of our revenue from period-to-period due to seasonality and the timing and extent of these expenses.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General and administrative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general and administrative expenses relate primarily to compensation and related benefits, including stock-based compensation, for executive and corporate personnel, professional and consulting fees, an allocation of depreciation and amortization, allocated overhead and legal costs.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expect our general and administrative expenses to decrease as a percentage of our revenue over the longer term. However, our general and administrative expenses may fluctuate as a percentage of our revenue from period-to-period due to seasonality and the timing and extent of these expenses.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Gain on sale of assets held for sale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Gain on sale of assets held for sale relates to the sale of our operational headquarters on March 31, 2025.</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Interest expense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Interest expense consists primarily of amortization of debt issuance costs related to our amended and restated credit and guaranty agreement, or, as amended, the Amended Revolving Facility as well as interest incurred on the deferred cash consideration associated with the acquisition of Formation Nation.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expect interest expense to remain insignificant in the near term as we have no outstanding indebtedness. However, we would incur interest expense in the longer term should we draw down on our Amended Revolving Facility or incur other indebtedness.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Interest income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Interest income consists primarily of interest income generated from our investment in money market funds.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Other income, net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Other income, net consists of realized and unrealized foreign currency gains and losses, change in fair value of other equity security, gain on sale of available-for-sale security as well as the loss on debt extinguishment related to the Amended Revolving Facility.</w:t>
      </w:r>
    </w:p>
    <w:p>
      <w:pPr>
        <w:pStyle w:val="TextBody"/>
        <w:bidi w:val="0"/>
        <w:spacing w:before="0" w:after="0"/>
        <w:jc w:val="left"/>
        <w:rPr/>
      </w:pPr>
      <w:r>
        <w:rPr/>
      </w:r>
    </w:p>
    <w:p>
      <w:pPr>
        <w:pStyle w:val="TextBody"/>
        <w:bidi w:val="0"/>
        <w:spacing w:lineRule="auto" w:line="288" w:before="0" w:after="0"/>
        <w:jc w:val="left"/>
        <w:rPr>
          <w:rFonts w:ascii="Work Sans;sans-serif" w:hAnsi="Work Sans;sans-serif"/>
          <w:b/>
          <w:i/>
          <w:color w:val="000000"/>
          <w:sz w:val="18"/>
        </w:rPr>
      </w:pPr>
      <w:r>
        <w:rPr>
          <w:rFonts w:ascii="Work Sans;sans-serif" w:hAnsi="Work Sans;sans-serif"/>
          <w:b/>
          <w:i/>
          <w:color w:val="000000"/>
          <w:sz w:val="18"/>
        </w:rPr>
        <w:t>Income taxes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provision for income taxes consists of current and deferred federal, state and foreign income taxes.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account for income taxes in accordance with Accounting Standard Codification 740, Income Taxes, which requires an estimate of the annual effective tax rate for the full year to be applied to the interim period, taking into account year-to-date amounts and projected results for the full year. Our effective tax rate could fluctuate significantly from quarter to quarter based on recurring and nonrecurring factors including, but not limited to: variations in the estimated and actual level of pre-tax income or loss by jurisdiction; changes in enacted tax laws and regulations, and interpretations thereof, including with respect to tax credits and state and local income taxes; developments in tax audits and other matters; recognition of excess tax benefits and tax deficiencies from stock-based compensation and certain nondeductible expenses. Changes in judgment from the evaluation of new information resulting in the recognition, derecognition, or remeasurement of a tax position taken in a prior annual period are recognized separately in the quarter of the change.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At December 31, 2025, we had federal net operating loss, or NOL, carryforwards of $27.5 million, which will begin to expire in 2036. At December 31, 2025, we had state NOL carryforwards of $41.3 million, which will begin to expire in 2026 and we had foreign NOL carryforwards of $32.8 million, which can be carried forward indefinitely and are not subject to expiration. In general, under Sections 382 and 383 of the Internal Revenue Code of 1986, as amended, or the Code, if a corporation undergoes an “ownership change,” generally defined as a greater than 50% change, by value, in its equity ownership by certain stockholders over a three-year period, the corporation’s ability to use its pre-change NOLs and other pre-change tax attributes, such as research tax credits, to offset its post-change income or taxes may be limited.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33350"/>
                <wp:effectExtent l="0" t="0" r="0" b="0"/>
                <wp:wrapNone/>
                <wp:docPr id="43" name="Frame4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had an ownership change in prior years, and as a result certain federal and state NOLs were limited pursuant to Section 382 of the Code. This limitation has been accounted for in calculating our available NOL carryforwards.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Key Business Metrics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to the measures presented in our consolidated financial statements, we regularly monitor the following financial and operating metrics to evaluate the growth of our business, measure the effectiveness of our marketing efforts, identify trends, formulate financial forecasts and make strategic decisions. For the year ended December 31, 2025, Formation Nation is included in the key business metrics below starting on February 10, 2025, the date we acquired Formation Nation. Prior periods have not been recast.</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Number of business formations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define the number of business formations in a given period as the number of limited liability company, or LLC, incorporation, not-for-profit and doing business as, or DBA, orders placed on our platform in such period. We consider the number of business formations to be an important metric considering that it is typically the first product or service small business customers purchase on our platform, creating the foundation for additional products and subsequent subscription revenue as customers adopt additional products and services throughout the lifecycle of their business.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believe that including customers filing DBAs on our platform provides a more accurate representation of the number of newly formed businesses we serve. These transactions are most often completed by sole proprietors who represent potential future transaction and subscription cross-sell opportunities as their businesses mature.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Furthermore, we believe our definition of the number of business formations is most closely aligned with U.S. Census reporting of new applications for Employer Identification Numbers, or EINs, which we believe to be the most relevant source of publicly available U.S. market data.</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below table sets forth the number of business formations for the years ended December 31, 2025 and 2024:</w:t>
      </w:r>
    </w:p>
    <w:tbl>
      <w:tblPr>
        <w:tblW w:w="5726" w:type="dxa"/>
        <w:jc w:val="left"/>
        <w:tblInd w:w="0" w:type="dxa"/>
        <w:tblLayout w:type="fixed"/>
        <w:tblCellMar>
          <w:top w:w="28" w:type="dxa"/>
          <w:left w:w="28" w:type="dxa"/>
          <w:bottom w:w="28" w:type="dxa"/>
          <w:right w:w="28" w:type="dxa"/>
        </w:tblCellMar>
      </w:tblPr>
      <w:tblGrid>
        <w:gridCol w:w="1063"/>
        <w:gridCol w:w="937"/>
        <w:gridCol w:w="940"/>
        <w:gridCol w:w="295"/>
        <w:gridCol w:w="295"/>
        <w:gridCol w:w="295"/>
        <w:gridCol w:w="295"/>
        <w:gridCol w:w="295"/>
        <w:gridCol w:w="295"/>
        <w:gridCol w:w="295"/>
        <w:gridCol w:w="295"/>
        <w:gridCol w:w="426"/>
      </w:tblGrid>
      <w:tr>
        <w:trPr/>
        <w:tc>
          <w:tcPr>
            <w:tcW w:w="10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Work Sans;sans-serif" w:hAnsi="Work Sans;sans-serif"/>
                <w:b w:val="false"/>
                <w:i/>
                <w:color w:val="000000"/>
                <w:sz w:val="18"/>
              </w:rPr>
              <w:t>(in thousands)</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Number of business formations</w:t>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val="false"/>
                <w:color w:val="000000"/>
                <w:sz w:val="18"/>
              </w:rPr>
            </w:pPr>
            <w:r>
              <w:rPr>
                <w:rFonts w:ascii="Work Sans;sans-serif" w:hAnsi="Work Sans;sans-serif"/>
                <w:b w:val="false"/>
                <w:color w:val="000000"/>
                <w:sz w:val="18"/>
              </w:rPr>
              <w:t>500</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val="false"/>
                <w:color w:val="000000"/>
                <w:sz w:val="18"/>
              </w:rPr>
            </w:pPr>
            <w:r>
              <w:rPr>
                <w:rFonts w:ascii="Work Sans;sans-serif" w:hAnsi="Work Sans;sans-serif"/>
                <w:b w:val="false"/>
                <w:color w:val="000000"/>
                <w:sz w:val="18"/>
              </w:rPr>
              <w:t>482</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experienced a 4% increase in business formation transactions during the year ended December 31, 2025 compared to the year ended December 31, 2024, primarily due to formations driven by our Formation Nation acquisition. Overall U.S. business formations grew by 9% during the year ended December 31, 2025 compared to the year ended December 31, 2024, based on a review of U.S. Census data revealing new applications for EINs.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Number of transactions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define the number of transactions in a given period as gross transaction order volume, prior to refunds, on our platform during such period. Transactions may include one or more services purchased at the same time. For example, a customer of our business formation services may choose to form an LLC and purchase an operating agreement and business licenses at the same time. This constitutes a single transaction. Refunds, or partial refunds, may be issued under certain circumstances pursuant to the terms of our customer satisfaction guarantee. We consider the number of transactions to be an important metric considering that our customers generally begin their LegalZoom journey with a transaction, creating the foundation for generating subsequent subscription revenue.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below table sets forth the number of transactions for the years ended December 31, 2025 and 2024:</w:t>
      </w:r>
    </w:p>
    <w:tbl>
      <w:tblPr>
        <w:tblW w:w="5036" w:type="dxa"/>
        <w:jc w:val="left"/>
        <w:tblInd w:w="0" w:type="dxa"/>
        <w:tblLayout w:type="fixed"/>
        <w:tblCellMar>
          <w:top w:w="28" w:type="dxa"/>
          <w:left w:w="28" w:type="dxa"/>
          <w:bottom w:w="28" w:type="dxa"/>
          <w:right w:w="28" w:type="dxa"/>
        </w:tblCellMar>
      </w:tblPr>
      <w:tblGrid>
        <w:gridCol w:w="815"/>
        <w:gridCol w:w="715"/>
        <w:gridCol w:w="720"/>
        <w:gridCol w:w="295"/>
        <w:gridCol w:w="295"/>
        <w:gridCol w:w="295"/>
        <w:gridCol w:w="295"/>
        <w:gridCol w:w="295"/>
        <w:gridCol w:w="295"/>
        <w:gridCol w:w="295"/>
        <w:gridCol w:w="295"/>
        <w:gridCol w:w="426"/>
      </w:tblGrid>
      <w:tr>
        <w:trPr/>
        <w:tc>
          <w:tcPr>
            <w:tcW w:w="8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Number of transactions</w:t>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val="false"/>
                <w:color w:val="000000"/>
                <w:sz w:val="18"/>
              </w:rPr>
            </w:pPr>
            <w:r>
              <w:rPr>
                <w:rFonts w:ascii="Work Sans;sans-serif" w:hAnsi="Work Sans;sans-serif"/>
                <w:b w:val="false"/>
                <w:color w:val="000000"/>
                <w:sz w:val="18"/>
              </w:rPr>
              <w:t>1,117</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val="false"/>
                <w:color w:val="000000"/>
                <w:sz w:val="18"/>
              </w:rPr>
            </w:pPr>
            <w:r>
              <w:rPr>
                <w:rFonts w:ascii="Work Sans;sans-serif" w:hAnsi="Work Sans;sans-serif"/>
                <w:b w:val="false"/>
                <w:color w:val="000000"/>
                <w:sz w:val="18"/>
              </w:rPr>
              <w:t>1,123</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experienced a 1% decrease in the number of transactions during the year ended December 31, 2025 compared to the year ended December 31, 2024, primarily from the decline in beneficial ownership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3350"/>
                <wp:effectExtent l="0" t="0" r="0" b="0"/>
                <wp:wrapNone/>
                <wp:docPr id="44" name="Frame4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val="false"/>
          <w:color w:val="000000"/>
          <w:sz w:val="18"/>
        </w:rPr>
      </w:pPr>
      <w:r>
        <w:rPr>
          <w:rFonts w:ascii="Work Sans;sans-serif" w:hAnsi="Work Sans;sans-serif"/>
          <w:b w:val="false"/>
          <w:color w:val="000000"/>
          <w:sz w:val="18"/>
        </w:rPr>
        <w:t>report filings following a FinCEN ruling on March 21, 2025 that eliminated this filing requirement for U.S. companies, partially offset by the inclusion of transactions from our Formation Nation acquisition and an increase in annual report filings.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Average order value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define average order value for a given period as total transaction revenue divided by total number of transactions in such period. We consider average order value to be an important metric given that it indicates how much customers are spending on average on our platform per transaction.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below table sets forth the average order value for the years ended December 31, 2025 and 2024:</w:t>
      </w:r>
    </w:p>
    <w:tbl>
      <w:tblPr>
        <w:tblW w:w="4722" w:type="dxa"/>
        <w:jc w:val="left"/>
        <w:tblInd w:w="0" w:type="dxa"/>
        <w:tblLayout w:type="fixed"/>
        <w:tblCellMar>
          <w:top w:w="28" w:type="dxa"/>
          <w:left w:w="28" w:type="dxa"/>
          <w:bottom w:w="28" w:type="dxa"/>
          <w:right w:w="28" w:type="dxa"/>
        </w:tblCellMar>
      </w:tblPr>
      <w:tblGrid>
        <w:gridCol w:w="700"/>
        <w:gridCol w:w="616"/>
        <w:gridCol w:w="619"/>
        <w:gridCol w:w="300"/>
        <w:gridCol w:w="700"/>
        <w:gridCol w:w="145"/>
        <w:gridCol w:w="145"/>
        <w:gridCol w:w="145"/>
        <w:gridCol w:w="145"/>
        <w:gridCol w:w="300"/>
        <w:gridCol w:w="700"/>
        <w:gridCol w:w="207"/>
      </w:tblGrid>
      <w:tr>
        <w:trPr/>
        <w:tc>
          <w:tcPr>
            <w:tcW w:w="70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Average order value</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236 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219 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Average order value increased by 8% during the year ended December 31, 2025 compared to the year ended December 31, 2024. The increase in average order value was primarily driven by a decrease in the volume of lower-value beneficial ownership information report filings, as well as our acquisition of Formation Nation, which includes higher-value DIFM business formation services.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Number of subscription units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define the number of subscription units in a given period as the number of paid subscriptions at the end of such period, including those that are not yet 60 days past their subscription order dates. Refunds, or partial refunds, may be issued under certain circumstances pursuant to the terms of our customer satisfaction guarantee.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consider the number of subscription units to be an important metric since subscriptions enable us to increase the lifetime value of a customer through deeper, longer-term relationships. In addition, as we continue to innovate our product line-up, including by testing varying price points for our products and evaluating our commercialization strategy, we believe the number of subscription units, when viewed together with the number of business formations during a particular period, provides insight into the effectiveness of our efforts to drive growth in our subscription business.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Subscriptions typically range from 30 days to one year in duration and the vast majority of our new subscriptions originate from business formation orders and have an annual term. Our customers can have multiple subscriptions at the end of a period.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below table sets forth the number of subscription units as of December 31, 2025 and 2024:</w:t>
      </w:r>
    </w:p>
    <w:tbl>
      <w:tblPr>
        <w:tblW w:w="4871" w:type="dxa"/>
        <w:jc w:val="left"/>
        <w:tblInd w:w="0" w:type="dxa"/>
        <w:tblLayout w:type="fixed"/>
        <w:tblCellMar>
          <w:top w:w="28" w:type="dxa"/>
          <w:left w:w="28" w:type="dxa"/>
          <w:bottom w:w="28" w:type="dxa"/>
          <w:right w:w="28" w:type="dxa"/>
        </w:tblCellMar>
      </w:tblPr>
      <w:tblGrid>
        <w:gridCol w:w="1000"/>
        <w:gridCol w:w="877"/>
        <w:gridCol w:w="883"/>
        <w:gridCol w:w="223"/>
        <w:gridCol w:w="223"/>
        <w:gridCol w:w="223"/>
        <w:gridCol w:w="223"/>
        <w:gridCol w:w="223"/>
        <w:gridCol w:w="223"/>
        <w:gridCol w:w="223"/>
        <w:gridCol w:w="223"/>
        <w:gridCol w:w="327"/>
      </w:tblGrid>
      <w:tr>
        <w:trPr/>
        <w:tc>
          <w:tcPr>
            <w:tcW w:w="10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As of December 31,</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Number of subscription units</w:t>
            </w:r>
          </w:p>
        </w:tc>
        <w:tc>
          <w:tcPr>
            <w:tcW w:w="6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val="false"/>
                <w:color w:val="000000"/>
                <w:sz w:val="18"/>
              </w:rPr>
            </w:pPr>
            <w:r>
              <w:rPr>
                <w:rFonts w:ascii="Work Sans;sans-serif" w:hAnsi="Work Sans;sans-serif"/>
                <w:b w:val="false"/>
                <w:color w:val="000000"/>
                <w:sz w:val="18"/>
              </w:rPr>
              <w:t>1,939</w:t>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val="false"/>
                <w:color w:val="000000"/>
                <w:sz w:val="18"/>
              </w:rPr>
            </w:pPr>
            <w:r>
              <w:rPr>
                <w:rFonts w:ascii="Work Sans;sans-serif" w:hAnsi="Work Sans;sans-serif"/>
                <w:b w:val="false"/>
                <w:color w:val="000000"/>
                <w:sz w:val="18"/>
              </w:rPr>
              <w:t>1,766</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achieved 10% growth in the number of subscription units from December 31, 2024 to December 31, 2025, primarily driven by an increase in compliance, legal advisory and accounting subscriptions from the bundling of these products into business formation offerings, as well as an increase in virtual mail subscriptions and the inclusion of subscription units from our Formation Nation acquisition.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On a sequential basis, the number of subscription units as of December 31, 2025 decreased 1% from 1,959 thousand subscription units as of September 30, 2025.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Average revenue per subscription unit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define average revenue per subscription unit, or ARPU, as of a given date as subscription revenue for the twelve-month period ended on such date, or LTM, divided by the average of the number of subscription units at the beginning and end of the LTM period. We consider ARPU to be an important metric because it helps to illustrate our ability to provide and monetize higher value subscriptions. In addition, when viewed together with subscription units, ARPU provides insight into the impact that higher-value subscriptions have on our ability to grow our subscription units.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below table sets forth ARPU as of December 31,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3350"/>
                <wp:effectExtent l="0" t="0" r="0" b="0"/>
                <wp:wrapNone/>
                <wp:docPr id="45" name="Frame4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40</w:t>
                      </w:r>
                    </w:p>
                  </w:txbxContent>
                </v:textbox>
                <w10:wrap type="none"/>
              </v:rect>
            </w:pict>
          </mc:Fallback>
        </mc:AlternateContent>
      </w:r>
    </w:p>
    <w:p>
      <w:pPr>
        <w:pStyle w:val="TextBody"/>
        <w:bidi w:val="0"/>
        <w:spacing w:before="0" w:after="0"/>
        <w:jc w:val="left"/>
        <w:rPr/>
      </w:pPr>
      <w:r>
        <w:rPr/>
      </w:r>
    </w:p>
    <w:tbl>
      <w:tblPr>
        <w:tblW w:w="5712" w:type="dxa"/>
        <w:jc w:val="left"/>
        <w:tblInd w:w="0" w:type="dxa"/>
        <w:tblLayout w:type="fixed"/>
        <w:tblCellMar>
          <w:top w:w="28" w:type="dxa"/>
          <w:left w:w="28" w:type="dxa"/>
          <w:bottom w:w="28" w:type="dxa"/>
          <w:right w:w="28" w:type="dxa"/>
        </w:tblCellMar>
      </w:tblPr>
      <w:tblGrid>
        <w:gridCol w:w="1304"/>
        <w:gridCol w:w="1144"/>
        <w:gridCol w:w="1151"/>
        <w:gridCol w:w="228"/>
        <w:gridCol w:w="531"/>
        <w:gridCol w:w="110"/>
        <w:gridCol w:w="110"/>
        <w:gridCol w:w="110"/>
        <w:gridCol w:w="110"/>
        <w:gridCol w:w="228"/>
        <w:gridCol w:w="531"/>
        <w:gridCol w:w="155"/>
      </w:tblGrid>
      <w:tr>
        <w:trPr/>
        <w:tc>
          <w:tcPr>
            <w:tcW w:w="130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As of December 31,</w:t>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Average revenue per subscription unit</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266 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263 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ARPU increased by 1% as of December 31, 2025 as compared to December 31, 2024 driven primarily by the acquisition of Formation Nation in February 2025, partially offset by our prior discontinuation of new customer acquisition for our tax offerings as well as a shift in mix towards our lower priced subscription offerings, including forms and eSignature, accounting solutions, and legal advisory subscriptions, due to the bundling of these products into certain business formation offerings. On a sequential basis, ARPU as of December 31, 2025 increased 4% compared to September 30, 2025.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Annual small business retention rate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define annual small business retention rate as the percentage of small business subscription units active as of the last day of the quarter one year ago that were still active subscriptions 12 months later. Small business subscription units represent our subscriptions targeted at our small business customers and include subscriptions for our registered agent and compliance services, our tax solution, our virtual mail, forms and eSignature solutions and our small business legal advisory plan, and exclude subscriptions from our enterprise customers, our prior operations in the U.K. and our consumer legal advisory plan. Annual small business retention rate includes both monthly and annual subscription units and reflects all subscription unit attrition, including as a result of actual business failures of certain of our customers. Our annual small business retention rate as of December 31, 2025 was approximately 58% which was impacted by the anniversary of the bundling of annual forms and eSignature subscriptions into certain business formation offerings, which are typically lower retaining.</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annual small business retention rate as of December 31, 2025 does not include the impact of Formation Nation, as we had no active Formation Nation subscriptions on the last day of the quarter one year ago.</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expect annual retention rate to fluctuate as we continue to test new products, subscription term lengths and price points and seek to optimize our product offerings across our lineup. While there may be a general correlation between annual small business retention rate and our ability to increase customer lifetime value and the growth of our customer base, we do not view it as a predictor of future revenue given the varying needs of a small business during its lifecycle and the varying use cases of the products underlying our subscription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3350"/>
                <wp:effectExtent l="0" t="0" r="0" b="0"/>
                <wp:wrapNone/>
                <wp:docPr id="46" name="Frame4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Results of Operations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table below sets forth our consolidated statement of operations data for each of the periods indicated. The period-to-period comparison of financial results should not be considered as a prediction or indicative of our future results.</w:t>
      </w:r>
    </w:p>
    <w:tbl>
      <w:tblPr>
        <w:tblW w:w="6143" w:type="dxa"/>
        <w:jc w:val="left"/>
        <w:tblInd w:w="0" w:type="dxa"/>
        <w:tblLayout w:type="fixed"/>
        <w:tblCellMar>
          <w:top w:w="28" w:type="dxa"/>
          <w:left w:w="28" w:type="dxa"/>
          <w:bottom w:w="28" w:type="dxa"/>
          <w:right w:w="28" w:type="dxa"/>
        </w:tblCellMar>
      </w:tblPr>
      <w:tblGrid>
        <w:gridCol w:w="1163"/>
        <w:gridCol w:w="1021"/>
        <w:gridCol w:w="1025"/>
        <w:gridCol w:w="226"/>
        <w:gridCol w:w="946"/>
        <w:gridCol w:w="109"/>
        <w:gridCol w:w="109"/>
        <w:gridCol w:w="109"/>
        <w:gridCol w:w="109"/>
        <w:gridCol w:w="226"/>
        <w:gridCol w:w="946"/>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Revenue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756,043 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681,881 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Cost of revenue</w:t>
            </w:r>
            <w:r>
              <w:rPr>
                <w:rFonts w:ascii="Work Sans;sans-serif" w:hAnsi="Work Sans;sans-serif"/>
                <w:b w:val="false"/>
                <w:color w:val="000000"/>
                <w:sz w:val="12"/>
              </w:rPr>
              <w:t>(1)(2)</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257,960 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240,093 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Gross profit</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498,083 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441,788 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Operating expenses: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Sales and marketing</w:t>
            </w:r>
            <w:r>
              <w:rPr>
                <w:rFonts w:ascii="Work Sans;sans-serif" w:hAnsi="Work Sans;sans-serif"/>
                <w:b w:val="false"/>
                <w:color w:val="000000"/>
                <w:sz w:val="12"/>
              </w:rPr>
              <w:t>(1)(2)</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261,745 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207,684 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Technology and development</w:t>
            </w:r>
            <w:r>
              <w:rPr>
                <w:rFonts w:ascii="Work Sans;sans-serif" w:hAnsi="Work Sans;sans-serif"/>
                <w:b w:val="false"/>
                <w:color w:val="000000"/>
                <w:sz w:val="12"/>
              </w:rPr>
              <w:t>(1)(2)</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81,941 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89,584 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General and administrative</w:t>
            </w:r>
            <w:r>
              <w:rPr>
                <w:rFonts w:ascii="Work Sans;sans-serif" w:hAnsi="Work Sans;sans-serif"/>
                <w:b w:val="false"/>
                <w:color w:val="000000"/>
                <w:sz w:val="12"/>
              </w:rPr>
              <w:t>(1)(2)</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143,758 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108,939 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Gain on sale of assets held for sale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operating expenses</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473,107 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406,207 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Income from operations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24,976 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35,581 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Interest expense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Interest income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income,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 xml:space="preserve">Income before income taxes </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43,083 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Provision for income taxes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w:t>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15,427 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29,963 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450"/>
        <w:jc w:val="left"/>
        <w:rPr>
          <w:rFonts w:ascii="Work Sans;sans-serif" w:hAnsi="Work Sans;sans-serif"/>
          <w:b w:val="false"/>
          <w:color w:val="000000"/>
          <w:sz w:val="18"/>
        </w:rPr>
      </w:pPr>
      <w:r>
        <w:rPr>
          <w:rFonts w:ascii="Work Sans;sans-serif" w:hAnsi="Work Sans;sans-serif"/>
          <w:b w:val="false"/>
          <w:color w:val="000000"/>
          <w:sz w:val="18"/>
        </w:rPr>
        <w:t>(1)Includes stock-based compensation expense as follows:</w:t>
      </w:r>
    </w:p>
    <w:tbl>
      <w:tblPr>
        <w:tblW w:w="6654" w:type="dxa"/>
        <w:jc w:val="left"/>
        <w:tblInd w:w="0" w:type="dxa"/>
        <w:tblLayout w:type="fixed"/>
        <w:tblCellMar>
          <w:top w:w="28" w:type="dxa"/>
          <w:left w:w="28" w:type="dxa"/>
          <w:bottom w:w="28" w:type="dxa"/>
          <w:right w:w="28" w:type="dxa"/>
        </w:tblCellMar>
      </w:tblPr>
      <w:tblGrid>
        <w:gridCol w:w="1391"/>
        <w:gridCol w:w="1220"/>
        <w:gridCol w:w="1229"/>
        <w:gridCol w:w="226"/>
        <w:gridCol w:w="946"/>
        <w:gridCol w:w="109"/>
        <w:gridCol w:w="109"/>
        <w:gridCol w:w="109"/>
        <w:gridCol w:w="109"/>
        <w:gridCol w:w="226"/>
        <w:gridCol w:w="826"/>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5,833 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8,077 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76,263 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38,027 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stock-based compensation expense</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113,708 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71,510 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pPr>
      <w:r>
        <w:rPr>
          <w:rFonts w:ascii="Work Sans;sans-serif" w:hAnsi="Work Sans;sans-serif"/>
          <w:b w:val="false"/>
          <w:color w:val="000000"/>
          <w:sz w:val="18"/>
        </w:rPr>
        <w:t>Stock-based compensation expense increased for the year ended December 31, 2025 compared to the year ended December 31, 2024 primarily due to a full year of expense recognition in 2025 for our awards with performance conditions as well as those with market-based conditions, or, collectively, PSUs, granted in 2024, compared to a partial year of expense in</w:t>
      </w:r>
      <w:r>
        <w:rPr>
          <w:color w:val="000000"/>
          <w:shd w:fill="FFFFFF" w:val="clear"/>
        </w:rPr>
        <w:t xml:space="preserve"> </w:t>
      </w:r>
      <w:r>
        <w:rPr>
          <w:rFonts w:ascii="Work Sans;sans-serif" w:hAnsi="Work Sans;sans-serif"/>
          <w:b w:val="false"/>
          <w:color w:val="000000"/>
          <w:sz w:val="18"/>
        </w:rPr>
        <w:t>2024. Refer to Note 14 to our consolidated financial statements included elsewhere in this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3350"/>
                <wp:effectExtent l="0" t="0" r="0" b="0"/>
                <wp:wrapNone/>
                <wp:docPr id="47" name="Frame4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450"/>
        <w:jc w:val="left"/>
        <w:rPr>
          <w:rFonts w:ascii="Work Sans;sans-serif" w:hAnsi="Work Sans;sans-serif"/>
          <w:b w:val="false"/>
          <w:color w:val="000000"/>
          <w:sz w:val="18"/>
        </w:rPr>
      </w:pPr>
      <w:r>
        <w:rPr>
          <w:rFonts w:ascii="Work Sans;sans-serif" w:hAnsi="Work Sans;sans-serif"/>
          <w:b w:val="false"/>
          <w:color w:val="000000"/>
          <w:sz w:val="18"/>
        </w:rPr>
        <w:t>(2)Includes depreciation and amortization expense for our property and equipment, including capitalized internal-use software and intangible assets as follows:</w:t>
      </w:r>
    </w:p>
    <w:tbl>
      <w:tblPr>
        <w:tblW w:w="6927" w:type="dxa"/>
        <w:jc w:val="center"/>
        <w:tblInd w:w="0" w:type="dxa"/>
        <w:tblLayout w:type="fixed"/>
        <w:tblCellMar>
          <w:top w:w="28" w:type="dxa"/>
          <w:left w:w="28" w:type="dxa"/>
          <w:bottom w:w="28" w:type="dxa"/>
          <w:right w:w="28" w:type="dxa"/>
        </w:tblCellMar>
      </w:tblPr>
      <w:tblGrid>
        <w:gridCol w:w="1499"/>
        <w:gridCol w:w="1315"/>
        <w:gridCol w:w="1325"/>
        <w:gridCol w:w="233"/>
        <w:gridCol w:w="854"/>
        <w:gridCol w:w="112"/>
        <w:gridCol w:w="112"/>
        <w:gridCol w:w="112"/>
        <w:gridCol w:w="112"/>
        <w:gridCol w:w="233"/>
        <w:gridCol w:w="854"/>
        <w:gridCol w:w="166"/>
      </w:tblGrid>
      <w:tr>
        <w:trPr/>
        <w:tc>
          <w:tcPr>
            <w:tcW w:w="149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20,687 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18,902 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9,261 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3,736 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8,516 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7,688 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5,659 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4,601 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depreciation and amortization expense</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44,123 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34,927 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Comparison of the Year Ended December 31, 2025 and 2024</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Revenue</w:t>
      </w:r>
    </w:p>
    <w:tbl>
      <w:tblPr>
        <w:tblW w:w="7689" w:type="dxa"/>
        <w:jc w:val="left"/>
        <w:tblInd w:w="0" w:type="dxa"/>
        <w:tblLayout w:type="fixed"/>
        <w:tblCellMar>
          <w:top w:w="28" w:type="dxa"/>
          <w:left w:w="28" w:type="dxa"/>
          <w:bottom w:w="28" w:type="dxa"/>
          <w:right w:w="28" w:type="dxa"/>
        </w:tblCellMar>
      </w:tblPr>
      <w:tblGrid>
        <w:gridCol w:w="667"/>
        <w:gridCol w:w="587"/>
        <w:gridCol w:w="590"/>
        <w:gridCol w:w="226"/>
        <w:gridCol w:w="946"/>
        <w:gridCol w:w="109"/>
        <w:gridCol w:w="109"/>
        <w:gridCol w:w="109"/>
        <w:gridCol w:w="109"/>
        <w:gridCol w:w="226"/>
        <w:gridCol w:w="946"/>
        <w:gridCol w:w="109"/>
        <w:gridCol w:w="109"/>
        <w:gridCol w:w="109"/>
        <w:gridCol w:w="109"/>
        <w:gridCol w:w="226"/>
        <w:gridCol w:w="826"/>
        <w:gridCol w:w="109"/>
        <w:gridCol w:w="109"/>
        <w:gridCol w:w="109"/>
        <w:gridCol w:w="109"/>
        <w:gridCol w:w="232"/>
        <w:gridCol w:w="232"/>
        <w:gridCol w:w="67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Revenue by type</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Transaction</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263,582 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245,692 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Subscription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492,461 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436,189 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56,272 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revenue</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756,043 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681,881 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74,162 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pPr>
      <w:r>
        <w:rPr>
          <w:rFonts w:ascii="Work Sans;sans-serif" w:hAnsi="Work Sans;sans-serif"/>
          <w:b w:val="false"/>
          <w:color w:val="000000"/>
          <w:sz w:val="18"/>
        </w:rPr>
        <w:t xml:space="preserve">The 11% increase in total revenue for the year ended </w:t>
      </w:r>
      <w:r>
        <w:rPr>
          <w:rFonts w:ascii="Work Sans;sans-serif" w:hAnsi="Work Sans;sans-serif"/>
          <w:b w:val="false"/>
          <w:color w:val="000000"/>
          <w:sz w:val="18"/>
          <w:shd w:fill="FFFFFF" w:val="clear"/>
        </w:rPr>
        <w:t>December 31, 2025</w:t>
      </w:r>
      <w:r>
        <w:rPr>
          <w:color w:val="000000"/>
        </w:rPr>
        <w:t xml:space="preserve"> </w:t>
      </w:r>
      <w:r>
        <w:rPr>
          <w:rFonts w:ascii="Work Sans;sans-serif" w:hAnsi="Work Sans;sans-serif"/>
          <w:b w:val="false"/>
          <w:color w:val="000000"/>
          <w:sz w:val="18"/>
        </w:rPr>
        <w:t xml:space="preserve">compared to the year ended </w:t>
      </w:r>
      <w:r>
        <w:rPr>
          <w:rFonts w:ascii="Work Sans;sans-serif" w:hAnsi="Work Sans;sans-serif"/>
          <w:b w:val="false"/>
          <w:color w:val="000000"/>
          <w:sz w:val="18"/>
          <w:shd w:fill="FFFFFF" w:val="clear"/>
        </w:rPr>
        <w:t>December 31, 2024</w:t>
      </w:r>
      <w:r>
        <w:rPr>
          <w:color w:val="000000"/>
        </w:rPr>
        <w:t xml:space="preserve"> </w:t>
      </w:r>
      <w:r>
        <w:rPr>
          <w:rFonts w:ascii="Work Sans;sans-serif" w:hAnsi="Work Sans;sans-serif"/>
          <w:b w:val="false"/>
          <w:color w:val="000000"/>
          <w:sz w:val="18"/>
        </w:rPr>
        <w:t>was driven by an increase in subscription revenue. Subscription revenue was 65% and 64% of total revenue for the years ended December 31, 2025 and 2024, respectively, and transaction revenue was 35% and 36% of total revenue for the years ended December 31, 2025 and 2024, respectively.</w:t>
      </w:r>
    </w:p>
    <w:p>
      <w:pPr>
        <w:pStyle w:val="TextBody"/>
        <w:bidi w:val="0"/>
        <w:spacing w:lineRule="auto" w:line="288" w:before="120" w:after="120"/>
        <w:ind w:left="0" w:right="0" w:firstLine="450"/>
        <w:jc w:val="left"/>
        <w:rPr/>
      </w:pPr>
      <w:r>
        <w:rPr>
          <w:rFonts w:ascii="Work Sans;sans-serif" w:hAnsi="Work Sans;sans-serif"/>
          <w:b w:val="false"/>
          <w:color w:val="000000"/>
          <w:sz w:val="18"/>
          <w:shd w:fill="FFFFFF" w:val="clear"/>
        </w:rPr>
        <w:t xml:space="preserve">Transaction revenue increased </w:t>
      </w:r>
      <w:r>
        <w:rPr>
          <w:rFonts w:ascii="Work Sans;sans-serif" w:hAnsi="Work Sans;sans-serif"/>
          <w:b w:val="false"/>
          <w:color w:val="000000"/>
          <w:sz w:val="18"/>
        </w:rPr>
        <w:t>7%</w:t>
      </w:r>
      <w:r>
        <w:rPr>
          <w:color w:val="000000"/>
          <w:shd w:fill="FFFFFF" w:val="clear"/>
        </w:rPr>
        <w:t xml:space="preserve"> </w:t>
      </w:r>
      <w:r>
        <w:rPr>
          <w:rFonts w:ascii="Work Sans;sans-serif" w:hAnsi="Work Sans;sans-serif"/>
          <w:b w:val="false"/>
          <w:color w:val="000000"/>
          <w:sz w:val="18"/>
          <w:shd w:fill="FFFFFF" w:val="clear"/>
        </w:rPr>
        <w:t>year-over-year for the year ended December 31, 2025 primarily due to approximately $33.2 million in revenue from transactions derived from our acquisition of Formation Nation in February 2025 and an increase in revenue from annual report filing fees and trademark filings, partially offset by a decline in beneficial ownership information report revenue due to the FinCEN ruling on March 21, 2025 that eliminated this filing requirement for U.S. companies.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Subscription revenue increased 13% year-over-year for the year ended December 31, 2025 primarily due to approximately $18.2 million in revenue from subscriptions derived from our acquisition of Formation Nation in February 2025, as well as an 11% increase in revenue from compliance-related subscriptions, an increase in revenue from our virtual mail offering and revenue earned from the 1-800 Accountant partnership entered into in December 2024. Subscription revenue growth was partially offset by our prior discontinuation of new customer acquisition for our tax offering.</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Cost of revenue</w:t>
      </w:r>
    </w:p>
    <w:tbl>
      <w:tblPr>
        <w:tblW w:w="7375" w:type="dxa"/>
        <w:jc w:val="left"/>
        <w:tblInd w:w="0" w:type="dxa"/>
        <w:tblLayout w:type="fixed"/>
        <w:tblCellMar>
          <w:top w:w="28" w:type="dxa"/>
          <w:left w:w="28" w:type="dxa"/>
          <w:bottom w:w="28" w:type="dxa"/>
          <w:right w:w="28" w:type="dxa"/>
        </w:tblCellMar>
      </w:tblPr>
      <w:tblGrid>
        <w:gridCol w:w="554"/>
        <w:gridCol w:w="486"/>
        <w:gridCol w:w="490"/>
        <w:gridCol w:w="226"/>
        <w:gridCol w:w="946"/>
        <w:gridCol w:w="109"/>
        <w:gridCol w:w="109"/>
        <w:gridCol w:w="109"/>
        <w:gridCol w:w="109"/>
        <w:gridCol w:w="226"/>
        <w:gridCol w:w="946"/>
        <w:gridCol w:w="109"/>
        <w:gridCol w:w="109"/>
        <w:gridCol w:w="109"/>
        <w:gridCol w:w="109"/>
        <w:gridCol w:w="226"/>
        <w:gridCol w:w="826"/>
        <w:gridCol w:w="109"/>
        <w:gridCol w:w="109"/>
        <w:gridCol w:w="109"/>
        <w:gridCol w:w="109"/>
        <w:gridCol w:w="232"/>
        <w:gridCol w:w="232"/>
        <w:gridCol w:w="677"/>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257,960 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240,093 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17,867 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pPr>
      <w:r>
        <w:rPr>
          <w:rFonts w:ascii="Work Sans;sans-serif" w:hAnsi="Work Sans;sans-serif"/>
          <w:b w:val="false"/>
          <w:color w:val="000000"/>
          <w:sz w:val="18"/>
          <w:shd w:fill="FFFFFF" w:val="clear"/>
        </w:rPr>
        <w:t>Cost of revenue for the year ended December 31, 2025 increased by $17.9 million mainly due to a $15.0 million increase in filing fees primarily due to our acquisition of Formation Nation and annual report filings, a $3.7 million increase in third-party fees for customer fulfillment services, a $3.1 million increase in other cost of service primarily related to acquisition of Formation Nation, a $1.8 million increase i</w:t>
      </w:r>
      <w:r>
        <w:rPr>
          <w:rFonts w:ascii="Work Sans;sans-serif" w:hAnsi="Work Sans;sans-serif"/>
          <w:b w:val="false"/>
          <w:color w:val="000000"/>
          <w:sz w:val="18"/>
        </w:rPr>
        <w:t xml:space="preserve">n depreciation and amortization expense, and a </w:t>
      </w:r>
      <w:r>
        <w:rPr>
          <w:rFonts w:ascii="Work Sans;sans-serif" w:hAnsi="Work Sans;sans-serif"/>
          <w:b w:val="false"/>
          <w:color w:val="000000"/>
          <w:sz w:val="18"/>
          <w:shd w:fill="FFFFFF" w:val="clear"/>
        </w:rPr>
        <w:t>$1.1 million increase in credit card fees</w:t>
      </w:r>
      <w:r>
        <w:rPr>
          <w:rFonts w:ascii="Work Sans;sans-serif" w:hAnsi="Work Sans;sans-serif"/>
          <w:b w:val="false"/>
          <w:color w:val="000000"/>
          <w:sz w:val="18"/>
        </w:rPr>
        <w:t xml:space="preserve">. These increases were partially offset by a </w:t>
      </w:r>
      <w:r>
        <w:rPr>
          <w:rFonts w:ascii="Work Sans;sans-serif" w:hAnsi="Work Sans;sans-serif"/>
          <w:b w:val="false"/>
          <w:color w:val="000000"/>
          <w:sz w:val="18"/>
          <w:shd w:fill="FFFFFF" w:val="clear"/>
        </w:rPr>
        <w:t>$6.8 million decrease in payroll and related benefits due to a decrease in average headcount.</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3350"/>
                <wp:effectExtent l="0" t="0" r="0" b="0"/>
                <wp:wrapNone/>
                <wp:docPr id="48" name="Frame4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Gross profit</w:t>
      </w:r>
    </w:p>
    <w:tbl>
      <w:tblPr>
        <w:tblW w:w="7014" w:type="dxa"/>
        <w:jc w:val="left"/>
        <w:tblInd w:w="0" w:type="dxa"/>
        <w:tblLayout w:type="fixed"/>
        <w:tblCellMar>
          <w:top w:w="28" w:type="dxa"/>
          <w:left w:w="28" w:type="dxa"/>
          <w:bottom w:w="28" w:type="dxa"/>
          <w:right w:w="28" w:type="dxa"/>
        </w:tblCellMar>
      </w:tblPr>
      <w:tblGrid>
        <w:gridCol w:w="423"/>
        <w:gridCol w:w="372"/>
        <w:gridCol w:w="374"/>
        <w:gridCol w:w="226"/>
        <w:gridCol w:w="946"/>
        <w:gridCol w:w="109"/>
        <w:gridCol w:w="109"/>
        <w:gridCol w:w="109"/>
        <w:gridCol w:w="109"/>
        <w:gridCol w:w="226"/>
        <w:gridCol w:w="946"/>
        <w:gridCol w:w="109"/>
        <w:gridCol w:w="109"/>
        <w:gridCol w:w="109"/>
        <w:gridCol w:w="109"/>
        <w:gridCol w:w="226"/>
        <w:gridCol w:w="826"/>
        <w:gridCol w:w="109"/>
        <w:gridCol w:w="109"/>
        <w:gridCol w:w="109"/>
        <w:gridCol w:w="109"/>
        <w:gridCol w:w="232"/>
        <w:gridCol w:w="232"/>
        <w:gridCol w:w="677"/>
      </w:tblGrid>
      <w:tr>
        <w:trP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Gross profit</w:t>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498,083 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441,788 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56,295 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shd w:fill="FFFFFF" w:val="clear"/>
        </w:rPr>
      </w:pPr>
      <w:r>
        <w:rPr>
          <w:rFonts w:ascii="Work Sans;sans-serif" w:hAnsi="Work Sans;sans-serif"/>
          <w:b w:val="false"/>
          <w:color w:val="000000"/>
          <w:sz w:val="18"/>
          <w:shd w:fill="FFFFFF" w:val="clear"/>
        </w:rPr>
        <w:t>The increase in gross profit was driven by a $74.2 million increase in revenue partially offset by a $17.9 million increase in cost of revenue.</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Sales and marketing</w:t>
      </w:r>
    </w:p>
    <w:tbl>
      <w:tblPr>
        <w:tblW w:w="7825" w:type="dxa"/>
        <w:jc w:val="left"/>
        <w:tblInd w:w="0" w:type="dxa"/>
        <w:tblLayout w:type="fixed"/>
        <w:tblCellMar>
          <w:top w:w="28" w:type="dxa"/>
          <w:left w:w="28" w:type="dxa"/>
          <w:bottom w:w="28" w:type="dxa"/>
          <w:right w:w="28" w:type="dxa"/>
        </w:tblCellMar>
      </w:tblPr>
      <w:tblGrid>
        <w:gridCol w:w="718"/>
        <w:gridCol w:w="629"/>
        <w:gridCol w:w="633"/>
        <w:gridCol w:w="226"/>
        <w:gridCol w:w="946"/>
        <w:gridCol w:w="109"/>
        <w:gridCol w:w="109"/>
        <w:gridCol w:w="109"/>
        <w:gridCol w:w="109"/>
        <w:gridCol w:w="226"/>
        <w:gridCol w:w="946"/>
        <w:gridCol w:w="109"/>
        <w:gridCol w:w="109"/>
        <w:gridCol w:w="109"/>
        <w:gridCol w:w="109"/>
        <w:gridCol w:w="226"/>
        <w:gridCol w:w="826"/>
        <w:gridCol w:w="109"/>
        <w:gridCol w:w="109"/>
        <w:gridCol w:w="109"/>
        <w:gridCol w:w="109"/>
        <w:gridCol w:w="232"/>
        <w:gridCol w:w="232"/>
        <w:gridCol w:w="677"/>
      </w:tblGrid>
      <w:tr>
        <w:trPr/>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261,745 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207,684 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54,061 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pPr>
      <w:r>
        <w:rPr>
          <w:rFonts w:ascii="Work Sans;sans-serif" w:hAnsi="Work Sans;sans-serif"/>
          <w:b w:val="false"/>
          <w:color w:val="000000"/>
          <w:sz w:val="18"/>
          <w:shd w:fill="FFFFFF" w:val="clear"/>
        </w:rPr>
        <w:t xml:space="preserve">Sales and marketing expenses for the year ended December 31, 2025 increased by </w:t>
      </w:r>
      <w:r>
        <w:rPr>
          <w:rFonts w:ascii="Work Sans;sans-serif" w:hAnsi="Work Sans;sans-serif"/>
          <w:b w:val="false"/>
          <w:color w:val="000000"/>
          <w:sz w:val="18"/>
        </w:rPr>
        <w:t>$54.1 million</w:t>
      </w:r>
      <w:r>
        <w:rPr>
          <w:color w:val="000000"/>
          <w:shd w:fill="FFFFFF" w:val="clear"/>
        </w:rPr>
        <w:t xml:space="preserve"> </w:t>
      </w:r>
      <w:r>
        <w:rPr>
          <w:rFonts w:ascii="Work Sans;sans-serif" w:hAnsi="Work Sans;sans-serif"/>
          <w:b w:val="false"/>
          <w:color w:val="000000"/>
          <w:sz w:val="18"/>
          <w:shd w:fill="FFFFFF" w:val="clear"/>
        </w:rPr>
        <w:t xml:space="preserve">largely due to a $20.0 million increase in payroll and related benefits resulting from an increase in average sales and marketing headcount primarily related to our Formation Nation acquisition, an $18.0 million increase in customer acquisition marketing spend, an $8.7 million increase in stock-based compensation expense, and a $5.5 million increase in depreciation and amortization expense primarily due to the amortization of intangible assets. Customer acquisition marketing spend was $175.6 million and $157.6 million for the year ended December 31, 2025 and </w:t>
      </w:r>
      <w:r>
        <w:rPr>
          <w:rFonts w:ascii="Work Sans;sans-serif" w:hAnsi="Work Sans;sans-serif"/>
          <w:b w:val="false"/>
          <w:color w:val="000000"/>
          <w:sz w:val="18"/>
        </w:rPr>
        <w:t>2024</w:t>
      </w:r>
      <w:r>
        <w:rPr>
          <w:rFonts w:ascii="Work Sans;sans-serif" w:hAnsi="Work Sans;sans-serif"/>
          <w:b w:val="false"/>
          <w:color w:val="000000"/>
          <w:sz w:val="18"/>
          <w:shd w:fill="FFFFFF" w:val="clear"/>
        </w:rPr>
        <w:t xml:space="preserve">, respectively, primarily due to lower performance marketing spend during the year ended </w:t>
      </w:r>
      <w:r>
        <w:rPr>
          <w:rFonts w:ascii="Work Sans;sans-serif" w:hAnsi="Work Sans;sans-serif"/>
          <w:b w:val="false"/>
          <w:color w:val="000000"/>
          <w:sz w:val="18"/>
        </w:rPr>
        <w:t>December 31, 2024</w:t>
      </w:r>
      <w:r>
        <w:rPr>
          <w:rFonts w:ascii="Work Sans;sans-serif" w:hAnsi="Work Sans;sans-serif"/>
          <w:b w:val="false"/>
          <w:color w:val="000000"/>
          <w:sz w:val="18"/>
          <w:shd w:fill="FFFFFF" w:val="clear"/>
        </w:rPr>
        <w:t>.</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Technology and development</w:t>
      </w:r>
    </w:p>
    <w:tbl>
      <w:tblPr>
        <w:tblW w:w="8470" w:type="dxa"/>
        <w:jc w:val="left"/>
        <w:tblInd w:w="0" w:type="dxa"/>
        <w:tblLayout w:type="fixed"/>
        <w:tblCellMar>
          <w:top w:w="28" w:type="dxa"/>
          <w:left w:w="28" w:type="dxa"/>
          <w:bottom w:w="28" w:type="dxa"/>
          <w:right w:w="28" w:type="dxa"/>
        </w:tblCellMar>
      </w:tblPr>
      <w:tblGrid>
        <w:gridCol w:w="1016"/>
        <w:gridCol w:w="893"/>
        <w:gridCol w:w="895"/>
        <w:gridCol w:w="234"/>
        <w:gridCol w:w="856"/>
        <w:gridCol w:w="112"/>
        <w:gridCol w:w="112"/>
        <w:gridCol w:w="112"/>
        <w:gridCol w:w="112"/>
        <w:gridCol w:w="234"/>
        <w:gridCol w:w="856"/>
        <w:gridCol w:w="112"/>
        <w:gridCol w:w="109"/>
        <w:gridCol w:w="109"/>
        <w:gridCol w:w="109"/>
        <w:gridCol w:w="226"/>
        <w:gridCol w:w="796"/>
        <w:gridCol w:w="109"/>
        <w:gridCol w:w="109"/>
        <w:gridCol w:w="109"/>
        <w:gridCol w:w="109"/>
        <w:gridCol w:w="232"/>
        <w:gridCol w:w="232"/>
        <w:gridCol w:w="677"/>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2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81,941 </w:t>
            </w:r>
          </w:p>
        </w:tc>
        <w:tc>
          <w:tcPr>
            <w:tcW w:w="11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89,584 </w:t>
            </w:r>
          </w:p>
        </w:tc>
        <w:tc>
          <w:tcPr>
            <w:tcW w:w="11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(7,643)</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pPr>
      <w:r>
        <w:rPr>
          <w:rFonts w:ascii="Work Sans;sans-serif" w:hAnsi="Work Sans;sans-serif"/>
          <w:b w:val="false"/>
          <w:color w:val="000000"/>
          <w:sz w:val="18"/>
        </w:rPr>
        <w:t xml:space="preserve">Technology and development expenses for the year ended December 31, 2025 decreased primarily due to a decrease in payroll and related benefits largely due to a decrease in average technology and development headcount including a </w:t>
      </w:r>
      <w:r>
        <w:rPr>
          <w:rFonts w:ascii="Work Sans;sans-serif" w:hAnsi="Work Sans;sans-serif"/>
          <w:b w:val="false"/>
          <w:color w:val="000000"/>
          <w:sz w:val="18"/>
          <w:shd w:fill="FFFFFF" w:val="clear"/>
        </w:rPr>
        <w:t>$4.5 million</w:t>
      </w:r>
      <w:r>
        <w:rPr>
          <w:color w:val="000000"/>
        </w:rPr>
        <w:t xml:space="preserve"> </w:t>
      </w:r>
      <w:r>
        <w:rPr>
          <w:rFonts w:ascii="Work Sans;sans-serif" w:hAnsi="Work Sans;sans-serif"/>
          <w:b w:val="false"/>
          <w:color w:val="000000"/>
          <w:sz w:val="18"/>
        </w:rPr>
        <w:t xml:space="preserve">decrease in stock-based compensation expense during </w:t>
      </w:r>
      <w:r>
        <w:rPr>
          <w:rFonts w:ascii="Work Sans;sans-serif" w:hAnsi="Work Sans;sans-serif"/>
          <w:b w:val="false"/>
          <w:color w:val="000000"/>
          <w:sz w:val="18"/>
          <w:shd w:fill="FFFFFF" w:val="clear"/>
        </w:rPr>
        <w:t>the year ended December 31, 2025</w:t>
      </w:r>
      <w:r>
        <w:rPr>
          <w:rFonts w:ascii="Work Sans;sans-serif" w:hAnsi="Work Sans;sans-serif"/>
          <w:b w:val="false"/>
          <w:color w:val="000000"/>
          <w:sz w:val="18"/>
        </w:rPr>
        <w:t>.</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General and administrative</w:t>
      </w:r>
    </w:p>
    <w:tbl>
      <w:tblPr>
        <w:tblW w:w="8410" w:type="dxa"/>
        <w:jc w:val="left"/>
        <w:tblInd w:w="0" w:type="dxa"/>
        <w:tblLayout w:type="fixed"/>
        <w:tblCellMar>
          <w:top w:w="28" w:type="dxa"/>
          <w:left w:w="28" w:type="dxa"/>
          <w:bottom w:w="28" w:type="dxa"/>
          <w:right w:w="28" w:type="dxa"/>
        </w:tblCellMar>
      </w:tblPr>
      <w:tblGrid>
        <w:gridCol w:w="929"/>
        <w:gridCol w:w="816"/>
        <w:gridCol w:w="820"/>
        <w:gridCol w:w="226"/>
        <w:gridCol w:w="946"/>
        <w:gridCol w:w="109"/>
        <w:gridCol w:w="109"/>
        <w:gridCol w:w="109"/>
        <w:gridCol w:w="109"/>
        <w:gridCol w:w="226"/>
        <w:gridCol w:w="946"/>
        <w:gridCol w:w="109"/>
        <w:gridCol w:w="109"/>
        <w:gridCol w:w="109"/>
        <w:gridCol w:w="109"/>
        <w:gridCol w:w="226"/>
        <w:gridCol w:w="826"/>
        <w:gridCol w:w="109"/>
        <w:gridCol w:w="109"/>
        <w:gridCol w:w="109"/>
        <w:gridCol w:w="109"/>
        <w:gridCol w:w="232"/>
        <w:gridCol w:w="232"/>
        <w:gridCol w:w="677"/>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143,758 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108,939 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34,819 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pPr>
      <w:r>
        <w:rPr>
          <w:rFonts w:ascii="Work Sans;sans-serif" w:hAnsi="Work Sans;sans-serif"/>
          <w:b w:val="false"/>
          <w:color w:val="000000"/>
          <w:sz w:val="18"/>
          <w:shd w:fill="FFFFFF" w:val="clear"/>
        </w:rPr>
        <w:t xml:space="preserve">General and administrative expenses for the year ended December 31, 2025 increased by </w:t>
      </w:r>
      <w:r>
        <w:rPr>
          <w:rFonts w:ascii="Work Sans;sans-serif" w:hAnsi="Work Sans;sans-serif"/>
          <w:b w:val="false"/>
          <w:color w:val="000000"/>
          <w:sz w:val="18"/>
        </w:rPr>
        <w:t xml:space="preserve">$34.8 million </w:t>
      </w:r>
      <w:r>
        <w:rPr>
          <w:rFonts w:ascii="Work Sans;sans-serif" w:hAnsi="Work Sans;sans-serif"/>
          <w:b w:val="false"/>
          <w:color w:val="000000"/>
          <w:sz w:val="18"/>
          <w:shd w:fill="FFFFFF" w:val="clear"/>
        </w:rPr>
        <w:t xml:space="preserve">primarily due to an increase of </w:t>
      </w:r>
      <w:r>
        <w:rPr>
          <w:rFonts w:ascii="Work Sans;sans-serif" w:hAnsi="Work Sans;sans-serif"/>
          <w:b w:val="false"/>
          <w:color w:val="000000"/>
          <w:sz w:val="18"/>
        </w:rPr>
        <w:t>$38.2 million</w:t>
      </w:r>
      <w:r>
        <w:rPr>
          <w:color w:val="000000"/>
          <w:shd w:fill="FFFFFF" w:val="clear"/>
        </w:rPr>
        <w:t xml:space="preserve"> </w:t>
      </w:r>
      <w:r>
        <w:rPr>
          <w:rFonts w:ascii="Work Sans;sans-serif" w:hAnsi="Work Sans;sans-serif"/>
          <w:b w:val="false"/>
          <w:color w:val="000000"/>
          <w:sz w:val="18"/>
          <w:shd w:fill="FFFFFF" w:val="clear"/>
        </w:rPr>
        <w:t xml:space="preserve">in stock-based compensation expense due to time-based RSUs as well as PSUs granted to eligible employees and members of our senior leadership team in 2024. These increases were partially offset by a </w:t>
      </w:r>
      <w:r>
        <w:rPr>
          <w:rFonts w:ascii="Work Sans;sans-serif" w:hAnsi="Work Sans;sans-serif"/>
          <w:b w:val="false"/>
          <w:color w:val="000000"/>
          <w:sz w:val="18"/>
        </w:rPr>
        <w:t xml:space="preserve">$5.2 million </w:t>
      </w:r>
      <w:r>
        <w:rPr>
          <w:rFonts w:ascii="Work Sans;sans-serif" w:hAnsi="Work Sans;sans-serif"/>
          <w:b w:val="false"/>
          <w:color w:val="000000"/>
          <w:sz w:val="18"/>
          <w:shd w:fill="FFFFFF" w:val="clear"/>
        </w:rPr>
        <w:t>decrease in restructuring costs compared to the year ended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33350"/>
                <wp:effectExtent l="0" t="0" r="0" b="0"/>
                <wp:wrapNone/>
                <wp:docPr id="49" name="Frame4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Gain on sale of assets held for sale</w:t>
      </w:r>
    </w:p>
    <w:tbl>
      <w:tblPr>
        <w:tblW w:w="8999" w:type="dxa"/>
        <w:jc w:val="left"/>
        <w:tblInd w:w="0" w:type="dxa"/>
        <w:tblLayout w:type="fixed"/>
        <w:tblCellMar>
          <w:top w:w="28" w:type="dxa"/>
          <w:left w:w="28" w:type="dxa"/>
          <w:bottom w:w="28" w:type="dxa"/>
          <w:right w:w="28" w:type="dxa"/>
        </w:tblCellMar>
      </w:tblPr>
      <w:tblGrid>
        <w:gridCol w:w="1163"/>
        <w:gridCol w:w="1021"/>
        <w:gridCol w:w="1026"/>
        <w:gridCol w:w="267"/>
        <w:gridCol w:w="1084"/>
        <w:gridCol w:w="129"/>
        <w:gridCol w:w="129"/>
        <w:gridCol w:w="129"/>
        <w:gridCol w:w="129"/>
        <w:gridCol w:w="267"/>
        <w:gridCol w:w="480"/>
        <w:gridCol w:w="129"/>
        <w:gridCol w:w="109"/>
        <w:gridCol w:w="109"/>
        <w:gridCol w:w="109"/>
        <w:gridCol w:w="226"/>
        <w:gridCol w:w="916"/>
        <w:gridCol w:w="109"/>
        <w:gridCol w:w="109"/>
        <w:gridCol w:w="109"/>
        <w:gridCol w:w="109"/>
        <w:gridCol w:w="334"/>
        <w:gridCol w:w="334"/>
        <w:gridCol w:w="473"/>
      </w:tblGrid>
      <w:tr>
        <w:trPr/>
        <w:tc>
          <w:tcPr>
            <w:tcW w:w="116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Gain on sale of assets held for sale</w:t>
            </w:r>
          </w:p>
        </w:tc>
        <w:tc>
          <w:tcPr>
            <w:tcW w:w="26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8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(14,337)</w:t>
            </w:r>
          </w:p>
        </w:tc>
        <w:tc>
          <w:tcPr>
            <w:tcW w:w="12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8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(14,337)</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N/A</w:t>
            </w:r>
          </w:p>
        </w:tc>
      </w:tr>
    </w:tbl>
    <w:p>
      <w:pPr>
        <w:pStyle w:val="TextBody"/>
        <w:bidi w:val="0"/>
        <w:spacing w:lineRule="auto" w:line="288" w:before="240" w:after="120"/>
        <w:ind w:left="0" w:right="0" w:firstLine="450"/>
        <w:jc w:val="left"/>
        <w:rPr/>
      </w:pPr>
      <w:r>
        <w:rPr>
          <w:rFonts w:ascii="Work Sans;sans-serif" w:hAnsi="Work Sans;sans-serif"/>
          <w:b w:val="false"/>
          <w:color w:val="000000"/>
          <w:sz w:val="18"/>
        </w:rPr>
        <w:t xml:space="preserve">Gain on sale of assets held for sale </w:t>
      </w:r>
      <w:r>
        <w:rPr>
          <w:rFonts w:ascii="Work Sans;sans-serif" w:hAnsi="Work Sans;sans-serif"/>
          <w:b w:val="false"/>
          <w:color w:val="000000"/>
          <w:sz w:val="18"/>
          <w:shd w:fill="FFFFFF" w:val="clear"/>
        </w:rPr>
        <w:t>for the year ended December 31, 2025</w:t>
      </w:r>
      <w:r>
        <w:rPr>
          <w:color w:val="000000"/>
        </w:rPr>
        <w:t xml:space="preserve"> </w:t>
      </w:r>
      <w:r>
        <w:rPr>
          <w:rFonts w:ascii="Work Sans;sans-serif" w:hAnsi="Work Sans;sans-serif"/>
          <w:b w:val="false"/>
          <w:color w:val="000000"/>
          <w:sz w:val="18"/>
        </w:rPr>
        <w:t xml:space="preserve">was </w:t>
      </w:r>
      <w:r>
        <w:rPr>
          <w:rFonts w:ascii="Work Sans;sans-serif" w:hAnsi="Work Sans;sans-serif"/>
          <w:b w:val="false"/>
          <w:color w:val="000000"/>
          <w:sz w:val="18"/>
          <w:shd w:fill="FFFFFF" w:val="clear"/>
        </w:rPr>
        <w:t>$14.3 million</w:t>
      </w:r>
      <w:r>
        <w:rPr>
          <w:color w:val="000000"/>
        </w:rPr>
        <w:t xml:space="preserve"> </w:t>
      </w:r>
      <w:r>
        <w:rPr>
          <w:rFonts w:ascii="Work Sans;sans-serif" w:hAnsi="Work Sans;sans-serif"/>
          <w:b w:val="false"/>
          <w:color w:val="000000"/>
          <w:sz w:val="18"/>
        </w:rPr>
        <w:t>due to the sale of our operational headquarters on March 31, 2025.</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Interest expense</w:t>
      </w:r>
    </w:p>
    <w:tbl>
      <w:tblPr>
        <w:tblW w:w="7211" w:type="dxa"/>
        <w:jc w:val="left"/>
        <w:tblInd w:w="0" w:type="dxa"/>
        <w:tblLayout w:type="fixed"/>
        <w:tblCellMar>
          <w:top w:w="28" w:type="dxa"/>
          <w:left w:w="28" w:type="dxa"/>
          <w:bottom w:w="28" w:type="dxa"/>
          <w:right w:w="28" w:type="dxa"/>
        </w:tblCellMar>
      </w:tblPr>
      <w:tblGrid>
        <w:gridCol w:w="591"/>
        <w:gridCol w:w="520"/>
        <w:gridCol w:w="524"/>
        <w:gridCol w:w="278"/>
        <w:gridCol w:w="869"/>
        <w:gridCol w:w="134"/>
        <w:gridCol w:w="134"/>
        <w:gridCol w:w="134"/>
        <w:gridCol w:w="134"/>
        <w:gridCol w:w="278"/>
        <w:gridCol w:w="648"/>
        <w:gridCol w:w="134"/>
        <w:gridCol w:w="109"/>
        <w:gridCol w:w="109"/>
        <w:gridCol w:w="109"/>
        <w:gridCol w:w="271"/>
        <w:gridCol w:w="632"/>
        <w:gridCol w:w="133"/>
        <w:gridCol w:w="109"/>
        <w:gridCol w:w="109"/>
        <w:gridCol w:w="109"/>
        <w:gridCol w:w="233"/>
        <w:gridCol w:w="233"/>
        <w:gridCol w:w="67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7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Interest expense</w:t>
            </w:r>
          </w:p>
        </w:tc>
        <w:tc>
          <w:tcPr>
            <w:tcW w:w="27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6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1,294 </w:t>
            </w:r>
          </w:p>
        </w:tc>
        <w:tc>
          <w:tcPr>
            <w:tcW w:w="1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4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446 </w:t>
            </w:r>
          </w:p>
        </w:tc>
        <w:tc>
          <w:tcPr>
            <w:tcW w:w="1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3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848 </w:t>
            </w:r>
          </w:p>
        </w:tc>
        <w:tc>
          <w:tcPr>
            <w:tcW w:w="13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190</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Interest expense consists primarily of amortization of debt issuance costs related to our Amended Revolving Facility as well as interest incurred on the deferred cash consideration associated with the acquisition of Formation Nation.</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Interest income</w:t>
      </w:r>
    </w:p>
    <w:tbl>
      <w:tblPr>
        <w:tblW w:w="7118" w:type="dxa"/>
        <w:jc w:val="left"/>
        <w:tblInd w:w="0" w:type="dxa"/>
        <w:tblLayout w:type="fixed"/>
        <w:tblCellMar>
          <w:top w:w="28" w:type="dxa"/>
          <w:left w:w="28" w:type="dxa"/>
          <w:bottom w:w="28" w:type="dxa"/>
          <w:right w:w="28" w:type="dxa"/>
        </w:tblCellMar>
      </w:tblPr>
      <w:tblGrid>
        <w:gridCol w:w="559"/>
        <w:gridCol w:w="492"/>
        <w:gridCol w:w="494"/>
        <w:gridCol w:w="257"/>
        <w:gridCol w:w="804"/>
        <w:gridCol w:w="124"/>
        <w:gridCol w:w="124"/>
        <w:gridCol w:w="124"/>
        <w:gridCol w:w="124"/>
        <w:gridCol w:w="257"/>
        <w:gridCol w:w="804"/>
        <w:gridCol w:w="124"/>
        <w:gridCol w:w="109"/>
        <w:gridCol w:w="109"/>
        <w:gridCol w:w="109"/>
        <w:gridCol w:w="267"/>
        <w:gridCol w:w="639"/>
        <w:gridCol w:w="130"/>
        <w:gridCol w:w="109"/>
        <w:gridCol w:w="109"/>
        <w:gridCol w:w="109"/>
        <w:gridCol w:w="232"/>
        <w:gridCol w:w="232"/>
        <w:gridCol w:w="677"/>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7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Interest income</w:t>
            </w:r>
          </w:p>
        </w:tc>
        <w:tc>
          <w:tcPr>
            <w:tcW w:w="25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7,569 </w:t>
            </w:r>
          </w:p>
        </w:tc>
        <w:tc>
          <w:tcPr>
            <w:tcW w:w="12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7,850 </w:t>
            </w:r>
          </w:p>
        </w:tc>
        <w:tc>
          <w:tcPr>
            <w:tcW w:w="12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3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(281)</w:t>
            </w:r>
          </w:p>
        </w:tc>
        <w:tc>
          <w:tcPr>
            <w:tcW w:w="13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pPr>
      <w:r>
        <w:rPr>
          <w:rFonts w:ascii="Work Sans;sans-serif" w:hAnsi="Work Sans;sans-serif"/>
          <w:b w:val="false"/>
          <w:color w:val="000000"/>
          <w:sz w:val="18"/>
        </w:rPr>
        <w:t xml:space="preserve">The change in interest income was primarily due to interest income generated from our money market investments </w:t>
      </w:r>
      <w:r>
        <w:rPr>
          <w:rFonts w:ascii="Work Sans;sans-serif" w:hAnsi="Work Sans;sans-serif"/>
          <w:b w:val="false"/>
          <w:color w:val="000000"/>
          <w:sz w:val="18"/>
          <w:shd w:fill="FFFFFF" w:val="clear"/>
        </w:rPr>
        <w:t>for the year ended December 31, 2025</w:t>
      </w:r>
      <w:r>
        <w:rPr>
          <w:rFonts w:ascii="Work Sans;sans-serif" w:hAnsi="Work Sans;sans-serif"/>
          <w:b w:val="false"/>
          <w:color w:val="000000"/>
          <w:sz w:val="18"/>
        </w:rPr>
        <w:t>.</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Other income, net</w:t>
      </w:r>
    </w:p>
    <w:tbl>
      <w:tblPr>
        <w:tblW w:w="7468" w:type="dxa"/>
        <w:jc w:val="left"/>
        <w:tblInd w:w="0" w:type="dxa"/>
        <w:tblLayout w:type="fixed"/>
        <w:tblCellMar>
          <w:top w:w="28" w:type="dxa"/>
          <w:left w:w="28" w:type="dxa"/>
          <w:bottom w:w="28" w:type="dxa"/>
          <w:right w:w="28" w:type="dxa"/>
        </w:tblCellMar>
      </w:tblPr>
      <w:tblGrid>
        <w:gridCol w:w="640"/>
        <w:gridCol w:w="564"/>
        <w:gridCol w:w="566"/>
        <w:gridCol w:w="294"/>
        <w:gridCol w:w="919"/>
        <w:gridCol w:w="141"/>
        <w:gridCol w:w="141"/>
        <w:gridCol w:w="141"/>
        <w:gridCol w:w="141"/>
        <w:gridCol w:w="294"/>
        <w:gridCol w:w="528"/>
        <w:gridCol w:w="141"/>
        <w:gridCol w:w="109"/>
        <w:gridCol w:w="109"/>
        <w:gridCol w:w="109"/>
        <w:gridCol w:w="226"/>
        <w:gridCol w:w="706"/>
        <w:gridCol w:w="109"/>
        <w:gridCol w:w="109"/>
        <w:gridCol w:w="109"/>
        <w:gridCol w:w="109"/>
        <w:gridCol w:w="293"/>
        <w:gridCol w:w="293"/>
        <w:gridCol w:w="677"/>
      </w:tblGrid>
      <w:tr>
        <w:trPr/>
        <w:tc>
          <w:tcPr>
            <w:tcW w:w="6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9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Other income, net</w:t>
            </w:r>
          </w:p>
        </w:tc>
        <w:tc>
          <w:tcPr>
            <w:tcW w:w="29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1,187 </w:t>
            </w:r>
          </w:p>
        </w:tc>
        <w:tc>
          <w:tcPr>
            <w:tcW w:w="1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52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98 </w:t>
            </w:r>
          </w:p>
        </w:tc>
        <w:tc>
          <w:tcPr>
            <w:tcW w:w="1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1,089 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1111</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pPr>
      <w:r>
        <w:rPr>
          <w:rFonts w:ascii="Work Sans;sans-serif" w:hAnsi="Work Sans;sans-serif"/>
          <w:b w:val="false"/>
          <w:color w:val="000000"/>
          <w:sz w:val="18"/>
        </w:rPr>
        <w:t>The change in other income, net, between 2025 and 2024 was primarily due to change in fair value of other equity security of</w:t>
      </w:r>
      <w:r>
        <w:rPr>
          <w:color w:val="000000"/>
          <w:shd w:fill="FFFFFF" w:val="clear"/>
        </w:rPr>
        <w:t xml:space="preserve"> </w:t>
      </w:r>
      <w:r>
        <w:rPr>
          <w:rFonts w:ascii="Work Sans;sans-serif" w:hAnsi="Work Sans;sans-serif"/>
          <w:b w:val="false"/>
          <w:color w:val="000000"/>
          <w:sz w:val="18"/>
          <w:shd w:fill="FFFFFF" w:val="clear"/>
        </w:rPr>
        <w:t>$0.3 million</w:t>
      </w:r>
      <w:r>
        <w:rPr>
          <w:color w:val="000000"/>
        </w:rPr>
        <w:t xml:space="preserve"> </w:t>
      </w:r>
      <w:r>
        <w:rPr>
          <w:rFonts w:ascii="Work Sans;sans-serif" w:hAnsi="Work Sans;sans-serif"/>
          <w:b w:val="false"/>
          <w:color w:val="000000"/>
          <w:sz w:val="18"/>
        </w:rPr>
        <w:t xml:space="preserve">and gain on sale of available-for-sale debt security of </w:t>
      </w:r>
      <w:r>
        <w:rPr>
          <w:rFonts w:ascii="Work Sans;sans-serif" w:hAnsi="Work Sans;sans-serif"/>
          <w:b w:val="false"/>
          <w:color w:val="000000"/>
          <w:sz w:val="18"/>
          <w:shd w:fill="FFFFFF" w:val="clear"/>
        </w:rPr>
        <w:t>$0.8 million</w:t>
      </w:r>
      <w:r>
        <w:rPr>
          <w:rFonts w:ascii="Work Sans;sans-serif" w:hAnsi="Work Sans;sans-serif"/>
          <w:b w:val="false"/>
          <w:color w:val="000000"/>
          <w:sz w:val="18"/>
        </w:rPr>
        <w:t>.</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Provision for income taxes</w:t>
      </w:r>
    </w:p>
    <w:tbl>
      <w:tblPr>
        <w:tblW w:w="8283" w:type="dxa"/>
        <w:jc w:val="left"/>
        <w:tblInd w:w="0" w:type="dxa"/>
        <w:tblLayout w:type="fixed"/>
        <w:tblCellMar>
          <w:top w:w="28" w:type="dxa"/>
          <w:left w:w="28" w:type="dxa"/>
          <w:bottom w:w="28" w:type="dxa"/>
          <w:right w:w="28" w:type="dxa"/>
        </w:tblCellMar>
      </w:tblPr>
      <w:tblGrid>
        <w:gridCol w:w="897"/>
        <w:gridCol w:w="786"/>
        <w:gridCol w:w="791"/>
        <w:gridCol w:w="226"/>
        <w:gridCol w:w="826"/>
        <w:gridCol w:w="271"/>
        <w:gridCol w:w="109"/>
        <w:gridCol w:w="109"/>
        <w:gridCol w:w="109"/>
        <w:gridCol w:w="226"/>
        <w:gridCol w:w="826"/>
        <w:gridCol w:w="271"/>
        <w:gridCol w:w="109"/>
        <w:gridCol w:w="109"/>
        <w:gridCol w:w="109"/>
        <w:gridCol w:w="226"/>
        <w:gridCol w:w="706"/>
        <w:gridCol w:w="109"/>
        <w:gridCol w:w="109"/>
        <w:gridCol w:w="109"/>
        <w:gridCol w:w="109"/>
        <w:gridCol w:w="232"/>
        <w:gridCol w:w="232"/>
        <w:gridCol w:w="677"/>
      </w:tblGrid>
      <w:tr>
        <w:trPr/>
        <w:tc>
          <w:tcPr>
            <w:tcW w:w="897"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Provision for income taxes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17,011 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13,120 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Effective tax rate</w:t>
            </w:r>
          </w:p>
        </w:tc>
        <w:tc>
          <w:tcPr>
            <w:tcW w:w="105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52 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There was a $3.9 million increase in the provision for income taxes in 2025 as compared to 2024 primarily due to higher nondeductible tax benefits from stock-based compensation and lower research and development tax credits for the year ended December 31, 2025 compared to the year ended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33350"/>
                <wp:effectExtent l="0" t="0" r="0" b="0"/>
                <wp:wrapNone/>
                <wp:docPr id="50" name="Frame4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Comparison of the Years Ended December 31, 2024 and 2023</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For a discussion related to the results of operations and changes in financial condition for the year ended December 31, 2024 compared to the year ended December 31, 2023, refer to Part II, Item 7, “Management’s Discussion and Analysis of Financial Condition and Results of Operations” in our Annual Report on Form 10-K for the year ended December 31, 2024, which was filed with the SEC on February 26,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Liquidity and Capital Resources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Overview</w:t>
      </w:r>
    </w:p>
    <w:p>
      <w:pPr>
        <w:pStyle w:val="TextBody"/>
        <w:bidi w:val="0"/>
        <w:spacing w:lineRule="auto" w:line="288" w:before="120" w:after="120"/>
        <w:ind w:left="0" w:right="0" w:firstLine="450"/>
        <w:jc w:val="left"/>
        <w:rPr/>
      </w:pPr>
      <w:r>
        <w:rPr>
          <w:rFonts w:ascii="Work Sans;sans-serif" w:hAnsi="Work Sans;sans-serif"/>
          <w:b w:val="false"/>
          <w:color w:val="000000"/>
          <w:sz w:val="18"/>
        </w:rPr>
        <w:t>We fund our operations and capital expenditures from cash flows from operating activities. Our primary requirements for liquidity and capital are to finance working capital, capital expenditures and general co</w:t>
      </w:r>
      <w:r>
        <w:rPr>
          <w:rFonts w:ascii="Work Sans;sans-serif" w:hAnsi="Work Sans;sans-serif"/>
          <w:b w:val="false"/>
          <w:color w:val="000000"/>
          <w:sz w:val="18"/>
          <w:shd w:fill="FFFFFF" w:val="clear"/>
        </w:rPr>
        <w:t>rporate purposes. At December 31, 2025, our principal sources of liquidity were cash and cash equivalents of $203.1 million, which consisted of cash on deposit with banks and money market funds, of which approximately $4.4 million related to our foreign subsidiaries. Our cash and cash equivalents increased by $61.0 million from December 31, 2024 to December 31, 2025, primarily due to cash provided by operating activities, proceeds from stock option exercises primarily by former executive officers in the first quarter of 2025, and proceeds from the sale of a property held for sale, partially offset by repurchases of our common stock, cash paid for the acquisition of Formation Nation, cash paid for s</w:t>
      </w:r>
      <w:r>
        <w:rPr>
          <w:rFonts w:ascii="Work Sans;sans-serif" w:hAnsi="Work Sans;sans-serif"/>
          <w:b w:val="false"/>
          <w:color w:val="000000"/>
          <w:sz w:val="18"/>
        </w:rPr>
        <w:t>hares surrendered for settlement of minimum statutory tax withholding</w:t>
      </w:r>
      <w:r>
        <w:rPr>
          <w:rFonts w:ascii="Work Sans;sans-serif" w:hAnsi="Work Sans;sans-serif"/>
          <w:b w:val="false"/>
          <w:color w:val="000000"/>
          <w:sz w:val="18"/>
          <w:shd w:fill="FFFFFF" w:val="clear"/>
        </w:rPr>
        <w:t>, and purchases of property and equipment.</w:t>
      </w:r>
    </w:p>
    <w:p>
      <w:pPr>
        <w:pStyle w:val="TextBody"/>
        <w:bidi w:val="0"/>
        <w:spacing w:lineRule="auto" w:line="288" w:before="120" w:after="120"/>
        <w:ind w:left="0" w:right="0" w:firstLine="450"/>
        <w:jc w:val="left"/>
        <w:rPr/>
      </w:pPr>
      <w:r>
        <w:rPr>
          <w:rFonts w:ascii="Work Sans;sans-serif" w:hAnsi="Work Sans;sans-serif"/>
          <w:b w:val="false"/>
          <w:color w:val="000000"/>
          <w:sz w:val="18"/>
          <w:shd w:fill="FFFFFF" w:val="clear"/>
        </w:rPr>
        <w:t>We currently anticipate that our available cash, cash equivalents</w:t>
      </w:r>
      <w:r>
        <w:rPr>
          <w:color w:val="000000"/>
        </w:rPr>
        <w:t xml:space="preserve"> </w:t>
      </w:r>
      <w:r>
        <w:rPr>
          <w:rFonts w:ascii="Work Sans;sans-serif" w:hAnsi="Work Sans;sans-serif"/>
          <w:b w:val="false"/>
          <w:color w:val="000000"/>
          <w:sz w:val="18"/>
        </w:rPr>
        <w:t>and cash provided by operating activities will be sufficient to meet our operational cash needs for at least the next twelve months and in the foreseeable future. We have the ability to supplement our liquidity needs with borrowings under our Amended Revolving Facility.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historically considered the undistributed earnings of our foreign subsidiaries to be indefinitely reinvested, and accordingly no taxes have been provided on such earnings. We continue to evaluate our plans for reinvestment or repatriation of unremitting foreign earnings. We have not repatriated funds to the U.S. to satisfy domestic liquidity needs, nor do we anticipate the need to do so. If we determine that all or a portion of our foreign earnings are no longer indefinitely reinvested, we may be subject to foreign withholding taxes and U.S. state income taxes.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October 2023, our board of directors approved a stock repurchase program authorizing the repurchase of shares of our common stock from time to time. In May 2025, our board of directors approved a $100.0 million increase in our stock repurchase program, bringing the aggregate amount authorized to $315.0 million. At </w:t>
      </w:r>
      <w:r>
        <w:rPr>
          <w:rFonts w:ascii="Work Sans;sans-serif" w:hAnsi="Work Sans;sans-serif"/>
          <w:b w:val="false"/>
          <w:color w:val="000000"/>
          <w:sz w:val="18"/>
          <w:shd w:fill="FFFFFF" w:val="clear"/>
        </w:rPr>
        <w:t>December 31, 2025</w:t>
      </w:r>
      <w:r>
        <w:rPr>
          <w:rFonts w:ascii="Work Sans;sans-serif" w:hAnsi="Work Sans;sans-serif"/>
          <w:b w:val="false"/>
          <w:color w:val="000000"/>
          <w:sz w:val="18"/>
        </w:rPr>
        <w:t xml:space="preserve">, approximately </w:t>
      </w:r>
      <w:r>
        <w:rPr>
          <w:rFonts w:ascii="Work Sans;sans-serif" w:hAnsi="Work Sans;sans-serif"/>
          <w:b w:val="false"/>
          <w:color w:val="000000"/>
          <w:sz w:val="18"/>
          <w:shd w:fill="FFFFFF" w:val="clear"/>
        </w:rPr>
        <w:t>$69.5 million</w:t>
      </w:r>
      <w:r>
        <w:rPr>
          <w:color w:val="000000"/>
        </w:rPr>
        <w:t xml:space="preserve"> </w:t>
      </w:r>
      <w:r>
        <w:rPr>
          <w:rFonts w:ascii="Work Sans;sans-serif" w:hAnsi="Work Sans;sans-serif"/>
          <w:b w:val="false"/>
          <w:color w:val="000000"/>
          <w:sz w:val="18"/>
        </w:rPr>
        <w:t>remained available for future repurchases of our common stock under the stock repurchase program. In addition, in February 2026, our board of directors approved an additional $100.0 million increase in our stock repurchase program, bringing the aggregate amount authorized to $415.0 million. For additional information regarding our stock repurchase program, refer to Item 5, “Market for Registrant’s Common Equity, Related Stockholder Matters and Issuer Purchases of Equity Securities,” and</w:t>
      </w:r>
      <w:r>
        <w:rPr>
          <w:color w:val="000000"/>
        </w:rPr>
        <w:t xml:space="preserve"> </w:t>
      </w:r>
      <w:r>
        <w:rPr>
          <w:rFonts w:ascii="Work Sans;sans-serif" w:hAnsi="Work Sans;sans-serif"/>
          <w:b w:val="false"/>
          <w:color w:val="000000"/>
          <w:sz w:val="18"/>
        </w:rPr>
        <w:t>Note 13 to our consolidated financial statements included elsewhere in this Annual Report on Form 10-K.</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Borrowings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Revolving Facility</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On July 2, 2021, we entered into a </w:t>
      </w:r>
      <w:r>
        <w:rPr>
          <w:rFonts w:ascii="Work Sans;sans-serif" w:hAnsi="Work Sans;sans-serif"/>
          <w:b w:val="false"/>
          <w:color w:val="000000"/>
          <w:sz w:val="18"/>
          <w:shd w:fill="FFFFFF" w:val="clear"/>
        </w:rPr>
        <w:t>$150.0 million</w:t>
      </w:r>
      <w:r>
        <w:rPr>
          <w:color w:val="000000"/>
        </w:rPr>
        <w:t xml:space="preserve"> </w:t>
      </w:r>
      <w:r>
        <w:rPr>
          <w:rFonts w:ascii="Work Sans;sans-serif" w:hAnsi="Work Sans;sans-serif"/>
          <w:b w:val="false"/>
          <w:color w:val="000000"/>
          <w:sz w:val="18"/>
        </w:rPr>
        <w:t xml:space="preserve">amended and restated credit and guaranty agreement with JPMorgan Chase Bank, N.A., as the administrative agent. On July 14, 2025, we entered into an amendment to the amended and restated credit and guaranty agreement that, among other things, decreased the revolving loan commitments to </w:t>
      </w:r>
      <w:r>
        <w:rPr>
          <w:rFonts w:ascii="Work Sans;sans-serif" w:hAnsi="Work Sans;sans-serif"/>
          <w:b w:val="false"/>
          <w:color w:val="000000"/>
          <w:sz w:val="18"/>
          <w:shd w:fill="FFFFFF" w:val="clear"/>
        </w:rPr>
        <w:t>$100.0 million</w:t>
      </w:r>
      <w:r>
        <w:rPr>
          <w:color w:val="000000"/>
        </w:rPr>
        <w:t xml:space="preserve"> </w:t>
      </w:r>
      <w:r>
        <w:rPr>
          <w:rFonts w:ascii="Work Sans;sans-serif" w:hAnsi="Work Sans;sans-serif"/>
          <w:b w:val="false"/>
          <w:color w:val="000000"/>
          <w:sz w:val="18"/>
        </w:rPr>
        <w:t xml:space="preserve">and extended the maturity date of the revolving loan commitments to July 14, 2030. We refer to the amended and restated credit and guaranty agreement, as amended from time to time, as the Amended Revolving Facility. The Amended Revolving Facility provides for the issuance of up to </w:t>
      </w:r>
      <w:r>
        <w:rPr>
          <w:rFonts w:ascii="Work Sans;sans-serif" w:hAnsi="Work Sans;sans-serif"/>
          <w:b w:val="false"/>
          <w:color w:val="000000"/>
          <w:sz w:val="18"/>
          <w:shd w:fill="FFFFFF" w:val="clear"/>
        </w:rPr>
        <w:t>$20.0 million</w:t>
      </w:r>
      <w:r>
        <w:rPr>
          <w:color w:val="000000"/>
        </w:rPr>
        <w:t xml:space="preserve"> </w:t>
      </w:r>
      <w:r>
        <w:rPr>
          <w:rFonts w:ascii="Work Sans;sans-serif" w:hAnsi="Work Sans;sans-serif"/>
          <w:b w:val="false"/>
          <w:color w:val="000000"/>
          <w:sz w:val="18"/>
        </w:rPr>
        <w:t xml:space="preserve">of letters of credit as well as borrowings on same-day notice, referred to as swingline loans, in an amount of up to </w:t>
      </w:r>
      <w:r>
        <w:rPr>
          <w:rFonts w:ascii="Work Sans;sans-serif" w:hAnsi="Work Sans;sans-serif"/>
          <w:b w:val="false"/>
          <w:color w:val="000000"/>
          <w:sz w:val="18"/>
          <w:shd w:fill="FFFFFF" w:val="clear"/>
        </w:rPr>
        <w:t>$10.0 million</w:t>
      </w:r>
      <w:r>
        <w:rPr>
          <w:rFonts w:ascii="Work Sans;sans-serif" w:hAnsi="Work Sans;sans-serif"/>
          <w:b w:val="false"/>
          <w:color w:val="000000"/>
          <w:sz w:val="18"/>
        </w:rPr>
        <w:t xml:space="preserve">. At December 31, 2025, we had no borrowings outstanding and $100.0 million was available for use under our Amended Revolving Facility. </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Subject to the satisfaction of certain criteria, we will be able to increase the Amended Revolving Facility by an amount equal to the sum of (i) the greater of </w:t>
      </w:r>
      <w:r>
        <w:rPr>
          <w:rFonts w:ascii="Work Sans;sans-serif" w:hAnsi="Work Sans;sans-serif"/>
          <w:b w:val="false"/>
          <w:color w:val="000000"/>
          <w:sz w:val="18"/>
          <w:shd w:fill="FFFFFF" w:val="clear"/>
        </w:rPr>
        <w:t>$90.0 million</w:t>
      </w:r>
      <w:r>
        <w:rPr>
          <w:color w:val="000000"/>
        </w:rPr>
        <w:t xml:space="preserve"> </w:t>
      </w:r>
      <w:r>
        <w:rPr>
          <w:rFonts w:ascii="Work Sans;sans-serif" w:hAnsi="Work Sans;sans-serif"/>
          <w:b w:val="false"/>
          <w:color w:val="000000"/>
          <w:sz w:val="18"/>
        </w:rPr>
        <w:t xml:space="preserve">and 75% of consolidated last twelve months cash earnings before interest expense, tax, depreciation and amortization, or LTM CEBITDA, plus (ii) unused amounts under the general debt basket (i.e., an amount equal to the greater of </w:t>
      </w:r>
      <w:r>
        <w:rPr>
          <w:rFonts w:ascii="Work Sans;sans-serif" w:hAnsi="Work Sans;sans-serif"/>
          <w:b w:val="false"/>
          <w:color w:val="000000"/>
          <w:sz w:val="18"/>
          <w:shd w:fill="FFFFFF" w:val="clear"/>
        </w:rPr>
        <w:t>$50.0 million</w:t>
      </w:r>
      <w:r>
        <w:rPr>
          <w:color w:val="000000"/>
        </w:rPr>
        <w:t xml:space="preserve"> </w:t>
      </w:r>
      <w:r>
        <w:rPr>
          <w:rFonts w:ascii="Work Sans;sans-serif" w:hAnsi="Work Sans;sans-serif"/>
          <w:b w:val="false"/>
          <w:color w:val="000000"/>
          <w:sz w:val="18"/>
        </w:rPr>
        <w:t>and an equivalent percentage of consolidated LTM CEBITDA), plus (iii) an unlimited amount so long as we are in pro forma compliance with the Financial Covenant (as defined below), in each case, with the consent of the lenders participating in the increase.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are required to pay a commitment fee in respect of unutilized commitments under the Amended Revolving Facility. The commitment fee is, initially, 0.35% per annum. The commitment fee is subject to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33350"/>
                <wp:effectExtent l="0" t="0" r="0" b="0"/>
                <wp:wrapNone/>
                <wp:docPr id="51" name="Frame5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 xml:space="preserve">reduction of 0.10% if the total net first lien leverage ratio does not exceed 3.50 to 1.00 and an additional reduction of 0.05% if the total net first lien leverage ratio does not exceed 1.00 to 1.00. We are also required to pay customary letter of credit fees and agency fees. U.S. dollar borrowings under the Amended Revolving Facility bear interest at a rate per annum equal to, at the borrower’s option, either (a) the Secured Overnight Financing Rate, or Term SOFR, plus a margin ranging from 2.00% to 1.25% or (b) a margin ranging from 1.00% to 0.25% plus the highest of (i) the administrative agent’s prime rate, (ii) the Federal Funds rate plus 0.50% or (iii) one-month Term SOFR plus 1%. The interest rate margins under the Amended Revolving Facility are subject to one reduction of 0.25%, a second reduction of 0.25% and a further reduction of 0.25% each upon achieving total net first lien leverage ratios of 3.50 to 1.00, 2.50 to 1.00 and 1.00 to 1.00, respectively.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the option to voluntarily repay outstanding loans at any time without premium or penalty, other than customary “breakage” costs with respect to SOFR loans. There is no scheduled amortization under the Amended Revolving Facility. The principal amount outstanding is due and payable in full at maturity on July 14, 2030.</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Obligations under the Amended Revolving Facility are guaranteed by our existing and future direct and indirect material wholly-owned domestic subsidiaries, subject to certain exceptions. The Amended Revolving Facility is secured by a first-priority security interest in substantially all of the assets of the borrower and the guarantors, subject to certain exceptions.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Amended Revolving Facility contains a number of covenants that, among other things and subject to certain exceptions, restrict our ability and the ability of our restricted subsidiaries to incur additional indebtedness and guarantee indebtedness; create or incur liens; pay dividends and distributions or repurchase capital stock; merge, liquidate and make asset sales; change lines of business; change our fiscal year; incur restrictions on our subsidiaries’ ability to make distributions and create liens; modify our organizational documents; make investments, loans and advances; and enter into certain transactions with affiliates.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Amended Revolving Facility requires compliance with a total net first lien leverage ratio not to exceed 4.50 to 1.00, or the Financial Covenant. The Financial Covenant will be tested at quarter-end only if the total principal amount of all revolving loans, swingline loans and drawn letters of credit that have not been reimbursed exceeds 35% of the total commitments under the Amended Revolving Facility on the last day of such fiscal quarter.</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Cash flows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sets forth a summary of our cash flows for the periods indicated:</w:t>
      </w:r>
    </w:p>
    <w:tbl>
      <w:tblPr>
        <w:tblW w:w="9393" w:type="dxa"/>
        <w:jc w:val="left"/>
        <w:tblInd w:w="0" w:type="dxa"/>
        <w:tblLayout w:type="fixed"/>
        <w:tblCellMar>
          <w:top w:w="28" w:type="dxa"/>
          <w:left w:w="28" w:type="dxa"/>
          <w:bottom w:w="28" w:type="dxa"/>
          <w:right w:w="28" w:type="dxa"/>
        </w:tblCellMar>
      </w:tblPr>
      <w:tblGrid>
        <w:gridCol w:w="2103"/>
        <w:gridCol w:w="1845"/>
        <w:gridCol w:w="1857"/>
        <w:gridCol w:w="599"/>
        <w:gridCol w:w="347"/>
        <w:gridCol w:w="294"/>
        <w:gridCol w:w="294"/>
        <w:gridCol w:w="294"/>
        <w:gridCol w:w="294"/>
        <w:gridCol w:w="629"/>
        <w:gridCol w:w="406"/>
        <w:gridCol w:w="431"/>
      </w:tblGrid>
      <w:tr>
        <w:trPr/>
        <w:tc>
          <w:tcPr>
            <w:tcW w:w="2103"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8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cash provided by operating activities</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178,197 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135,639 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cash used in investing activities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(40,077)</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(35,696)</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cash used in financing activities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(77,256)</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(183,285)</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Effect of exchange rate changes on cash and cash equivalents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172 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(313)</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increase (decrease) in cash and cash equivalents</w:t>
            </w:r>
          </w:p>
        </w:tc>
        <w:tc>
          <w:tcPr>
            <w:tcW w:w="9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61,036 </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(83,655)</w:t>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For a discussion of our cash flows for the year ended December 31, 2023, refer to Part II, Item 7, “Management’s Discussion and Analysis of Financial Condition and Results of Operations” in our Annual Report on Form 10-K for the year ended December 31, 2024, which was filed with the SEC on February 26, 2025. </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Net cash provided by operating activities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largest source of operating cash is cash collections from our customers for our transaction products and subscription services. Our primary uses of cash in operating activities are for our fulfillment, production and customer care costs, employee salaries and benefits, sales and marketing expenses and third-party consulting expenses. Net cash provided by operating activities is impacted by our net income adjusted for certain non-cash items, including depreciation and amortization expense, stock-based compensation and gain on sale of assets held for sale, as well as the effect of changes in operating assets and liabilities.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2025, cash provided by operating activities was $178.2 million resulting from net income of $15.4 million, adjusted for stock-based compensation and other non-cash expenses of $153.5 million and net cash flows provided by changes in operating assets and liabilities of $9.3 million. The $9.3 million of net cash flows provided by changes in our operating assets and liabilities included a $19.3 million increase in deferred revenue largely due to the growth of our subscription units, which are predominantly billed in advance of our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33350"/>
                <wp:effectExtent l="0" t="0" r="0" b="0"/>
                <wp:wrapNone/>
                <wp:docPr id="52" name="Frame5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recognition, partially offset by a $12.1 million increase in accounts receivable, prepaid expenses and other current assets.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2024, cash provided by operating activities was $135.6 million resulting from net income of $30.0 million, adjusted for stock-based compensation and other non-cash expenses of $104.9 million and net cash flows provided by changes in operating assets and liabilities of $0.8 million. The $0.8 million of net cash flows provided by changes in our operating assets and liabilities included a $6.6 million increase in deferred revenue largely due to growth of our subscription units, which are predominantly billed in advance of our revenue recognition, and a net $0.5 million decrease in accounts receivable, prepaid expenses and other current assets, partially offset by a $6.9 million decrease in accounts payable, accrued expenses and other liabilities, and operating lease liabilities due to the timing of our payments.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Net cash used in investing activities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primary investing activities have historically consisted primarily of capital expenditures to purchase property and equipment necessary to support our customer contact center, network and operations, the capitalization of internal-use software necessary to develop and maintain our platform and deliver new products and features, which provide value to our customers, business acquisitions and investments in other companies. As our business grows, we expect our capital expenditures to continue to increase. In 2025, we engaged in additional investing activities in regards to our acquisition of Formation Nation and the sale of our operational headquarters.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2025, net cash used in investing activities was $40.1 million, resulting primarily from $48.5 million used for the acquisition of Formation Nation, net of cash acquired and $30.3 million in purchases of property and equipment, including capitalized internal-use software, partially offset by $37.1 million in proceeds from the sale of our operational headquarters.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2024, net cash used in investing activities was $35.7 million, resulting primarily from purchase of property and equipment, including capitalized internal-use software.</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Net cash used in financing activities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primary uses of cash in financing activities are for repurchases of common stock and settlements of stock options and RSUs. Net cash provided by financing activities is primarily impacted by exercises of stock options by our employees and issuances of common stock.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2025, net cash used in financing activities was $77.3 million, primarily resulting from $80.5 million in repurchases of common stock under our stock repurchase program and a $40.4 million settlement of minimum statutory tax withholding upon vesting of RSUs, partially offset by $45.8 million in proceeds from the issuance of stock under employee stock plans.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2024, net cash used in financing activities was $183.3 million, primarily for the repurchase of common stock under our stock repurchase program.</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Material Cash Requirements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believe our current cash and cash equivalents, as well as cash expected to be generated by future operating activities, will be sufficient to meet our material cash requirements for the next twelve months. Our material cash requirements include the below contractual and other obligations: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Commitments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non-cancelable agreements with various vendors, which require us to pay $55.1 million over a four-year period, of which $41.2 million remains to be paid as of December 31, 2025.</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Lease Obligations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At December 31, 2025, we had various non-cancelable operating leases for office space, which expire between June 2026 and June 2033. At December 31, 2025, we had total minimum operating lease maturities of $16.3 million, $4.5 million of which mature within twelve months. See Note 8 of our consolidated financial statements included elsewhere in this Annual Report on Form 10-K for additional information regarding our future operating lease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Non-GAAP Financial Measures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To supplement our consolidated financial statements, which are prepared and presented in accordance with U.S. generally accepted accounting principles, or GAAP, we use certain non-GAAP financial measures, as described below, to understand and evaluate our core operating performance. We believe that these non-GAAP financial measures provide investors with useful information about our financial performance and liquidity,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33350"/>
                <wp:effectExtent l="0" t="0" r="0" b="0"/>
                <wp:wrapNone/>
                <wp:docPr id="53" name="Frame5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enhance the overall understanding of our past performance and future prospects and allow for greater transparency with respect to important measures used by our management for financial and operational decision-making. We also believe that these measures provide an additional tool for investors to use in comparing our core financial performance over multiple periods with other companies in our industry. These non-GAAP measures should not be considered in isolation of, or as a substitute or an alternative to, measures prepared and presented in accordance with GAAP.</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Adjusted EBITDA and Adjusted EBITDA Margin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define Adjusted EBITDA as net income adjusted to exclude interest expense, interest income, provision for (benefit from) income taxes, depreciation and amortization, other expense (income), net, stock-based compensation and certain non-recurring income and expenses from time to time. We define Adjusted EBITDA margin as Adjusted EBITDA as a percentage of revenue. We define net income margin as net income as a percentage of revenue based on our consolidated financial statements.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Adjusted EBITDA is one of the primary performance measures used by our management and our board of directors to understand and evaluate our financial performance and operating trends, including period-to-period comparisons, preparing and approving our annual budget and operational performance. In assessing our performance, we exclude certain expenses that we believe are not comparable period over period or that we believe are not indicative of our underlying operating performance. There are a number of limitations related to the use of Adjusted EBITDA rather than net income, which include that Adjusted EBITDA:</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may be calculated differently by other companies in our industry, limiting its usefulness as a comparative measure;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does not reflect our capital expenditures, future requirements for capital expenditures or contractual commitments;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excludes depreciation and amortization and, although these are non-cash expenses, the assets being depreciated may be replaced in the future;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does not reflect changes in, or cash requirements for, our working capital needs;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excludes stock-based compensation expense, which has been, and will continue to be, a significant recurring expense for our business and an important part of our compensation strategy;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does not reflect certain expenses that we do not consider representative of our underlying operating performance, but that reduce cash available to us.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presents a reconciliation of net income to Adjusted EBITDA for each of the periods indicated:</w:t>
      </w:r>
    </w:p>
    <w:tbl>
      <w:tblPr>
        <w:tblW w:w="8282" w:type="dxa"/>
        <w:jc w:val="left"/>
        <w:tblInd w:w="0" w:type="dxa"/>
        <w:tblLayout w:type="fixed"/>
        <w:tblCellMar>
          <w:top w:w="28" w:type="dxa"/>
          <w:left w:w="28" w:type="dxa"/>
          <w:bottom w:w="28" w:type="dxa"/>
          <w:right w:w="28" w:type="dxa"/>
        </w:tblCellMar>
      </w:tblPr>
      <w:tblGrid>
        <w:gridCol w:w="1820"/>
        <w:gridCol w:w="1599"/>
        <w:gridCol w:w="1605"/>
        <w:gridCol w:w="226"/>
        <w:gridCol w:w="946"/>
        <w:gridCol w:w="271"/>
        <w:gridCol w:w="109"/>
        <w:gridCol w:w="109"/>
        <w:gridCol w:w="109"/>
        <w:gridCol w:w="226"/>
        <w:gridCol w:w="946"/>
        <w:gridCol w:w="316"/>
      </w:tblGrid>
      <w:tr>
        <w:trPr/>
        <w:tc>
          <w:tcPr>
            <w:tcW w:w="1820"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8"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i/>
                <w:color w:val="000000"/>
                <w:sz w:val="18"/>
              </w:rPr>
            </w:pPr>
            <w:r>
              <w:rPr>
                <w:rFonts w:ascii="Work Sans;sans-serif" w:hAnsi="Work Sans;sans-serif"/>
                <w:b/>
                <w:i/>
                <w:color w:val="000000"/>
                <w:sz w:val="18"/>
              </w:rPr>
              <w:t>Reconciliation of net income to Adjusted EBITDA</w:t>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Net income</w:t>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15,427 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29,963 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Interest expense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1,294 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446 </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Interest income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(7,569)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(7,850)</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Provision for income taxes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17,011 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13,120 </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Depreciation and amortization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44,123 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34,927 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Other income,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(1,187)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(98)</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Stock-based compensation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113,708 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71,510 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200"/>
              <w:jc w:val="left"/>
              <w:rPr/>
            </w:pPr>
            <w:r>
              <w:rPr>
                <w:rFonts w:ascii="Work Sans;sans-serif" w:hAnsi="Work Sans;sans-serif"/>
                <w:b w:val="false"/>
                <w:color w:val="000000"/>
                <w:sz w:val="18"/>
              </w:rPr>
              <w:t>Acquisition and related expenses</w:t>
            </w:r>
            <w:r>
              <w:rPr>
                <w:rFonts w:ascii="Work Sans;sans-serif" w:hAnsi="Work Sans;sans-serif"/>
                <w:b w:val="false"/>
                <w:color w:val="000000"/>
                <w:sz w:val="12"/>
              </w:rPr>
              <w:t>(1)</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2,869 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Gain on sale of assets held for sale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(14,337)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200"/>
              <w:jc w:val="left"/>
              <w:rPr/>
            </w:pPr>
            <w:r>
              <w:rPr>
                <w:rFonts w:ascii="Work Sans;sans-serif" w:hAnsi="Work Sans;sans-serif"/>
                <w:b w:val="false"/>
                <w:color w:val="000000"/>
                <w:sz w:val="18"/>
              </w:rPr>
              <w:t>Restructuring costs</w:t>
            </w:r>
            <w:r>
              <w:rPr>
                <w:rFonts w:ascii="Work Sans;sans-serif" w:hAnsi="Work Sans;sans-serif"/>
                <w:b w:val="false"/>
                <w:color w:val="000000"/>
                <w:sz w:val="12"/>
              </w:rPr>
              <w:t>(2)</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6,096 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Adjusted EBITDA</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172,193 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148,114 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margin</w:t>
            </w:r>
          </w:p>
        </w:tc>
        <w:tc>
          <w:tcPr>
            <w:tcW w:w="11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4 </w:t>
            </w:r>
          </w:p>
        </w:tc>
        <w:tc>
          <w:tcPr>
            <w:tcW w:w="3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Adjusted EBITDA margin</w:t>
            </w:r>
          </w:p>
        </w:tc>
        <w:tc>
          <w:tcPr>
            <w:tcW w:w="117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23</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22 </w:t>
            </w:r>
          </w:p>
        </w:tc>
        <w:tc>
          <w:tcPr>
            <w:tcW w:w="3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120" w:after="120"/>
        <w:ind w:left="0" w:right="0" w:hanging="450"/>
        <w:jc w:val="left"/>
        <w:rPr>
          <w:rFonts w:ascii="Work Sans;sans-serif" w:hAnsi="Work Sans;sans-serif"/>
          <w:b w:val="false"/>
          <w:color w:val="000000"/>
          <w:sz w:val="18"/>
        </w:rPr>
      </w:pPr>
      <w:r>
        <w:rPr>
          <w:rFonts w:ascii="Work Sans;sans-serif" w:hAnsi="Work Sans;sans-serif"/>
          <w:b w:val="false"/>
          <w:color w:val="000000"/>
          <w:sz w:val="18"/>
        </w:rPr>
        <w:t>(1)     For 2025, acquisition and related expenses are primarily related to our acquisition of Formation Nation. Additional costs incurred are related to the evaluation and pursuit of strategic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33350"/>
                <wp:effectExtent l="0" t="0" r="0" b="0"/>
                <wp:wrapNone/>
                <wp:docPr id="54" name="Frame5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450"/>
        <w:jc w:val="left"/>
        <w:rPr>
          <w:rFonts w:ascii="Work Sans;sans-serif" w:hAnsi="Work Sans;sans-serif"/>
          <w:b w:val="false"/>
          <w:color w:val="000000"/>
          <w:sz w:val="18"/>
        </w:rPr>
      </w:pPr>
      <w:r>
        <w:rPr>
          <w:rFonts w:ascii="Work Sans;sans-serif" w:hAnsi="Work Sans;sans-serif"/>
          <w:b w:val="false"/>
          <w:color w:val="000000"/>
          <w:sz w:val="18"/>
        </w:rPr>
        <w:t>(2)    For 2025 and 2024, restructuring costs related to the reduction of our U.S. headcount. Restructuring expenses include salary and benefits for the impacted employees and are included in general and administrative expenses in the accompanying consolidated statements of operations appearing elsewhere in this Annual Report on Form 10-K.</w:t>
      </w:r>
    </w:p>
    <w:p>
      <w:pPr>
        <w:pStyle w:val="TextBody"/>
        <w:bidi w:val="0"/>
        <w:spacing w:lineRule="auto" w:line="288" w:before="120" w:after="120"/>
        <w:ind w:left="0" w:right="0" w:firstLine="450"/>
        <w:jc w:val="left"/>
        <w:rPr>
          <w:rFonts w:ascii="Work Sans;sans-serif" w:hAnsi="Work Sans;sans-serif"/>
          <w:b w:val="false"/>
          <w:color w:val="000000"/>
          <w:sz w:val="18"/>
          <w:shd w:fill="FFFFFF" w:val="clear"/>
        </w:rPr>
      </w:pPr>
      <w:r>
        <w:rPr>
          <w:rFonts w:ascii="Work Sans;sans-serif" w:hAnsi="Work Sans;sans-serif"/>
          <w:b w:val="false"/>
          <w:color w:val="000000"/>
          <w:sz w:val="18"/>
          <w:shd w:fill="FFFFFF" w:val="clear"/>
        </w:rPr>
        <w:t>The increase in Adjusted EBITDA of $24.1 million for the year ended December 31, 2025 reflects an increase in revenue of $74.2 million, which was partially offset by an increase in cost of revenue, excluding non-cash and non-recurring items, of $16.4 million, and a $33.7 million increase in operating expenses, excluding non-cash and non-recurring items.</w:t>
      </w:r>
    </w:p>
    <w:p>
      <w:pPr>
        <w:pStyle w:val="TextBody"/>
        <w:bidi w:val="0"/>
        <w:spacing w:lineRule="auto" w:line="288" w:before="240" w:after="120"/>
        <w:jc w:val="left"/>
        <w:rPr>
          <w:rFonts w:ascii="Work Sans;sans-serif" w:hAnsi="Work Sans;sans-serif"/>
          <w:b/>
          <w:i/>
          <w:color w:val="000000"/>
          <w:sz w:val="18"/>
          <w:shd w:fill="FFFFFF" w:val="clear"/>
        </w:rPr>
      </w:pPr>
      <w:r>
        <w:rPr>
          <w:rFonts w:ascii="Work Sans;sans-serif" w:hAnsi="Work Sans;sans-serif"/>
          <w:b/>
          <w:i/>
          <w:color w:val="000000"/>
          <w:sz w:val="18"/>
          <w:shd w:fill="FFFFFF" w:val="clear"/>
        </w:rPr>
        <w:t>Free cash flow</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Free cash flow is a liquidity measure used by management in evaluating the cash generated by our operations after purchases of property and equipment including capitalized internal-use software. We believe free cash flow provides useful information to management and investors about the amount of cash generated by our business that can be used for strategic opportunities, including investing in our business and strengthening our balance sheet once our business needs and obligations are met. The usefulness of free cash flow as an analytical tool has limitations because it excludes certain items that are settled in cash, does not represent residual cash flow available for discretionary expenses, does not reflect our future contractual commitments, and may be calculated differently by other companies in our industry.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presents a reconciliation of net cash provided by operating activities, the most directly comparable GAAP measure, to free cash flow:</w:t>
      </w:r>
    </w:p>
    <w:tbl>
      <w:tblPr>
        <w:tblW w:w="10205" w:type="dxa"/>
        <w:jc w:val="left"/>
        <w:tblInd w:w="0" w:type="dxa"/>
        <w:tblLayout w:type="fixed"/>
        <w:tblCellMar>
          <w:top w:w="28" w:type="dxa"/>
          <w:left w:w="28" w:type="dxa"/>
          <w:bottom w:w="28" w:type="dxa"/>
          <w:right w:w="28" w:type="dxa"/>
        </w:tblCellMar>
      </w:tblPr>
      <w:tblGrid>
        <w:gridCol w:w="2635"/>
        <w:gridCol w:w="2315"/>
        <w:gridCol w:w="2320"/>
        <w:gridCol w:w="226"/>
        <w:gridCol w:w="946"/>
        <w:gridCol w:w="109"/>
        <w:gridCol w:w="109"/>
        <w:gridCol w:w="109"/>
        <w:gridCol w:w="109"/>
        <w:gridCol w:w="226"/>
        <w:gridCol w:w="946"/>
        <w:gridCol w:w="155"/>
      </w:tblGrid>
      <w:tr>
        <w:trPr/>
        <w:tc>
          <w:tcPr>
            <w:tcW w:w="2635"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7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r>
      <w:tr>
        <w:trPr/>
        <w:tc>
          <w:tcPr>
            <w:tcW w:w="7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i/>
                <w:color w:val="000000"/>
                <w:sz w:val="18"/>
              </w:rPr>
            </w:pPr>
            <w:r>
              <w:rPr>
                <w:rFonts w:ascii="Work Sans;sans-serif" w:hAnsi="Work Sans;sans-serif"/>
                <w:b/>
                <w:i/>
                <w:color w:val="000000"/>
                <w:sz w:val="18"/>
              </w:rPr>
              <w:t>Reconciliation of Net Cash Provided by Operating Activities to Free Cash Flow</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Net cash provided by operating activities</w:t>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178,197 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135,639 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Purchase of property and equipment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(30,277)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(35,696)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Free cash flow</w:t>
            </w:r>
          </w:p>
        </w:tc>
        <w:tc>
          <w:tcPr>
            <w:tcW w:w="128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0"/>
              <w:jc w:val="right"/>
              <w:rPr>
                <w:rFonts w:ascii="Work Sans;sans-serif" w:hAnsi="Work Sans;sans-serif"/>
                <w:b w:val="false"/>
                <w:color w:val="000000"/>
                <w:sz w:val="18"/>
              </w:rPr>
            </w:pPr>
            <w:r>
              <w:rPr>
                <w:rFonts w:ascii="Work Sans;sans-serif" w:hAnsi="Work Sans;sans-serif"/>
                <w:b w:val="false"/>
                <w:color w:val="000000"/>
                <w:sz w:val="18"/>
              </w:rPr>
              <w:t>$147,920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99,943 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increase in our free cash flow of $48.0 million for the year ended December 31, 2025 was primarily due to a $42.6 million increase in net cash provided by operating activities. The increase in net cash provided by operating activities resulted from a $34.1 million increase in net income after adjusting for stock-based compensation and other non-cash items, and an $8.5 million favorable change in our operating assets and liabilities. Free cash flow was also impacted by lower capital expenditures for the purchase of property and equipment, including capitalization of internal-use software.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Recent Accounting Pronouncements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See Note 2 to our consolidated financial statements appearing elsewhere in this Annual Report on Form 10-K for further information on certain accounting standards adopted in 2025 and recent accounting announcements that have not yet been required to be implemented and may be applicable to our future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Critical Accounting Estimates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preparation of financial statements in conformity with GAAP requires estimates and assumptions that affect the reported amounts of assets and liabilities, revenue and expenses, and related disclosures of contingent liabilities in the consolidated financial statements and accompanying notes. Estimates are used for, however not limited to, revenue recognition, sales allowances and credit reserves, available-for-sale debt securities, recoverability of long-lived assets and goodwill, income taxes, commitments and contingencies, valuation of assets and liabilities acquired in business combinations and stock-based compensation. Actual results could differ materially from those estimates. Our most critical accounting policies and estimates are summarized below. See Note 2 to our consolidated financial statements included elsewhere in this Annual Report on Form 10-K for a discussion of our other significant accounting policies.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Revenue recognition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derive our revenue from the following sources:</w:t>
      </w:r>
    </w:p>
    <w:p>
      <w:pPr>
        <w:pStyle w:val="TextBody"/>
        <w:bidi w:val="0"/>
        <w:spacing w:lineRule="auto" w:line="288" w:before="120" w:after="120"/>
        <w:ind w:left="0" w:right="0" w:firstLine="450"/>
        <w:jc w:val="left"/>
        <w:rPr/>
      </w:pPr>
      <w:r>
        <w:rPr>
          <w:rFonts w:ascii="Work Sans;sans-serif" w:hAnsi="Work Sans;sans-serif"/>
          <w:b w:val="false"/>
          <w:i/>
          <w:color w:val="000000"/>
          <w:sz w:val="18"/>
        </w:rPr>
        <w:t>Transaction revenue</w:t>
      </w:r>
      <w:r>
        <w:rPr>
          <w:color w:val="000000"/>
        </w:rPr>
        <w:t>—</w:t>
      </w:r>
      <w:r>
        <w:rPr>
          <w:rFonts w:ascii="Work Sans;sans-serif" w:hAnsi="Work Sans;sans-serif"/>
          <w:b w:val="false"/>
          <w:color w:val="000000"/>
          <w:sz w:val="18"/>
        </w:rPr>
        <w:t xml:space="preserve">Transaction revenue is primarily generated from our customized legal document services upon fulfillment of these services. Transaction revenue includes filing fees and is net of cancellations,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33350"/>
                <wp:effectExtent l="0" t="0" r="0" b="0"/>
                <wp:wrapNone/>
                <wp:docPr id="55" name="Frame5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 xml:space="preserve">promotional discounts, sales allowances and credit reserves. We also earn fees from third-party providers in connection with lead generation activities, where referred customers purchase services that are transactional in nature. </w:t>
      </w:r>
    </w:p>
    <w:p>
      <w:pPr>
        <w:pStyle w:val="TextBody"/>
        <w:bidi w:val="0"/>
        <w:spacing w:lineRule="auto" w:line="288" w:before="120" w:after="120"/>
        <w:ind w:left="0" w:right="0" w:firstLine="450"/>
        <w:jc w:val="left"/>
        <w:rPr/>
      </w:pPr>
      <w:r>
        <w:rPr>
          <w:rFonts w:ascii="Work Sans;sans-serif" w:hAnsi="Work Sans;sans-serif"/>
          <w:b w:val="false"/>
          <w:i/>
          <w:color w:val="000000"/>
          <w:sz w:val="18"/>
        </w:rPr>
        <w:t>Subscription revenue</w:t>
      </w:r>
      <w:r>
        <w:rPr>
          <w:color w:val="000000"/>
        </w:rPr>
        <w:t>—</w:t>
      </w:r>
      <w:r>
        <w:rPr>
          <w:rFonts w:ascii="Work Sans;sans-serif" w:hAnsi="Work Sans;sans-serif"/>
          <w:b w:val="false"/>
          <w:color w:val="000000"/>
          <w:sz w:val="18"/>
        </w:rPr>
        <w:t xml:space="preserve">Subscription revenue is generated primarily from subscriptions to our registered agent, compliance packages, attorney advice, legal forms, tax and accounting, virtual mail and eSignature services, and SaaS subscriptions. We generally recognize revenue from our subscriptions ratably over the subscription term. Subscription terms generally range from thirty days to one year. Subscription revenue also includes amounts earned from third-party providers in connection with lead generation activities, where referred customers purchase services that are subscription in nature. Subscription revenue includes the transaction price allocated to bundled free trials for our subscription services and is net of promotional discounts, cancellations, sales allowances and credit reserves and payments to third party service providers.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For transaction and subscription revenue, we generally collect payments and fees at the time orders are placed and prior to services being rendered. We record amounts collected for services that have not been performed as deferred revenue on our consolidated balance sheet. The transaction price that we record is generally based on the contractual amounts and is reduced for estimated sales allowances for price concessions, charge-backs, sales credits and refunds, which are accounted for as variable consideration when estimating the amount of revenue to recognize.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determine revenue recognition through the following five steps: identification of a contract with a customer; identification of the performance obligations in the contract; determination of the transaction price; allocation of the transaction price to the performance obligations in the contract; and recognition of revenue when or as the performance obligations are satisfied.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customers generally pay for transactions in advance by credit or debit card except for certain services provided under installment plans where we allow customers to pay for their order in three or twelve equal payments. The first installment due under the installment plans is charged to the customer’s debit or credit card on the date the order is placed, and the remaining installments are generally charged on a monthly basis thereafter. We recognize revenue for the amount we expect to be entitled to for providing the services to our customers. The total fees collected by us for our services include, as applicable, expedited services fees, government filing fees and shipping fees.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Subscription services are generally paid monthly or annually in advance of the subscription period except for virtual mail subscriptions, which are invoiced monthly in arrears. Amounts collected in advance of revenue recognition are recorded in deferred revenue. Customers may pay for services, however, may not provide the necessary information to complete a transaction. We attempt to contact the customer to complete the abandoned order. We recognize revenue on abandoned services, or breakage, when it is likely to occur and the amount can be recognized without significant risk of reversal. We recognize breakage in proportion to the pattern of rights exercised by the customer. Judgment is required to determine the amount of breakage and when breakage is likely to occur, which we estimate based on historical data of breakage for similar services.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Services we offer can generally either be purchased on a stand-alone basis or bundled together as part of a package of services. Accordingly, a significant number of our arrangements include multiple performance obligations, such as the preparation of legal documents combined with related document revision, document storage, registered agent services, and free trial periods of our subscriptions. At contract inception, we assess the services promised in our contracts with customers and identify performance obligations for each promise to transfer to the customer a service or bundle of services that is distinct. The identification of distinct performance obligations within our packages may require significant judgment.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transaction price allocated to each separate performance obligation represents the amount of consideration to which we expect to be entitled in exchange for the services we provide. The transaction price is based on the contractual amounts in our contracts and is reduced for estimated sales allowances for price concessions, charge-backs, sales credits and refunds, which are accounted for as variable consideration when estimating the amount of revenue to recognize. We only include variable consideration in the transaction price to the extent that it is probable that a significant reversal in the amount of cumulative revenue recognized will not occur. We estimate sales allowances using the expected value method. We recognize a liability or a reduction of accounts receivable, and a reduction to revenue based on the estimated amount of sales allowances. We record sales allowances as a reduction of accounts receivable where we expect not to collect the full amount of the outstanding accounts receivable and we record sales allowances as a liability for estimated refunds or credits where we have collected the amounts due from the customer. We have established a sufficient history of estimating sales allowances given the large number of homogeneous transactions. The majority of our allowances and reserves are known within a relatively short period of time following our balance sheet date. The estimated provision for sales allowances has varied from actual results within ranges consistent with management’s expectations. The transaction price excludes sales taxes.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For arrangements that contain multiple performance obligations, such as our bundled arrangements, we allocate the transaction price to each performance obligation based on estimates of the standalone selling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33350"/>
                <wp:effectExtent l="0" t="0" r="0" b="0"/>
                <wp:wrapNone/>
                <wp:docPr id="56" name="Frame5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price of each performance obligation within the bundle. For the services we sell on a standalone basis, we use the sales price of these services in the allocation of the transaction price in bundled arrangements. Where we do not sell the service on a standalone basis, we estimate the standalone selling price based on the adjusted market assessment approach or the expected cost plus a margin approach when market information is not observable. In these cases, the determination of the standalone selling price may require significant judgment.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recognize revenue when we satisfy the performance obligation by transferring the promised good or service to the customer. For our transaction-based services, we generally recognize revenue at a point-in-time when the services are delivered to the customer. For our subscription-based services we generally recognize revenue on a straight-line basis over the subscription term. For our partner-based services, we recognize revenue at a point-in-time when the related performance-based criteria have been met.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do not have significant financing components in arrangements with our customers.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Principal agent considerations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certain of our arrangements, another party may be involved in providing services to our customer. We evaluate whether we can recognize revenue gross as a principal or net as an agent. We record revenue on a gross basis when we are the principal in the arrangement. To determine whether we are a principal or an agent, we identify the specified good or service to be provided to the customer and assess whether we control the specified good or service before that good or service is transferred to the customer. We evaluate a number of indicators of whether we control the good or service before it is transferred to the customer, including whether we have primary fulfillment responsibility and obligation to perform the services being sold to the customer; we have latitude in establishing the sales price; and we have inventory risk.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arrangements in which we are the principal, we record as revenue the amounts we have billed to our customer, net of sales allowance, and we record the fee payable to the third party as cost of revenue. We are the principal in most of our legal document preparation, tax advisory and preparation, and registered agent services, including legal entity formations and similar arrangements and formation. For these services, revenue includes filing and similar fees. Our alternative business structures, or ABS, offer legal advisory services that are marketed through our websites. Our ABS provides independent legal advice to our customers and is directly responsible for, and control the fulfillment of, the legal services. Accordingly, for services provided by our ABS, we recognize revenue as the principal.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arrangements in which we are not the principal, we record revenue on a net basis, which is equal to the amount billed to our customer, net of sales allowances and the fee payable to the third party or partner that is primarily responsible for performing the services for the customer. Except for our Arizona ABS, we are not a law firm in the U.S. and cannot provide legal advice through our U.S. entities. Therefore, the participating independent law firms in our legal plans control the service to the customer and have the primary service obligation to provide attorney consultations to our customers, for which we pay the law firms a monthly fee. For these arrangements, we recognize revenue on a net basis as an agent. For other services provided by third parties, including deed transfer, accounting, revenue is recognized net of fees payable to third-parties. For partner revenue, we receive a fee for the referral of our customer to the partner or we retain a portion of the fee paid by the customer and share the remainder with the partner. Our partner controls the service to the customer and the partner is responsible for fulfilling the referred service to the customer, accordingly, we recognize revenue for these arrangements on a net basis.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Revenue includes shipping and handling fees charged to customers.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Business combinations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results of businesses acquired in a business combination are included in our consolidated financial statements from the date of the acquisition. Purchase accounting results in assets and liabilities of an acquired business being recorded at their estimated fair values on the acquisition date. Any excess purchase consideration over the fair value of assets acquired and liabilities assumed is recognized as goodwill.</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perform valuations of assets acquired and liabilities assumed for an acquisition and allocate the purchase price to their respective net tangible and intangible assets. Determining the fair value of assets acquired and liabilities assumed requires management to use significant judgment and estimates. Intangible assets consist primarily of customer relationships and developed technology. Judgment and estimates include the selection of valuation methodologies, estimates of future revenue and cash flows, the rate of customer subscription non-renewals, discount rates, the estimated level of effort and related costs of reproducing or replacing the assets acquired, and selection of comparable companies. We generally engage the assistance of third-party valuation specialists in determining fair values of assets acquired and liabilities assumed and contingent consideration, if any, in a business combination. Amounts recorded in a business combination may change during the measurement period, which is a period not to exceed one year from the date of acquisition, as additional information about conditions existing at the acquisition date becomes available.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33350"/>
                <wp:effectExtent l="0" t="0" r="0" b="0"/>
                <wp:wrapNone/>
                <wp:docPr id="57" name="Frame5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Transaction costs associated with business combinations are expensed as incurred and are included in general and administrative expenses in the accompanying consolidated statements of operations.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Goodwill</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Goodwill represents the excess of the aggregate fair value of the consideration transferred in a business combination over the fair value of the assets acquired, net of liabilities assumed. Goodwill is not amortized, however, it is subject to impairment testing at the reporting unit level annually during the fourth quarter of our fiscal year or more frequently if events or changes in circumstances indicate that goodwill may be impaired.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assessing impairment, we have the option to first assess qualitative factors to determine whether or not a reporting unit is impaired. Alternatively, we may perform a quantitative impairment assessment or if the qualitative assessment indicates that it is more-likely-than-not that the reporting unit’s fair value is less than its carrying amount, a quantitative analysis is required. The quantitative analysis compares the estimated fair value of the reporting unit with its respective carrying amount, including goodwill. If the estimated fair value of the reporting unit exceeds its carrying amount including goodwill, goodwill is considered not to be impaired. If the fair value is less than the carrying amount including goodwill, then a goodwill impairment charge is recorded by the amount that the carrying value exceeds the fair value, up to the carrying amount of goodwill.</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For our goodwill impairment test performed in the fourth quarter of 2025 and 2024, the fair value of our consolidated reporting unit significantly exceeded our carrying value.</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Loss contingencies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record loss contingencies in our consolidated financial statements in the period when they are probable and reasonably estimable. If the amount is probable and we are able to reasonably estimate a range of loss, we accrue the amount that is the best estimate within that range, and if no amount is better than any other in the range, we record the amount at the low end in the range. We disclose those contingencies that we believe are at least reasonably possible but not probable regardless of whether they are reasonably estimable. The likelihood of a loss is determined using several factors including the nature of the matter, advice of our internal and external counsel, previous experience and historical and relevant information available to us. The determination of the likelihood of loss or the range of loss requires significant management judgment. We expense legal costs for defending legal proceedings as incurred.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See Note 12 to our consolidated financial statements included elsewhere in this Annual Report on Form 10-K for further information.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Income taxes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account for income taxes using the asset and liability method, which requires the recognition of deferred tax assets and liabilities for the expected future tax consequences of events that have been recognized in our consolidated financial statements. Deferred income tax assets and liabilities are measured using enacted tax rates anticipated to be in effect when those tax assets and liabilities are expected to be realized or settled. The effect of a change in tax rates on deferred tax assets and liabilities is recognized in the consolidated statements of operations in the period that includes the enactment date.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make judgments in evaluating whether deferred tax assets will be recovered from future taxable income on a jurisdictional basis. A valuation allowance is established if, based upon the available evidence, it is more likely than not that some or all of the deferred tax assets will not be realized. We consider all available evidence, both positive and negative, including historical levels of income. We also consider expectations and risk associated with estimates of future taxable income in assessing the need for a valuation allowance. If our assumptions and consequently our estimates, change in the future, the valuation allowance may be increased or decreased, resulting in an increase or decrease, which may be material, to our provision for income taxes and the related impact on our net income.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recognize tax benefits from an uncertain position only if it is more likely than not that the tax position will be sustained on examination by the taxing authorities, based on the technical merits. If this threshold is met, we measure the tax benefit as the largest amount of the benefit that is greater than fifty percent likely to be realized upon ultimate settlement. We recognize penalties and interest accrued with respect to uncertain tax positions as a component of the income tax provision.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See Note 18 to our consolidated financial statements included elsewhere in this Annual Report on Form 10-K for further information on our income taxes.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Stock-based compensation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estimate the fair value of employee stock-based payment awards on the grant-date and recognize the resulting fair value, net of estimated forfeitures, over the requisite service period. We use the Black-Scholes option pricing model for estimating the fair value of options granted under our stock option plans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33350"/>
                <wp:effectExtent l="0" t="0" r="0" b="0"/>
                <wp:wrapNone/>
                <wp:docPr id="58" name="Frame5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vest based on service and performance conditions. The fair value of restricted stock units, or RSUs, that vest based on service and performance conditions is determined based on the value of the underlying common stock at the date of grant. For awards that contain market conditions, we estimate the fair value using a Monte Carlo simulation model. We record expense for awards that contain performance conditions only to the extent that we determine it is probable that the performance condition will be achieved. Expense for awards containing market conditions is not reversed even if the market condition is not achieved. We have elected to treat stock-based payment awards with graded vesting schedules and time-based service conditions as a single award and recognize stock-based compensation on a straight-line basis, net of estimated forfeitures, over the requisite service period. Awards with performance or market conditions are recognized using graded vesting.</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Black-Scholes option pricing model and the Monte Carlo simulation model requires us to make certain assumptions including the fair value of our underlying common stock, the expected term, the expected stock price volatility, the risk-free interest rates and the expected dividend yield of our common stock. These assumptions, other than the fair value of our common stock, are estimated as follows:</w:t>
      </w:r>
    </w:p>
    <w:p>
      <w:pPr>
        <w:pStyle w:val="TextBody"/>
        <w:bidi w:val="0"/>
        <w:spacing w:lineRule="auto" w:line="288" w:before="120" w:after="120"/>
        <w:ind w:left="0" w:right="0" w:hanging="360"/>
        <w:jc w:val="left"/>
        <w:rPr/>
      </w:pPr>
      <w:r>
        <w:rPr>
          <w:color w:val="000000"/>
        </w:rPr>
        <w:t>•</w:t>
      </w:r>
      <w:r>
        <w:rPr>
          <w:rFonts w:ascii="Work Sans;sans-serif" w:hAnsi="Work Sans;sans-serif"/>
          <w:b/>
          <w:i/>
          <w:color w:val="000000"/>
          <w:sz w:val="18"/>
        </w:rPr>
        <w:t>Expected term</w:t>
      </w:r>
      <w:r>
        <w:rPr>
          <w:rFonts w:ascii="Work Sans;sans-serif" w:hAnsi="Work Sans;sans-serif"/>
          <w:b/>
          <w:color w:val="000000"/>
          <w:sz w:val="18"/>
        </w:rPr>
        <w:t xml:space="preserve">. </w:t>
      </w:r>
      <w:r>
        <w:rPr>
          <w:rFonts w:ascii="Work Sans;sans-serif" w:hAnsi="Work Sans;sans-serif"/>
          <w:b w:val="false"/>
          <w:color w:val="000000"/>
          <w:sz w:val="18"/>
        </w:rPr>
        <w:t>The expected term of employee stock options represents the weighted-average period that the stock options are expected to remain outstanding. The expected term of options granted is estimated based upon actual historical exercise and post-vesting cancellations, adjusted for expected future exercise behavior. The expected term of RSUs is defined as the remaining term from the grant date to the end of the performance period.</w:t>
      </w:r>
    </w:p>
    <w:p>
      <w:pPr>
        <w:pStyle w:val="TextBody"/>
        <w:bidi w:val="0"/>
        <w:spacing w:lineRule="auto" w:line="288" w:before="120" w:after="120"/>
        <w:ind w:left="0" w:right="0" w:hanging="360"/>
        <w:jc w:val="left"/>
        <w:rPr/>
      </w:pPr>
      <w:r>
        <w:rPr>
          <w:color w:val="000000"/>
        </w:rPr>
        <w:t>•</w:t>
      </w:r>
      <w:r>
        <w:rPr>
          <w:rFonts w:ascii="Work Sans;sans-serif" w:hAnsi="Work Sans;sans-serif"/>
          <w:b/>
          <w:i/>
          <w:color w:val="000000"/>
          <w:sz w:val="18"/>
        </w:rPr>
        <w:t>Risk-free interest rate</w:t>
      </w:r>
      <w:r>
        <w:rPr>
          <w:rFonts w:ascii="Work Sans;sans-serif" w:hAnsi="Work Sans;sans-serif"/>
          <w:b/>
          <w:color w:val="000000"/>
          <w:sz w:val="18"/>
        </w:rPr>
        <w:t xml:space="preserve">. </w:t>
      </w:r>
      <w:r>
        <w:rPr>
          <w:rFonts w:ascii="Work Sans;sans-serif" w:hAnsi="Work Sans;sans-serif"/>
          <w:b w:val="false"/>
          <w:color w:val="000000"/>
          <w:sz w:val="18"/>
        </w:rPr>
        <w:t>The risk-free interest rate assumption is based upon observed interest rates on the U.S. government securities appropriate for the expected term of our stock options and RSUs with market condition.</w:t>
      </w:r>
    </w:p>
    <w:p>
      <w:pPr>
        <w:pStyle w:val="TextBody"/>
        <w:bidi w:val="0"/>
        <w:spacing w:lineRule="auto" w:line="288" w:before="120" w:after="120"/>
        <w:ind w:left="0" w:right="0" w:hanging="360"/>
        <w:jc w:val="left"/>
        <w:rPr/>
      </w:pPr>
      <w:r>
        <w:rPr>
          <w:color w:val="000000"/>
        </w:rPr>
        <w:t>•</w:t>
      </w:r>
      <w:r>
        <w:rPr>
          <w:rFonts w:ascii="Work Sans;sans-serif" w:hAnsi="Work Sans;sans-serif"/>
          <w:b/>
          <w:i/>
          <w:color w:val="000000"/>
          <w:sz w:val="18"/>
        </w:rPr>
        <w:t>Expected volatility</w:t>
      </w:r>
      <w:r>
        <w:rPr>
          <w:rFonts w:ascii="Work Sans;sans-serif" w:hAnsi="Work Sans;sans-serif"/>
          <w:b/>
          <w:color w:val="000000"/>
          <w:sz w:val="18"/>
        </w:rPr>
        <w:t xml:space="preserve">. </w:t>
      </w:r>
      <w:r>
        <w:rPr>
          <w:rFonts w:ascii="Work Sans;sans-serif" w:hAnsi="Work Sans;sans-serif"/>
          <w:b w:val="false"/>
          <w:color w:val="000000"/>
          <w:sz w:val="18"/>
        </w:rPr>
        <w:t>Because our common stock has limited publicly traded history, we estimate the expected volatility from the historical volatility of selected public companies with comparable characteristics to us, including similarity in size, lines of business, market capitalization and revenue and financial leverage. We determine the expected volatility assumption using the frequency of daily historical prices of comparable public companies’ common stock for a period equal to the expected term of the options. We periodically assess the comparable companies and other relevant factors used to measure expected volatility for future stock options and RSUs with market conditions grants.</w:t>
      </w:r>
    </w:p>
    <w:p>
      <w:pPr>
        <w:pStyle w:val="TextBody"/>
        <w:bidi w:val="0"/>
        <w:spacing w:lineRule="auto" w:line="288" w:before="120" w:after="120"/>
        <w:ind w:left="0" w:right="0" w:hanging="360"/>
        <w:jc w:val="left"/>
        <w:rPr/>
      </w:pPr>
      <w:r>
        <w:rPr>
          <w:color w:val="000000"/>
        </w:rPr>
        <w:t>•</w:t>
      </w:r>
      <w:r>
        <w:rPr>
          <w:rFonts w:ascii="Work Sans;sans-serif" w:hAnsi="Work Sans;sans-serif"/>
          <w:b/>
          <w:i/>
          <w:color w:val="000000"/>
          <w:sz w:val="18"/>
        </w:rPr>
        <w:t>Expected dividend yield</w:t>
      </w:r>
      <w:r>
        <w:rPr>
          <w:rFonts w:ascii="Work Sans;sans-serif" w:hAnsi="Work Sans;sans-serif"/>
          <w:b/>
          <w:color w:val="000000"/>
          <w:sz w:val="18"/>
        </w:rPr>
        <w:t>.</w:t>
      </w:r>
      <w:r>
        <w:rPr>
          <w:color w:val="000000"/>
        </w:rPr>
        <w:t xml:space="preserve"> </w:t>
      </w:r>
      <w:r>
        <w:rPr>
          <w:rFonts w:ascii="Work Sans;sans-serif" w:hAnsi="Work Sans;sans-serif"/>
          <w:b w:val="false"/>
          <w:color w:val="000000"/>
          <w:sz w:val="18"/>
        </w:rPr>
        <w:t>The dividend yield assumption is based on our history and expectation of dividend payouts. Other than the special dividends declared in 2015, 2017, 2018, 2020 and 2021 which resulted in corresponding reductions in the exercise price of the stock options, we have not declared any cash dividends on our common stock, and we do not anticipate paying any cash dividends in the foreseeable future.</w:t>
      </w:r>
    </w:p>
    <w:p>
      <w:pPr>
        <w:pStyle w:val="TextBody"/>
        <w:bidi w:val="0"/>
        <w:spacing w:lineRule="auto" w:line="288" w:before="120" w:after="120"/>
        <w:ind w:left="0" w:right="0" w:hanging="360"/>
        <w:jc w:val="left"/>
        <w:rPr/>
      </w:pPr>
      <w:r>
        <w:rPr>
          <w:color w:val="000000"/>
        </w:rPr>
        <w:t>•</w:t>
      </w:r>
      <w:r>
        <w:rPr>
          <w:rFonts w:ascii="Work Sans;sans-serif" w:hAnsi="Work Sans;sans-serif"/>
          <w:b/>
          <w:i/>
          <w:color w:val="000000"/>
          <w:sz w:val="18"/>
        </w:rPr>
        <w:t xml:space="preserve">Common stock valuation. </w:t>
      </w:r>
      <w:r>
        <w:rPr>
          <w:rFonts w:ascii="Work Sans;sans-serif" w:hAnsi="Work Sans;sans-serif"/>
          <w:b w:val="false"/>
          <w:color w:val="000000"/>
          <w:sz w:val="18"/>
        </w:rPr>
        <w:t>We utilize our common stock values as traded in the public market as an input into our valuation models.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Stock-based compensation expense is recognized based on awards that are ultimately expected to vest. Forfeitures are estimated at the time of grant and revised, if necessary, in subsequent periods if actual forfeitures differ from those estimates. Forfeitures are estimated based on our historical experience and future expectations.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If any of the assumptions used in the Black-Scholes option pricing model and the Monte Carlo simulation model change significantly, stock-based compensation for future awards may differ materially compared with the awards granted previously.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determination of stock-based compensation is inherently uncertain and subjective and involves the application of valuation models and assumptions requiring the use of judgment. If we had made different assumptions, our stock-based compensation expense, and our net income for 2025, 2024 and 2023 may have been materially different.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33350"/>
                <wp:effectExtent l="0" t="0" r="0" b="0"/>
                <wp:wrapNone/>
                <wp:docPr id="59" name="Frame5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pPr>
      <w:r>
        <w:rPr>
          <w:rFonts w:ascii="Work Sans;sans-serif" w:hAnsi="Work Sans;sans-serif"/>
          <w:b/>
          <w:i/>
          <w:color w:val="000000"/>
          <w:sz w:val="18"/>
        </w:rPr>
        <w:t>Options</w:t>
      </w:r>
      <w:r>
        <w:rPr>
          <w:rFonts w:ascii="Work Sans;sans-serif" w:hAnsi="Work Sans;sans-serif"/>
          <w:b/>
          <w:color w:val="000000"/>
          <w:sz w:val="18"/>
        </w:rPr>
        <w:t xml:space="preserve">. </w:t>
      </w:r>
      <w:r>
        <w:rPr>
          <w:rFonts w:ascii="Work Sans;sans-serif" w:hAnsi="Work Sans;sans-serif"/>
          <w:b w:val="false"/>
          <w:color w:val="000000"/>
          <w:sz w:val="18"/>
        </w:rPr>
        <w:t>We did not grant any stock options during the year ended December 31, 2025 or 2024. The weighted-average assumptions that were used to calculate the grant-date fair-value of our stock options granted during the year ended December 31, 2023 were as follows:</w:t>
      </w:r>
    </w:p>
    <w:tbl>
      <w:tblPr>
        <w:tblW w:w="5408" w:type="dxa"/>
        <w:jc w:val="center"/>
        <w:tblInd w:w="0" w:type="dxa"/>
        <w:tblLayout w:type="fixed"/>
        <w:tblCellMar>
          <w:top w:w="28" w:type="dxa"/>
          <w:left w:w="28" w:type="dxa"/>
          <w:bottom w:w="28" w:type="dxa"/>
          <w:right w:w="28" w:type="dxa"/>
        </w:tblCellMar>
      </w:tblPr>
      <w:tblGrid>
        <w:gridCol w:w="830"/>
        <w:gridCol w:w="731"/>
        <w:gridCol w:w="734"/>
        <w:gridCol w:w="109"/>
        <w:gridCol w:w="109"/>
        <w:gridCol w:w="109"/>
        <w:gridCol w:w="433"/>
        <w:gridCol w:w="433"/>
        <w:gridCol w:w="433"/>
        <w:gridCol w:w="433"/>
        <w:gridCol w:w="433"/>
        <w:gridCol w:w="621"/>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2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Expected life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5.9</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Work Sans;sans-serif" w:hAnsi="Work Sans;sans-serif"/>
                <w:b w:val="false"/>
                <w:color w:val="000000"/>
                <w:sz w:val="18"/>
              </w:rPr>
            </w:pPr>
            <w:r>
              <w:rPr>
                <w:rFonts w:ascii="Work Sans;sans-serif" w:hAnsi="Work Sans;sans-serif"/>
                <w:b w:val="false"/>
                <w:color w:val="000000"/>
                <w:sz w:val="18"/>
              </w:rPr>
              <w:t>3.4%-3.8%</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Work Sans;sans-serif" w:hAnsi="Work Sans;sans-serif"/>
                <w:b w:val="false"/>
                <w:color w:val="000000"/>
                <w:sz w:val="18"/>
              </w:rPr>
            </w:pPr>
            <w:r>
              <w:rPr>
                <w:rFonts w:ascii="Work Sans;sans-serif" w:hAnsi="Work Sans;sans-serif"/>
                <w:b w:val="false"/>
                <w:color w:val="000000"/>
                <w:sz w:val="18"/>
              </w:rPr>
              <w:t>50.4%-50.7%</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Expected 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pPr>
      <w:r>
        <w:rPr>
          <w:rFonts w:ascii="Work Sans;sans-serif" w:hAnsi="Work Sans;sans-serif"/>
          <w:b/>
          <w:i/>
          <w:color w:val="000000"/>
          <w:sz w:val="18"/>
        </w:rPr>
        <w:t>Restricted stock units</w:t>
      </w:r>
      <w:r>
        <w:rPr>
          <w:rFonts w:ascii="Work Sans;sans-serif" w:hAnsi="Work Sans;sans-serif"/>
          <w:b/>
          <w:color w:val="000000"/>
          <w:sz w:val="18"/>
        </w:rPr>
        <w:t>.</w:t>
      </w:r>
      <w:r>
        <w:rPr>
          <w:color w:val="000000"/>
        </w:rPr>
        <w:t xml:space="preserve"> </w:t>
      </w:r>
      <w:r>
        <w:rPr>
          <w:rFonts w:ascii="Work Sans;sans-serif" w:hAnsi="Work Sans;sans-serif"/>
          <w:b w:val="false"/>
          <w:color w:val="000000"/>
          <w:sz w:val="18"/>
        </w:rPr>
        <w:t>RSUs that vest upon the satisfaction of service-based vesting conditions, which is typically over a four-year period. For these RSUs, we recognize stock-based compensation expense on a straight-line basis over the vesting period of 4 years. RSUs with performance or market conditions are recognized using graded vesting.</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assumptions that were used to calculate the grant-date fair value of our RSUs with a performance and market conditions granted during the year ended December 31, 2024, using a Monte Carlo simulation model were as follows:</w:t>
      </w:r>
    </w:p>
    <w:tbl>
      <w:tblPr>
        <w:tblW w:w="5411" w:type="dxa"/>
        <w:jc w:val="left"/>
        <w:tblInd w:w="0" w:type="dxa"/>
        <w:tblLayout w:type="fixed"/>
        <w:tblCellMar>
          <w:top w:w="28" w:type="dxa"/>
          <w:left w:w="28" w:type="dxa"/>
          <w:bottom w:w="28" w:type="dxa"/>
          <w:right w:w="28" w:type="dxa"/>
        </w:tblCellMar>
      </w:tblPr>
      <w:tblGrid>
        <w:gridCol w:w="830"/>
        <w:gridCol w:w="731"/>
        <w:gridCol w:w="734"/>
        <w:gridCol w:w="109"/>
        <w:gridCol w:w="109"/>
        <w:gridCol w:w="109"/>
        <w:gridCol w:w="816"/>
        <w:gridCol w:w="816"/>
        <w:gridCol w:w="1157"/>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life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Work Sans;sans-serif" w:hAnsi="Work Sans;sans-serif"/>
                <w:b w:val="false"/>
                <w:color w:val="000000"/>
                <w:sz w:val="18"/>
              </w:rPr>
            </w:pPr>
            <w:r>
              <w:rPr>
                <w:rFonts w:ascii="Work Sans;sans-serif" w:hAnsi="Work Sans;sans-serif"/>
                <w:b w:val="false"/>
                <w:color w:val="000000"/>
                <w:sz w:val="18"/>
              </w:rPr>
              <w:t>0.4-0.8</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Work Sans;sans-serif" w:hAnsi="Work Sans;sans-serif"/>
                <w:b w:val="false"/>
                <w:color w:val="000000"/>
                <w:sz w:val="18"/>
              </w:rPr>
            </w:pPr>
            <w:r>
              <w:rPr>
                <w:rFonts w:ascii="Work Sans;sans-serif" w:hAnsi="Work Sans;sans-serif"/>
                <w:b w:val="false"/>
                <w:color w:val="000000"/>
                <w:sz w:val="18"/>
              </w:rPr>
              <w:t>5.2%-5.4%</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Work Sans;sans-serif" w:hAnsi="Work Sans;sans-serif"/>
                <w:b w:val="false"/>
                <w:color w:val="000000"/>
                <w:sz w:val="18"/>
              </w:rPr>
            </w:pPr>
            <w:r>
              <w:rPr>
                <w:rFonts w:ascii="Work Sans;sans-serif" w:hAnsi="Work Sans;sans-serif"/>
                <w:b w:val="false"/>
                <w:color w:val="000000"/>
                <w:sz w:val="18"/>
              </w:rPr>
              <w:t>47.4%-66.1%</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assumptions that were used to calculate the grant-date fair value of the RSUs with a market vesting condition granted in July 2024 using a Monte Carlo simulation model were as follows:</w:t>
      </w:r>
    </w:p>
    <w:tbl>
      <w:tblPr>
        <w:tblW w:w="5412" w:type="dxa"/>
        <w:jc w:val="left"/>
        <w:tblInd w:w="0" w:type="dxa"/>
        <w:tblLayout w:type="fixed"/>
        <w:tblCellMar>
          <w:top w:w="28" w:type="dxa"/>
          <w:left w:w="28" w:type="dxa"/>
          <w:bottom w:w="28" w:type="dxa"/>
          <w:right w:w="28" w:type="dxa"/>
        </w:tblCellMar>
      </w:tblPr>
      <w:tblGrid>
        <w:gridCol w:w="830"/>
        <w:gridCol w:w="731"/>
        <w:gridCol w:w="734"/>
        <w:gridCol w:w="109"/>
        <w:gridCol w:w="109"/>
        <w:gridCol w:w="109"/>
        <w:gridCol w:w="569"/>
        <w:gridCol w:w="569"/>
        <w:gridCol w:w="1652"/>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life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4.2 </w:t>
            </w:r>
          </w:p>
        </w:tc>
        <w:tc>
          <w:tcPr>
            <w:tcW w:w="1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59.4 </w:t>
            </w:r>
          </w:p>
        </w:tc>
        <w:tc>
          <w:tcPr>
            <w:tcW w:w="1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assumptions that were used to calculate the grant-date fair value of the RSUs with a market vesting condition granted in November 2024 using a Monte Carlo simulation model were as follows:</w:t>
      </w:r>
    </w:p>
    <w:tbl>
      <w:tblPr>
        <w:tblW w:w="5412" w:type="dxa"/>
        <w:jc w:val="left"/>
        <w:tblInd w:w="0" w:type="dxa"/>
        <w:tblLayout w:type="fixed"/>
        <w:tblCellMar>
          <w:top w:w="28" w:type="dxa"/>
          <w:left w:w="28" w:type="dxa"/>
          <w:bottom w:w="28" w:type="dxa"/>
          <w:right w:w="28" w:type="dxa"/>
        </w:tblCellMar>
      </w:tblPr>
      <w:tblGrid>
        <w:gridCol w:w="830"/>
        <w:gridCol w:w="731"/>
        <w:gridCol w:w="734"/>
        <w:gridCol w:w="109"/>
        <w:gridCol w:w="109"/>
        <w:gridCol w:w="109"/>
        <w:gridCol w:w="569"/>
        <w:gridCol w:w="569"/>
        <w:gridCol w:w="1652"/>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life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4.2 </w:t>
            </w:r>
          </w:p>
        </w:tc>
        <w:tc>
          <w:tcPr>
            <w:tcW w:w="1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60.9 </w:t>
            </w:r>
          </w:p>
        </w:tc>
        <w:tc>
          <w:tcPr>
            <w:tcW w:w="1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33350"/>
                <wp:effectExtent l="0" t="0" r="0" b="0"/>
                <wp:wrapNone/>
                <wp:docPr id="60" name="Frame5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7A. Quantitative and Qualitative Disclosures About Market Risk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operations both within the U.S. and, to a lesser extent, in the U.K., and we are exposed to market risks in the ordinary course of our business. These risks include primarily interest rate fluctuations and foreign currency exchange risks, and to a lesser extent, inflation risk.</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Interest rate fluctuation risk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At December 31, 2025 and 2024, we had cash and cash equivalents of $203.1 million and $142.1 million, respectively, which consisted of cash on deposit with banks and in short-term highly-liquid money market funds. Interest-earning instruments carry a degree of interest rate risk. To date, fluctuations in interest income have not been significant.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had no outstanding debt subject to interest rate risk as of December 31, 2025 and 2024, and, as a result, we do not expect to be exposed to fluctuations in interest rates for the foreseeable future. However, we would be subject to fluctuation in interest rates if we draw down under our Amended Revolving Facility, including issuance of any letters of credit.</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Foreign currency exchange risk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foreign currency risks related to our revenue, expenses, and intercompany balances denominated in currencies other than our functional currency, the U.S. Dollar, principally GBP. The volatility of exchange rates depends on many factors that we cannot forecast with reliable accuracy. We have experienced and will continue to experience fluctuations in our net income as a result of transaction gains and losses related to translating certain cash balances, trade accounts receivable and payable balances and intercompany loans that are denominated in currencies other than the U.S. Dollar. We recognized foreign currency transaction loss of $0.1 million in the year ended December 31, 2025. A 10% adverse change in foreign exchange rates on foreign-denominated accounts including intercompany balances, for the year ended December 31, 2025 would be immaterial. In the event our non-U.S. Dollar-denominated sales and expenses increase, our results of operations may be more greatly affected by fluctuations in the exchange rates of the currencies in which we do business. At this time, we do not, but we may in the future, enter into derivatives or other financial instruments in an attempt to hedge our foreign currency exchange risk. It is difficult to predict the impact hedging activities could have on our results of operations.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Inflation risk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To date, we do not believe that inflation has had a material effect on our business, financial condition, results of operations or future prospects. However, if our costs were to become subject to significant inflationary pressures, we may not be able to fully offset such higher costs through price increases. Our inability or failure to do so could harm our business, financial condition, results of operations and future prospects. Further, if current inflationary pressures are sustained for a prolonged period of time, the success of existing small businesses and the formation of new small businesses could continue to be adversely impacted, which could harm our business, results of operations, financial condition or future prospects.</w:t>
      </w:r>
    </w:p>
    <w:p>
      <w:pPr>
        <w:pStyle w:val="TextBody"/>
        <w:bidi w:val="0"/>
        <w:spacing w:before="360" w:after="283"/>
        <w:jc w:val="left"/>
        <w:rPr/>
      </w:pPr>
      <w:r>
        <w:rPr/>
      </w:r>
    </w:p>
    <w:p>
      <w:pPr>
        <w:pStyle w:val="TextBody"/>
        <w:bidi w:val="0"/>
        <w:spacing w:before="3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33350"/>
                <wp:effectExtent l="0" t="0" r="0" b="0"/>
                <wp:wrapNone/>
                <wp:docPr id="61" name="Frame6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Work Sans;sans-serif" w:hAnsi="Work Sans;sans-serif"/>
          <w:b/>
          <w:color w:val="000000"/>
          <w:sz w:val="18"/>
        </w:rPr>
      </w:pPr>
      <w:r>
        <w:rPr>
          <w:rFonts w:ascii="Work Sans;sans-serif" w:hAnsi="Work Sans;sans-serif"/>
          <w:b/>
          <w:color w:val="000000"/>
          <w:sz w:val="18"/>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240" w:after="283"/>
        <w:jc w:val="center"/>
        <w:rPr>
          <w:rFonts w:ascii="Work Sans;sans-serif" w:hAnsi="Work Sans;sans-serif"/>
          <w:b/>
          <w:color w:val="000000"/>
          <w:sz w:val="18"/>
        </w:rPr>
      </w:pPr>
      <w:r>
        <w:rPr>
          <w:rFonts w:ascii="Work Sans;sans-serif" w:hAnsi="Work Sans;sans-serif"/>
          <w:b/>
          <w:color w:val="000000"/>
          <w:sz w:val="18"/>
        </w:rPr>
        <w:t>INDEX TO CONSOLIDATED FINANCIAL STATEMENTS</w:t>
      </w:r>
    </w:p>
    <w:tbl>
      <w:tblPr>
        <w:tblW w:w="7425" w:type="dxa"/>
        <w:jc w:val="left"/>
        <w:tblInd w:w="0" w:type="dxa"/>
        <w:tblLayout w:type="fixed"/>
        <w:tblCellMar>
          <w:top w:w="28" w:type="dxa"/>
          <w:left w:w="28" w:type="dxa"/>
          <w:bottom w:w="28" w:type="dxa"/>
          <w:right w:w="28" w:type="dxa"/>
        </w:tblCellMar>
      </w:tblPr>
      <w:tblGrid>
        <w:gridCol w:w="2479"/>
        <w:gridCol w:w="2177"/>
        <w:gridCol w:w="2183"/>
        <w:gridCol w:w="171"/>
        <w:gridCol w:w="171"/>
        <w:gridCol w:w="244"/>
      </w:tblGrid>
      <w:tr>
        <w:trPr/>
        <w:tc>
          <w:tcPr>
            <w:tcW w:w="2479"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Page</w:t>
            </w:r>
          </w:p>
        </w:tc>
      </w:tr>
      <w:tr>
        <w:trPr/>
        <w:tc>
          <w:tcPr>
            <w:tcW w:w="683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95abc371504b0c870ec70b69a704b5_97">
              <w:r>
                <w:rPr>
                  <w:rStyle w:val="InternetLink"/>
                  <w:rFonts w:ascii="Work Sans;sans-serif" w:hAnsi="Work Sans;sans-serif"/>
                  <w:b w:val="false"/>
                  <w:color w:val="0000FF"/>
                  <w:sz w:val="18"/>
                  <w:u w:val="single"/>
                </w:rPr>
                <w:t>Report of Independent Registered Public Accounting Firm</w:t>
              </w:r>
            </w:hyperlink>
            <w:r>
              <w:rPr>
                <w:color w:val="000000"/>
              </w:rPr>
              <w:t xml:space="preserve"> </w:t>
            </w:r>
            <w:r>
              <w:rPr>
                <w:rFonts w:ascii="Work Sans;sans-serif" w:hAnsi="Work Sans;sans-serif"/>
                <w:b w:val="false"/>
                <w:color w:val="000000"/>
                <w:sz w:val="18"/>
              </w:rPr>
              <w:t>(PCAOB ID 238)</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95abc371504b0c870ec70b69a704b5_97">
              <w:r>
                <w:rPr>
                  <w:rStyle w:val="InternetLink"/>
                  <w:rFonts w:ascii="Work Sans;sans-serif" w:hAnsi="Work Sans;sans-serif"/>
                  <w:b w:val="false"/>
                  <w:color w:val="0000FF"/>
                  <w:sz w:val="18"/>
                  <w:u w:val="single"/>
                </w:rPr>
                <w:t>58</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95abc371504b0c870ec70b69a704b5_100">
              <w:r>
                <w:rPr>
                  <w:rStyle w:val="InternetLink"/>
                  <w:rFonts w:ascii="Work Sans;sans-serif" w:hAnsi="Work Sans;sans-serif"/>
                  <w:b w:val="false"/>
                  <w:color w:val="0000FF"/>
                  <w:sz w:val="18"/>
                  <w:u w:val="single"/>
                </w:rPr>
                <w:t>Audited Consolidated Financial Statements:</w:t>
              </w:r>
            </w:hyperlink>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95abc371504b0c870ec70b69a704b5_100">
              <w:r>
                <w:rPr>
                  <w:rStyle w:val="InternetLink"/>
                  <w:rFonts w:ascii="Work Sans;sans-serif" w:hAnsi="Work Sans;sans-serif"/>
                  <w:b w:val="false"/>
                  <w:color w:val="0000FF"/>
                  <w:sz w:val="18"/>
                  <w:u w:val="single"/>
                </w:rPr>
                <w:t>Consolidated Balance Sheets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95abc371504b0c870ec70b69a704b5_100">
              <w:r>
                <w:rPr>
                  <w:rStyle w:val="InternetLink"/>
                  <w:rFonts w:ascii="Work Sans;sans-serif" w:hAnsi="Work Sans;sans-serif"/>
                  <w:b w:val="false"/>
                  <w:color w:val="0000FF"/>
                  <w:sz w:val="18"/>
                  <w:u w:val="single"/>
                </w:rPr>
                <w:t>60</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95abc371504b0c870ec70b69a704b5_103">
              <w:r>
                <w:rPr>
                  <w:rStyle w:val="InternetLink"/>
                  <w:rFonts w:ascii="Work Sans;sans-serif" w:hAnsi="Work Sans;sans-serif"/>
                  <w:b w:val="false"/>
                  <w:color w:val="0000FF"/>
                  <w:sz w:val="18"/>
                  <w:u w:val="single"/>
                </w:rPr>
                <w:t>Consolidated Statements of Operations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95abc371504b0c870ec70b69a704b5_103">
              <w:r>
                <w:rPr>
                  <w:rStyle w:val="InternetLink"/>
                  <w:rFonts w:ascii="Work Sans;sans-serif" w:hAnsi="Work Sans;sans-serif"/>
                  <w:b w:val="false"/>
                  <w:color w:val="0000FF"/>
                  <w:sz w:val="18"/>
                  <w:u w:val="single"/>
                </w:rPr>
                <w:t>61</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95abc371504b0c870ec70b69a704b5_106">
              <w:r>
                <w:rPr>
                  <w:rStyle w:val="InternetLink"/>
                  <w:rFonts w:ascii="Work Sans;sans-serif" w:hAnsi="Work Sans;sans-serif"/>
                  <w:b w:val="false"/>
                  <w:color w:val="0000FF"/>
                  <w:sz w:val="18"/>
                  <w:u w:val="single"/>
                </w:rPr>
                <w:t>Consolidated Statements of Comprehensive Income</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95abc371504b0c870ec70b69a704b5_106">
              <w:r>
                <w:rPr>
                  <w:rStyle w:val="InternetLink"/>
                  <w:rFonts w:ascii="Work Sans;sans-serif" w:hAnsi="Work Sans;sans-serif"/>
                  <w:b w:val="false"/>
                  <w:color w:val="0000FF"/>
                  <w:sz w:val="18"/>
                  <w:u w:val="single"/>
                </w:rPr>
                <w:t>62</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195abc371504b0c870ec70b69a704b5_109">
              <w:r>
                <w:rPr>
                  <w:rStyle w:val="InternetLink"/>
                  <w:rFonts w:ascii="Work Sans;sans-serif" w:hAnsi="Work Sans;sans-serif"/>
                  <w:b w:val="false"/>
                  <w:color w:val="0000FF"/>
                  <w:sz w:val="18"/>
                  <w:u w:val="single"/>
                </w:rPr>
                <w:t>Consolidated Statements of Stockholders’ Equity</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95abc371504b0c870ec70b69a704b5_109">
              <w:r>
                <w:rPr>
                  <w:rStyle w:val="InternetLink"/>
                  <w:rFonts w:ascii="Work Sans;sans-serif" w:hAnsi="Work Sans;sans-serif"/>
                  <w:b w:val="false"/>
                  <w:color w:val="0000FF"/>
                  <w:sz w:val="18"/>
                  <w:u w:val="single"/>
                </w:rPr>
                <w:t>63</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95abc371504b0c870ec70b69a704b5_112">
              <w:r>
                <w:rPr>
                  <w:rStyle w:val="InternetLink"/>
                  <w:rFonts w:ascii="Work Sans;sans-serif" w:hAnsi="Work Sans;sans-serif"/>
                  <w:b w:val="false"/>
                  <w:color w:val="0000FF"/>
                  <w:sz w:val="18"/>
                  <w:u w:val="single"/>
                </w:rPr>
                <w:t>Consolidated Statements of Cash Flows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95abc371504b0c870ec70b69a704b5_112">
              <w:r>
                <w:rPr>
                  <w:rStyle w:val="InternetLink"/>
                  <w:rFonts w:ascii="Work Sans;sans-serif" w:hAnsi="Work Sans;sans-serif"/>
                  <w:b w:val="false"/>
                  <w:color w:val="0000FF"/>
                  <w:sz w:val="18"/>
                  <w:u w:val="single"/>
                </w:rPr>
                <w:t>64</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95abc371504b0c870ec70b69a704b5_115">
              <w:r>
                <w:rPr>
                  <w:rStyle w:val="InternetLink"/>
                  <w:rFonts w:ascii="Work Sans;sans-serif" w:hAnsi="Work Sans;sans-serif"/>
                  <w:b w:val="false"/>
                  <w:color w:val="0000FF"/>
                  <w:sz w:val="18"/>
                  <w:u w:val="single"/>
                </w:rPr>
                <w:t>Notes to Consolidated Financial Statements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95abc371504b0c870ec70b69a704b5_115">
              <w:r>
                <w:rPr>
                  <w:rStyle w:val="InternetLink"/>
                  <w:rFonts w:ascii="Work Sans;sans-serif" w:hAnsi="Work Sans;sans-serif"/>
                  <w:b w:val="false"/>
                  <w:color w:val="0000FF"/>
                  <w:sz w:val="18"/>
                  <w:u w:val="single"/>
                </w:rPr>
                <w:t>66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33350"/>
                <wp:effectExtent l="0" t="0" r="0" b="0"/>
                <wp:wrapNone/>
                <wp:docPr id="62" name="Frame6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center"/>
        <w:rPr>
          <w:rFonts w:ascii="Work Sans;sans-serif" w:hAnsi="Work Sans;sans-serif"/>
          <w:b/>
          <w:color w:val="000000"/>
          <w:sz w:val="18"/>
        </w:rPr>
      </w:pPr>
      <w:r>
        <w:rPr>
          <w:rFonts w:ascii="Work Sans;sans-serif" w:hAnsi="Work Sans;sans-serif"/>
          <w:b/>
          <w:color w:val="000000"/>
          <w:sz w:val="18"/>
        </w:rPr>
        <w:t>Report of Independent Registered Public Accounting Firm</w:t>
      </w:r>
    </w:p>
    <w:p>
      <w:pPr>
        <w:pStyle w:val="TextBody"/>
        <w:bidi w:val="0"/>
        <w:spacing w:lineRule="auto" w:line="268" w:before="0" w:after="0"/>
        <w:jc w:val="left"/>
        <w:rPr>
          <w:rFonts w:ascii="Work Sans;sans-serif" w:hAnsi="Work Sans;sans-serif"/>
          <w:b w:val="false"/>
          <w:color w:val="000000"/>
          <w:sz w:val="18"/>
        </w:rPr>
      </w:pPr>
      <w:r>
        <w:rPr>
          <w:rFonts w:ascii="Work Sans;sans-serif" w:hAnsi="Work Sans;sans-serif"/>
          <w:b w:val="false"/>
          <w:color w:val="000000"/>
          <w:sz w:val="18"/>
        </w:rPr>
        <w:t>To the Board of Directors and Stockholders of LegalZoom.com, Inc.</w:t>
      </w:r>
    </w:p>
    <w:p>
      <w:pPr>
        <w:pStyle w:val="TextBody"/>
        <w:bidi w:val="0"/>
        <w:spacing w:before="0" w:after="0"/>
        <w:jc w:val="left"/>
        <w:rPr/>
      </w:pPr>
      <w:r>
        <w:rPr/>
      </w:r>
    </w:p>
    <w:p>
      <w:pPr>
        <w:pStyle w:val="TextBody"/>
        <w:bidi w:val="0"/>
        <w:spacing w:lineRule="auto" w:line="268" w:before="0" w:after="0"/>
        <w:jc w:val="left"/>
        <w:rPr>
          <w:rFonts w:ascii="Work Sans;sans-serif" w:hAnsi="Work Sans;sans-serif"/>
          <w:b/>
          <w:i/>
          <w:color w:val="000000"/>
          <w:sz w:val="18"/>
        </w:rPr>
      </w:pPr>
      <w:r>
        <w:rPr>
          <w:rFonts w:ascii="Work Sans;sans-serif" w:hAnsi="Work Sans;sans-serif"/>
          <w:b/>
          <w:i/>
          <w:color w:val="000000"/>
          <w:sz w:val="18"/>
        </w:rPr>
        <w:t>Opinions on the Financial Statements and Internal Control over Financial Reporting</w:t>
      </w:r>
    </w:p>
    <w:p>
      <w:pPr>
        <w:pStyle w:val="TextBody"/>
        <w:bidi w:val="0"/>
        <w:spacing w:before="0" w:after="0"/>
        <w:jc w:val="left"/>
        <w:rPr/>
      </w:pPr>
      <w:r>
        <w:rPr/>
      </w:r>
    </w:p>
    <w:p>
      <w:pPr>
        <w:pStyle w:val="TextBody"/>
        <w:bidi w:val="0"/>
        <w:spacing w:lineRule="auto" w:line="268" w:before="0" w:after="0"/>
        <w:jc w:val="left"/>
        <w:rPr/>
      </w:pPr>
      <w:r>
        <w:rPr>
          <w:rFonts w:ascii="Work Sans;sans-serif" w:hAnsi="Work Sans;sans-serif"/>
          <w:b w:val="false"/>
          <w:color w:val="000000"/>
          <w:sz w:val="18"/>
        </w:rPr>
        <w:t xml:space="preserve">We have audited the accompanying consolidated balance sheets of LegalZoom.com, Inc. and its subsidiaries (the "Company") as of December 31, 2025 and 2024, and the related consolidated statements of operations, of comprehensive income, of stockholders’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Work Sans;sans-serif" w:hAnsi="Work Sans;sans-serif"/>
          <w:b w:val="false"/>
          <w:i/>
          <w:color w:val="000000"/>
          <w:sz w:val="18"/>
        </w:rPr>
        <w:t>Internal Control - Integrated Framework</w:t>
      </w:r>
      <w:r>
        <w:rPr>
          <w:color w:val="000000"/>
        </w:rPr>
        <w:t xml:space="preserve"> </w:t>
      </w:r>
      <w:r>
        <w:rPr>
          <w:rFonts w:ascii="Work Sans;sans-serif" w:hAnsi="Work Sans;sans-serif"/>
          <w:b w:val="false"/>
          <w:color w:val="000000"/>
          <w:sz w:val="18"/>
        </w:rPr>
        <w:t>(2013) issued by the Committee of Sponsoring Organizations of the Treadway Commission (COSO).</w:t>
      </w:r>
    </w:p>
    <w:p>
      <w:pPr>
        <w:pStyle w:val="TextBody"/>
        <w:bidi w:val="0"/>
        <w:spacing w:before="0" w:after="0"/>
        <w:jc w:val="left"/>
        <w:rPr/>
      </w:pPr>
      <w:r>
        <w:rPr/>
      </w:r>
    </w:p>
    <w:p>
      <w:pPr>
        <w:pStyle w:val="TextBody"/>
        <w:bidi w:val="0"/>
        <w:spacing w:lineRule="auto" w:line="268" w:before="0" w:after="0"/>
        <w:jc w:val="left"/>
        <w:rPr/>
      </w:pPr>
      <w:r>
        <w:rPr>
          <w:rFonts w:ascii="Work Sans;sans-serif" w:hAnsi="Work Sans;sans-serif"/>
          <w:b w:val="false"/>
          <w:color w:val="000000"/>
          <w:sz w:val="18"/>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Work Sans;sans-serif" w:hAnsi="Work Sans;sans-serif"/>
          <w:b w:val="false"/>
          <w:i/>
          <w:color w:val="000000"/>
          <w:sz w:val="18"/>
        </w:rPr>
        <w:t>Internal Control - Integrated Framework</w:t>
      </w:r>
      <w:r>
        <w:rPr>
          <w:color w:val="000000"/>
        </w:rPr>
        <w:t xml:space="preserve"> </w:t>
      </w:r>
      <w:r>
        <w:rPr>
          <w:rFonts w:ascii="Work Sans;sans-serif" w:hAnsi="Work Sans;sans-serif"/>
          <w:b w:val="false"/>
          <w:color w:val="000000"/>
          <w:sz w:val="18"/>
        </w:rPr>
        <w:t>(2013) issued by the COSO.</w:t>
      </w:r>
    </w:p>
    <w:p>
      <w:pPr>
        <w:pStyle w:val="TextBody"/>
        <w:bidi w:val="0"/>
        <w:spacing w:before="0" w:after="0"/>
        <w:jc w:val="left"/>
        <w:rPr/>
      </w:pPr>
      <w:r>
        <w:rPr/>
      </w:r>
    </w:p>
    <w:p>
      <w:pPr>
        <w:pStyle w:val="TextBody"/>
        <w:bidi w:val="0"/>
        <w:spacing w:lineRule="auto" w:line="268" w:before="0" w:after="0"/>
        <w:jc w:val="left"/>
        <w:rPr>
          <w:rFonts w:ascii="Work Sans;sans-serif" w:hAnsi="Work Sans;sans-serif"/>
          <w:b/>
          <w:i/>
          <w:color w:val="000000"/>
          <w:sz w:val="18"/>
        </w:rPr>
      </w:pPr>
      <w:r>
        <w:rPr>
          <w:rFonts w:ascii="Work Sans;sans-serif" w:hAnsi="Work Sans;sans-serif"/>
          <w:b/>
          <w:i/>
          <w:color w:val="000000"/>
          <w:sz w:val="18"/>
        </w:rPr>
        <w:t>Basis for Opinions</w:t>
      </w:r>
    </w:p>
    <w:p>
      <w:pPr>
        <w:pStyle w:val="TextBody"/>
        <w:bidi w:val="0"/>
        <w:spacing w:before="0" w:after="0"/>
        <w:jc w:val="left"/>
        <w:rPr/>
      </w:pPr>
      <w:r>
        <w:rPr/>
      </w:r>
    </w:p>
    <w:p>
      <w:pPr>
        <w:pStyle w:val="TextBody"/>
        <w:bidi w:val="0"/>
        <w:spacing w:lineRule="auto" w:line="268" w:before="0" w:after="0"/>
        <w:jc w:val="left"/>
        <w:rPr>
          <w:rFonts w:ascii="Work Sans;sans-serif" w:hAnsi="Work Sans;sans-serif"/>
          <w:b w:val="false"/>
          <w:color w:val="000000"/>
          <w:sz w:val="18"/>
        </w:rPr>
      </w:pPr>
      <w:r>
        <w:rPr>
          <w:rFonts w:ascii="Work Sans;sans-serif" w:hAnsi="Work Sans;sans-serif"/>
          <w:b w:val="false"/>
          <w:color w:val="000000"/>
          <w:sz w:val="18"/>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left"/>
        <w:rPr>
          <w:rFonts w:ascii="Work Sans;sans-serif" w:hAnsi="Work Sans;sans-serif"/>
          <w:b w:val="false"/>
          <w:color w:val="000000"/>
          <w:sz w:val="18"/>
        </w:rPr>
      </w:pPr>
      <w:r>
        <w:rPr>
          <w:rFonts w:ascii="Work Sans;sans-serif" w:hAnsi="Work Sans;sans-serif"/>
          <w:b w:val="false"/>
          <w:color w:val="000000"/>
          <w:sz w:val="18"/>
        </w:rPr>
        <w:t xml:space="preserve">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 </w:t>
      </w:r>
    </w:p>
    <w:p>
      <w:pPr>
        <w:pStyle w:val="TextBody"/>
        <w:bidi w:val="0"/>
        <w:spacing w:before="0" w:after="0"/>
        <w:jc w:val="left"/>
        <w:rPr/>
      </w:pPr>
      <w:r>
        <w:rPr/>
      </w:r>
    </w:p>
    <w:p>
      <w:pPr>
        <w:pStyle w:val="TextBody"/>
        <w:bidi w:val="0"/>
        <w:spacing w:lineRule="auto" w:line="268" w:before="0" w:after="0"/>
        <w:jc w:val="left"/>
        <w:rPr>
          <w:rFonts w:ascii="Work Sans;sans-serif" w:hAnsi="Work Sans;sans-serif"/>
          <w:b w:val="false"/>
          <w:color w:val="000000"/>
          <w:sz w:val="18"/>
        </w:rPr>
      </w:pPr>
      <w:r>
        <w:rPr>
          <w:rFonts w:ascii="Work Sans;sans-serif" w:hAnsi="Work Sans;sans-serif"/>
          <w:b w:val="false"/>
          <w:color w:val="000000"/>
          <w:sz w:val="18"/>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left"/>
        <w:rPr/>
      </w:pPr>
      <w:r>
        <w:rPr/>
      </w:r>
    </w:p>
    <w:p>
      <w:pPr>
        <w:pStyle w:val="TextBody"/>
        <w:bidi w:val="0"/>
        <w:spacing w:lineRule="auto" w:line="268" w:before="0" w:after="0"/>
        <w:jc w:val="left"/>
        <w:rPr>
          <w:rFonts w:ascii="Work Sans;sans-serif" w:hAnsi="Work Sans;sans-serif"/>
          <w:b w:val="false"/>
          <w:color w:val="000000"/>
          <w:sz w:val="18"/>
        </w:rPr>
      </w:pPr>
      <w:r>
        <w:rPr>
          <w:rFonts w:ascii="Work Sans;sans-serif" w:hAnsi="Work Sans;sans-serif"/>
          <w:b w:val="false"/>
          <w:color w:val="000000"/>
          <w:sz w:val="18"/>
        </w:rPr>
        <w:t>As described in Management’s Annual Report on Internal Control over Financial Reporting, management has excluded Formation Nation, Inc. (“Formation Nation”) from its assessment of internal control over financial reporting as of December 31, 2025, because it was acquired by the Company in a purchase business combination during 2025. We have also excluded Formation Nation from our audit of internal control over financial reporting. Formation Nation is a wholly-owned subsidiary whose total assets and total revenues excluded from management’s assessment and our audit of internal control over financial reporting represent less than 1% and approximately 7%, respectively, of the related consolidated financial statement amounts as of and for the year ended December 31,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33350"/>
                <wp:effectExtent l="0" t="0" r="0" b="0"/>
                <wp:wrapNone/>
                <wp:docPr id="63" name="Frame6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Work Sans;sans-serif" w:hAnsi="Work Sans;sans-serif"/>
          <w:b/>
          <w:i/>
          <w:color w:val="000000"/>
          <w:sz w:val="18"/>
        </w:rPr>
      </w:pPr>
      <w:r>
        <w:rPr>
          <w:rFonts w:ascii="Work Sans;sans-serif" w:hAnsi="Work Sans;sans-serif"/>
          <w:b/>
          <w:i/>
          <w:color w:val="000000"/>
          <w:sz w:val="18"/>
        </w:rPr>
        <w:t>Definition and Limitations of Internal Control over Financial Reporting</w:t>
      </w:r>
    </w:p>
    <w:p>
      <w:pPr>
        <w:pStyle w:val="TextBody"/>
        <w:bidi w:val="0"/>
        <w:spacing w:before="0" w:after="0"/>
        <w:jc w:val="left"/>
        <w:rPr/>
      </w:pPr>
      <w:r>
        <w:rPr/>
      </w:r>
    </w:p>
    <w:p>
      <w:pPr>
        <w:pStyle w:val="TextBody"/>
        <w:bidi w:val="0"/>
        <w:spacing w:lineRule="auto" w:line="268" w:before="0" w:after="0"/>
        <w:jc w:val="left"/>
        <w:rPr>
          <w:rFonts w:ascii="Work Sans;sans-serif" w:hAnsi="Work Sans;sans-serif"/>
          <w:b w:val="false"/>
          <w:color w:val="000000"/>
          <w:sz w:val="18"/>
        </w:rPr>
      </w:pPr>
      <w:r>
        <w:rPr>
          <w:rFonts w:ascii="Work Sans;sans-serif" w:hAnsi="Work Sans;sans-serif"/>
          <w:b w:val="false"/>
          <w:color w:val="000000"/>
          <w:sz w:val="18"/>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68" w:before="0" w:after="0"/>
        <w:jc w:val="left"/>
        <w:rPr>
          <w:rFonts w:ascii="Work Sans;sans-serif" w:hAnsi="Work Sans;sans-serif"/>
          <w:b w:val="false"/>
          <w:color w:val="000000"/>
          <w:sz w:val="18"/>
        </w:rPr>
      </w:pPr>
      <w:r>
        <w:rPr>
          <w:rFonts w:ascii="Work Sans;sans-serif" w:hAnsi="Work Sans;sans-serif"/>
          <w:b w:val="false"/>
          <w:color w:val="000000"/>
          <w:sz w:val="18"/>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68" w:before="0" w:after="0"/>
        <w:jc w:val="left"/>
        <w:rPr>
          <w:rFonts w:ascii="Work Sans;sans-serif" w:hAnsi="Work Sans;sans-serif"/>
          <w:b/>
          <w:i/>
          <w:color w:val="000000"/>
          <w:sz w:val="18"/>
        </w:rPr>
      </w:pPr>
      <w:r>
        <w:rPr>
          <w:rFonts w:ascii="Work Sans;sans-serif" w:hAnsi="Work Sans;sans-serif"/>
          <w:b/>
          <w:i/>
          <w:color w:val="000000"/>
          <w:sz w:val="18"/>
        </w:rPr>
        <w:t>Critical Audit Matters</w:t>
      </w:r>
    </w:p>
    <w:p>
      <w:pPr>
        <w:pStyle w:val="TextBody"/>
        <w:bidi w:val="0"/>
        <w:spacing w:before="0" w:after="0"/>
        <w:jc w:val="left"/>
        <w:rPr/>
      </w:pPr>
      <w:r>
        <w:rPr/>
      </w:r>
    </w:p>
    <w:p>
      <w:pPr>
        <w:pStyle w:val="TextBody"/>
        <w:bidi w:val="0"/>
        <w:spacing w:lineRule="auto" w:line="268" w:before="0" w:after="0"/>
        <w:jc w:val="left"/>
        <w:rPr>
          <w:rFonts w:ascii="Work Sans;sans-serif" w:hAnsi="Work Sans;sans-serif"/>
          <w:b w:val="false"/>
          <w:color w:val="000000"/>
          <w:sz w:val="18"/>
        </w:rPr>
      </w:pPr>
      <w:r>
        <w:rPr>
          <w:rFonts w:ascii="Work Sans;sans-serif" w:hAnsi="Work Sans;sans-serif"/>
          <w:b w:val="false"/>
          <w:color w:val="000000"/>
          <w:sz w:val="18"/>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lineRule="auto" w:line="268" w:before="0" w:after="0"/>
        <w:jc w:val="left"/>
        <w:rPr>
          <w:rFonts w:ascii="Work Sans;sans-serif" w:hAnsi="Work Sans;sans-serif"/>
          <w:b w:val="false"/>
          <w:i/>
          <w:color w:val="000000"/>
          <w:sz w:val="18"/>
        </w:rPr>
      </w:pPr>
      <w:r>
        <w:rPr>
          <w:rFonts w:ascii="Work Sans;sans-serif" w:hAnsi="Work Sans;sans-serif"/>
          <w:b w:val="false"/>
          <w:i/>
          <w:color w:val="000000"/>
          <w:sz w:val="18"/>
        </w:rPr>
        <w:t>Revenue Recognition</w:t>
      </w:r>
    </w:p>
    <w:p>
      <w:pPr>
        <w:pStyle w:val="TextBody"/>
        <w:bidi w:val="0"/>
        <w:spacing w:before="0" w:after="0"/>
        <w:jc w:val="left"/>
        <w:rPr/>
      </w:pPr>
      <w:r>
        <w:rPr/>
      </w:r>
    </w:p>
    <w:p>
      <w:pPr>
        <w:pStyle w:val="TextBody"/>
        <w:bidi w:val="0"/>
        <w:spacing w:lineRule="auto" w:line="268" w:before="0" w:after="0"/>
        <w:jc w:val="left"/>
        <w:rPr>
          <w:rFonts w:ascii="Work Sans;sans-serif" w:hAnsi="Work Sans;sans-serif"/>
          <w:b w:val="false"/>
          <w:color w:val="000000"/>
          <w:sz w:val="18"/>
        </w:rPr>
      </w:pPr>
      <w:r>
        <w:rPr>
          <w:rFonts w:ascii="Work Sans;sans-serif" w:hAnsi="Work Sans;sans-serif"/>
          <w:b w:val="false"/>
          <w:color w:val="000000"/>
          <w:sz w:val="18"/>
        </w:rPr>
        <w:t>As described in Note 2 to the consolidated financial statements, the Company’s total consolidated revenue was $756.0 million for the year ended December 31, 2025. The Company recognizes revenue when the performance obligation is satisfied by transferring the promised good or service to the customer. For transaction-based services, revenue is generally recognized at a point-in-time when the services are delivered to the customer. For subscription-based services, revenue is generally recognized on a straight-line basis over the subscription term. Revenue earned from leads generated to third-party providers is recognized at a point-in-time when the related performance-based criteria have been met. Services can generally either be purchased on a stand-alone basis or bundled together as part of a package of services. Accordingly, a significant number of the Company’s arrangements include multiple performance obligations. The transaction price is based on the contractual amounts and is allocated to each separate performance obligation based on the amount of consideration which management expects to be entitled in exchange for the services provided.</w:t>
      </w:r>
    </w:p>
    <w:p>
      <w:pPr>
        <w:pStyle w:val="TextBody"/>
        <w:bidi w:val="0"/>
        <w:spacing w:before="0" w:after="0"/>
        <w:jc w:val="left"/>
        <w:rPr/>
      </w:pPr>
      <w:r>
        <w:rPr/>
      </w:r>
    </w:p>
    <w:p>
      <w:pPr>
        <w:pStyle w:val="TextBody"/>
        <w:bidi w:val="0"/>
        <w:spacing w:lineRule="auto" w:line="268" w:before="0" w:after="0"/>
        <w:jc w:val="left"/>
        <w:rPr>
          <w:rFonts w:ascii="Work Sans;sans-serif" w:hAnsi="Work Sans;sans-serif"/>
          <w:b w:val="false"/>
          <w:color w:val="000000"/>
          <w:sz w:val="18"/>
        </w:rPr>
      </w:pPr>
      <w:r>
        <w:rPr>
          <w:rFonts w:ascii="Work Sans;sans-serif" w:hAnsi="Work Sans;sans-serif"/>
          <w:b w:val="false"/>
          <w:color w:val="000000"/>
          <w:sz w:val="18"/>
        </w:rPr>
        <w:t>The principal consideration for our determination that performing procedures relating to revenue recognition is a critical audit matter is a high degree of auditor effort in performing procedures related to the Company’s revenue recognition.</w:t>
      </w:r>
    </w:p>
    <w:p>
      <w:pPr>
        <w:pStyle w:val="TextBody"/>
        <w:bidi w:val="0"/>
        <w:spacing w:before="0" w:after="0"/>
        <w:jc w:val="left"/>
        <w:rPr/>
      </w:pPr>
      <w:r>
        <w:rPr/>
      </w:r>
    </w:p>
    <w:p>
      <w:pPr>
        <w:pStyle w:val="TextBody"/>
        <w:bidi w:val="0"/>
        <w:spacing w:lineRule="auto" w:line="268" w:before="0" w:after="0"/>
        <w:jc w:val="left"/>
        <w:rPr>
          <w:rFonts w:ascii="Work Sans;sans-serif" w:hAnsi="Work Sans;sans-serif"/>
          <w:b w:val="false"/>
          <w:color w:val="000000"/>
          <w:sz w:val="18"/>
        </w:rPr>
      </w:pPr>
      <w:r>
        <w:rPr>
          <w:rFonts w:ascii="Work Sans;sans-serif" w:hAnsi="Work Sans;sans-serif"/>
          <w:b w:val="false"/>
          <w:color w:val="000000"/>
          <w:sz w:val="18"/>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recording of revenue at the transaction price based on contractual amounts. These procedures also included, among others, testing the revenue recognized for a sample of revenue transactions by obtaining and inspecting source documents, such as invoices, customer contracts, proof of fulfillment, and subsequent payment receipts.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/s/ PricewaterhouseCoopers LLP</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Los Angeles, California</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February 23, 2026</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We have served as the Company’s auditor since 2006.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33350"/>
                <wp:effectExtent l="0" t="0" r="0" b="0"/>
                <wp:wrapNone/>
                <wp:docPr id="64" name="Frame6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Consolidated Balance Sheets</w:t>
      </w:r>
    </w:p>
    <w:p>
      <w:pPr>
        <w:pStyle w:val="TextBody"/>
        <w:bidi w:val="0"/>
        <w:spacing w:lineRule="auto" w:line="288"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 except par values)</w:t>
      </w:r>
    </w:p>
    <w:tbl>
      <w:tblPr>
        <w:tblW w:w="10205" w:type="dxa"/>
        <w:jc w:val="left"/>
        <w:tblInd w:w="0" w:type="dxa"/>
        <w:tblLayout w:type="fixed"/>
        <w:tblCellMar>
          <w:top w:w="28" w:type="dxa"/>
          <w:left w:w="28" w:type="dxa"/>
          <w:bottom w:w="28" w:type="dxa"/>
          <w:right w:w="28" w:type="dxa"/>
        </w:tblCellMar>
      </w:tblPr>
      <w:tblGrid>
        <w:gridCol w:w="3080"/>
        <w:gridCol w:w="2096"/>
        <w:gridCol w:w="2063"/>
        <w:gridCol w:w="228"/>
        <w:gridCol w:w="958"/>
        <w:gridCol w:w="109"/>
        <w:gridCol w:w="109"/>
        <w:gridCol w:w="109"/>
        <w:gridCol w:w="109"/>
        <w:gridCol w:w="228"/>
        <w:gridCol w:w="958"/>
        <w:gridCol w:w="158"/>
      </w:tblGrid>
      <w:tr>
        <w:trPr/>
        <w:tc>
          <w:tcPr>
            <w:tcW w:w="3080"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December 31,</w:t>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Assets</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Current assets: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Cash and cash equivalents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203,100 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142,064 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 xml:space="preserve">Accounts receivable, net of allowances of $2,281 and $2,121, respectively </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8,511 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Prepaid expenses and other current assets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17,926 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Current assets held for sale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22,722 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current assets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241,923 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191,223 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Property and equipment,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58,045 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59,788 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Goodwill</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140,705 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63,318 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Intangible assets,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8,653 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Operating lease right-of-use assets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7,189 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Deferred income taxes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34,696 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Available-for-sale debt security (amortized cost of $0 and $848), respectively</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1,377 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Other assets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7,639 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assets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511,522 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373,883 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color w:val="000000"/>
                <w:sz w:val="18"/>
              </w:rPr>
            </w:pPr>
            <w:r>
              <w:rPr>
                <w:rFonts w:ascii="Work Sans;sans-serif" w:hAnsi="Work Sans;sans-serif"/>
                <w:b/>
                <w:color w:val="000000"/>
                <w:sz w:val="18"/>
              </w:rPr>
              <w:t xml:space="preserve">Liabilities and stockholders’ equity </w:t>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Current liabilities:</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Accounts payable</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31,150 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Accrued expenses and other current liabilities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83,361 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57,928 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Deferred revenue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203,653 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174,643 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Operating lease liabilities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1,861 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current liabilities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318,519 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265,582 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Operating lease liabilities, non-current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Deferred revenue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Other liabilities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8,645 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liabilities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339,640 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280,626 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Commitments and contingencies (Note 12)</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Stockholders’ equity:</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Preferred stock, $0.001 par value 100,000 shares authorized at December 31, 2025 and 2024, none issued or outstanding at December 31, 2025 and 2024</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Common stock, $0.001 par value; 1,000,000 and 1,000,000 shares authorized; 177,624 and 173,619 shares issued and outstanding at December 31, 2025 and 2024, respectively</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Additional paid-in capital</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1,305,936 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1,161,538 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Accumulated deficit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(1,134,414)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(1,069,317)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Accumulated other comprehensive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861 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 xml:space="preserve">Total stockholders’ equity </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171,882 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93,257 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color w:val="000000"/>
                <w:sz w:val="18"/>
              </w:rPr>
            </w:pPr>
            <w:r>
              <w:rPr>
                <w:rFonts w:ascii="Work Sans;sans-serif" w:hAnsi="Work Sans;sans-serif"/>
                <w:b/>
                <w:color w:val="000000"/>
                <w:sz w:val="18"/>
              </w:rPr>
              <w:t>Total liabilities and stockholders’ equity</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511,522 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373,883 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Work Sans;sans-serif" w:hAnsi="Work Sans;sans-serif"/>
          <w:b w:val="false"/>
          <w:i/>
          <w:color w:val="000000"/>
          <w:sz w:val="18"/>
        </w:rPr>
      </w:pPr>
      <w:r>
        <w:rPr>
          <w:rFonts w:ascii="Work Sans;sans-serif" w:hAnsi="Work Sans;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33350"/>
                <wp:effectExtent l="0" t="0" r="0" b="0"/>
                <wp:wrapNone/>
                <wp:docPr id="65" name="Frame6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Consolidated Statements of Operations</w:t>
      </w:r>
    </w:p>
    <w:p>
      <w:pPr>
        <w:pStyle w:val="TextBody"/>
        <w:bidi w:val="0"/>
        <w:spacing w:lineRule="auto" w:line="288"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 except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187"/>
        <w:gridCol w:w="1736"/>
        <w:gridCol w:w="1738"/>
        <w:gridCol w:w="226"/>
        <w:gridCol w:w="946"/>
        <w:gridCol w:w="109"/>
        <w:gridCol w:w="109"/>
        <w:gridCol w:w="109"/>
        <w:gridCol w:w="109"/>
        <w:gridCol w:w="226"/>
        <w:gridCol w:w="946"/>
        <w:gridCol w:w="109"/>
        <w:gridCol w:w="109"/>
        <w:gridCol w:w="109"/>
        <w:gridCol w:w="109"/>
        <w:gridCol w:w="226"/>
        <w:gridCol w:w="946"/>
        <w:gridCol w:w="156"/>
      </w:tblGrid>
      <w:tr>
        <w:trPr/>
        <w:tc>
          <w:tcPr>
            <w:tcW w:w="2187"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5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756,043 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681,881 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660,727 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257,960 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240,093 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239,263 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Gross profit</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498,083 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441,788 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421,464 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Operating expenses: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261,745 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207,684 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210,872 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81,941 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89,584 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83,181 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143,758 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108,939 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106,352 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Gain on sale of assets held for sale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566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operating expenses</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473,107 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406,207 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400,405 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Income from operations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24,976 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21,059 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Interest expense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(493)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Interest income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9,307 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Other income,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566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 xml:space="preserve">Income before income taxes </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43,083 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31,494 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Provision for income taxes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17,541 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13,953 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Net income — basic:</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15,427 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29,963 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13,953 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Net income — diluted:</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15,427 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29,963 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13,953 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Net income per share:</w:t>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Net income per share — basic:</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Net income per share — diluted:</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0.16 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0.07 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Weighted-average shares used to compute net income per share:</w:t>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Weighted-average shares used to compute net income per share — basic:</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178,798 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180,210 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190,466 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Weighted-average shares used to compute net income per share — diluted:</w:t>
            </w:r>
          </w:p>
        </w:tc>
        <w:tc>
          <w:tcPr>
            <w:tcW w:w="117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184,690 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182,865 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194,415 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Work Sans;sans-serif" w:hAnsi="Work Sans;sans-serif"/>
          <w:b w:val="false"/>
          <w:i/>
          <w:color w:val="000000"/>
          <w:sz w:val="18"/>
        </w:rPr>
      </w:pPr>
      <w:r>
        <w:rPr>
          <w:rFonts w:ascii="Work Sans;sans-serif" w:hAnsi="Work Sans;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33350"/>
                <wp:effectExtent l="0" t="0" r="0" b="0"/>
                <wp:wrapNone/>
                <wp:docPr id="66" name="Frame6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Consolidated Statements of Comprehensive Income</w:t>
      </w:r>
    </w:p>
    <w:p>
      <w:pPr>
        <w:pStyle w:val="TextBody"/>
        <w:bidi w:val="0"/>
        <w:spacing w:lineRule="auto" w:line="288"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w:t>
      </w:r>
    </w:p>
    <w:tbl>
      <w:tblPr>
        <w:tblW w:w="10205" w:type="dxa"/>
        <w:jc w:val="left"/>
        <w:tblInd w:w="0" w:type="dxa"/>
        <w:tblLayout w:type="fixed"/>
        <w:tblCellMar>
          <w:top w:w="28" w:type="dxa"/>
          <w:left w:w="28" w:type="dxa"/>
          <w:bottom w:w="28" w:type="dxa"/>
          <w:right w:w="28" w:type="dxa"/>
        </w:tblCellMar>
      </w:tblPr>
      <w:tblGrid>
        <w:gridCol w:w="2412"/>
        <w:gridCol w:w="1794"/>
        <w:gridCol w:w="1816"/>
        <w:gridCol w:w="226"/>
        <w:gridCol w:w="826"/>
        <w:gridCol w:w="109"/>
        <w:gridCol w:w="109"/>
        <w:gridCol w:w="109"/>
        <w:gridCol w:w="109"/>
        <w:gridCol w:w="226"/>
        <w:gridCol w:w="826"/>
        <w:gridCol w:w="109"/>
        <w:gridCol w:w="109"/>
        <w:gridCol w:w="109"/>
        <w:gridCol w:w="109"/>
        <w:gridCol w:w="226"/>
        <w:gridCol w:w="826"/>
        <w:gridCol w:w="155"/>
      </w:tblGrid>
      <w:tr>
        <w:trPr/>
        <w:tc>
          <w:tcPr>
            <w:tcW w:w="2412"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6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2023</w:t>
            </w:r>
          </w:p>
        </w:tc>
      </w:tr>
      <w:tr>
        <w:trPr/>
        <w:tc>
          <w:tcPr>
            <w:tcW w:w="60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Net income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13,953 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Other comprehensive (loss) income, net of tax:</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Change in foreign currency translation adjustments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(1,370)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Change in available-for-sale debt securities: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Unrealized gains,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Reclassification adjustment for net gain on available-for-sale debt securities included in net income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change in available-for-sale debt securities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602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602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602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602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60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other comprehensive (loss) income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(1,265)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comprehensive income</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14,747 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30,592 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12,688 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Work Sans;sans-serif" w:hAnsi="Work Sans;sans-serif"/>
          <w:b w:val="false"/>
          <w:i/>
          <w:color w:val="000000"/>
          <w:sz w:val="18"/>
        </w:rPr>
      </w:pPr>
      <w:r>
        <w:rPr>
          <w:rFonts w:ascii="Work Sans;sans-serif" w:hAnsi="Work Sans;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33350"/>
                <wp:effectExtent l="0" t="0" r="0" b="0"/>
                <wp:wrapNone/>
                <wp:docPr id="67" name="Frame6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Consolidated Statements of Stockholders’ Equity</w:t>
      </w:r>
    </w:p>
    <w:p>
      <w:pPr>
        <w:pStyle w:val="TextBody"/>
        <w:bidi w:val="0"/>
        <w:spacing w:lineRule="auto" w:line="288"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w:t>
      </w:r>
    </w:p>
    <w:tbl>
      <w:tblPr>
        <w:tblW w:w="11004" w:type="dxa"/>
        <w:jc w:val="left"/>
        <w:tblInd w:w="0" w:type="dxa"/>
        <w:tblLayout w:type="fixed"/>
        <w:tblCellMar>
          <w:top w:w="28" w:type="dxa"/>
          <w:left w:w="28" w:type="dxa"/>
          <w:bottom w:w="28" w:type="dxa"/>
          <w:right w:w="28" w:type="dxa"/>
        </w:tblCellMar>
      </w:tblPr>
      <w:tblGrid>
        <w:gridCol w:w="670"/>
        <w:gridCol w:w="272"/>
        <w:gridCol w:w="274"/>
        <w:gridCol w:w="109"/>
        <w:gridCol w:w="109"/>
        <w:gridCol w:w="109"/>
        <w:gridCol w:w="240"/>
        <w:gridCol w:w="240"/>
        <w:gridCol w:w="368"/>
        <w:gridCol w:w="368"/>
        <w:gridCol w:w="241"/>
        <w:gridCol w:w="109"/>
        <w:gridCol w:w="109"/>
        <w:gridCol w:w="109"/>
        <w:gridCol w:w="231"/>
        <w:gridCol w:w="496"/>
        <w:gridCol w:w="129"/>
        <w:gridCol w:w="225"/>
        <w:gridCol w:w="225"/>
        <w:gridCol w:w="226"/>
        <w:gridCol w:w="196"/>
        <w:gridCol w:w="871"/>
        <w:gridCol w:w="109"/>
        <w:gridCol w:w="109"/>
        <w:gridCol w:w="109"/>
        <w:gridCol w:w="109"/>
        <w:gridCol w:w="196"/>
        <w:gridCol w:w="941"/>
        <w:gridCol w:w="109"/>
        <w:gridCol w:w="109"/>
        <w:gridCol w:w="109"/>
        <w:gridCol w:w="109"/>
        <w:gridCol w:w="249"/>
        <w:gridCol w:w="707"/>
        <w:gridCol w:w="140"/>
        <w:gridCol w:w="109"/>
        <w:gridCol w:w="109"/>
        <w:gridCol w:w="109"/>
        <w:gridCol w:w="196"/>
        <w:gridCol w:w="751"/>
        <w:gridCol w:w="109"/>
        <w:gridCol w:w="109"/>
        <w:gridCol w:w="109"/>
        <w:gridCol w:w="109"/>
        <w:gridCol w:w="109"/>
        <w:gridCol w:w="154"/>
      </w:tblGrid>
      <w:tr>
        <w:trPr/>
        <w:tc>
          <w:tcPr>
            <w:tcW w:w="67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4"/>
              </w:rPr>
            </w:pPr>
            <w:r>
              <w:rPr>
                <w:rFonts w:ascii="Work Sans;sans-serif" w:hAnsi="Work Sans;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Work Sans;sans-serif" w:hAnsi="Work Sans;sans-serif"/>
                <w:b/>
                <w:color w:val="000000"/>
                <w:sz w:val="14"/>
              </w:rPr>
            </w:pPr>
            <w:r>
              <w:rPr>
                <w:rFonts w:ascii="Work Sans;sans-serif" w:hAnsi="Work Sans;sans-serif"/>
                <w:b/>
                <w:color w:val="000000"/>
                <w:sz w:val="14"/>
              </w:rPr>
              <w:t>Additional</w:t>
              <w:br/>
              <w:t>Paid-In</w:t>
              <w:br/>
              <w:t>Capital</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Work Sans;sans-serif" w:hAnsi="Work Sans;sans-serif"/>
                <w:b/>
                <w:color w:val="000000"/>
                <w:sz w:val="14"/>
              </w:rPr>
            </w:pPr>
            <w:r>
              <w:rPr>
                <w:rFonts w:ascii="Work Sans;sans-serif" w:hAnsi="Work Sans;sans-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Work Sans;sans-serif" w:hAnsi="Work Sans;sans-serif"/>
                <w:b/>
                <w:color w:val="000000"/>
                <w:sz w:val="14"/>
              </w:rPr>
            </w:pPr>
            <w:r>
              <w:rPr>
                <w:rFonts w:ascii="Work Sans;sans-serif" w:hAnsi="Work Sans;sans-serif"/>
                <w:b/>
                <w:color w:val="000000"/>
                <w:sz w:val="14"/>
              </w:rPr>
              <w:t>Accumulated</w:t>
              <w:br/>
              <w:t>Other</w:t>
              <w:br/>
              <w:t>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Work Sans;sans-serif" w:hAnsi="Work Sans;sans-serif"/>
                <w:b/>
                <w:color w:val="000000"/>
                <w:sz w:val="14"/>
              </w:rPr>
            </w:pPr>
            <w:r>
              <w:rPr>
                <w:rFonts w:ascii="Work Sans;sans-serif" w:hAnsi="Work Sans;sans-serif"/>
                <w:b/>
                <w:color w:val="000000"/>
                <w:sz w:val="14"/>
              </w:rPr>
              <w:t>Total</w:t>
              <w:br/>
              <w:t>Stockholders’</w:t>
              <w:br/>
              <w:t>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4"/>
              </w:rPr>
            </w:pPr>
            <w:r>
              <w:rPr>
                <w:rFonts w:ascii="Work Sans;sans-serif" w:hAnsi="Work Sans;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6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4"/>
              </w:rPr>
            </w:pPr>
            <w:r>
              <w:rPr>
                <w:rFonts w:ascii="Work Sans;sans-serif" w:hAnsi="Work Sans;sans-serif"/>
                <w:b/>
                <w:color w:val="000000"/>
                <w:sz w:val="14"/>
              </w:rPr>
              <w:t>Amount</w:t>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4"/>
              </w:rPr>
            </w:pPr>
            <w:r>
              <w:rPr>
                <w:rFonts w:ascii="Work Sans;sans-serif" w:hAnsi="Work Sans;sans-serif"/>
                <w:b/>
                <w:color w:val="000000"/>
                <w:sz w:val="14"/>
              </w:rPr>
              <w:t>Balance at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190,822 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190 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1,032,550 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(891,862)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1,497 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142,375 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Issuance of common stock upon exercise of stock options and ESPP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976 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8,444 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8,445 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Issuance of common stock upon vesting of restricted stock unit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3,438 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Shares surrendered for settlement of minimum statutory tax withholdings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(829)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(9,587)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(9,587)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70,071 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70,071 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Repurchase and retirement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(5,868)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(54,867)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(54,873)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Stock repurchase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Stock repurchase excise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(1,265)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13,953 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13,953 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4"/>
              </w:rPr>
            </w:pPr>
            <w:r>
              <w:rPr>
                <w:rFonts w:ascii="Work Sans;sans-serif" w:hAnsi="Work Sans;sans-serif"/>
                <w:b/>
                <w:color w:val="000000"/>
                <w:sz w:val="14"/>
              </w:rPr>
              <w:t>Balance at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188,538 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189 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1,101,474 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(933,061)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232 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168,834 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Issuance of common stock upon exercise of stock options and ESPP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651 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Issuance of common stock upon vesting of restricted stock unit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5,875 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Shares surrendered for settlement of minimum statutory tax withholdings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(2,217)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(19,820)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(19,822)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77,477 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77,477 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Repurchase and retirement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(19,228)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(164,972)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(164,991)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Stock repurchase excise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629 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29,963 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29,963 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4"/>
              </w:rPr>
            </w:pPr>
            <w:r>
              <w:rPr>
                <w:rFonts w:ascii="Work Sans;sans-serif" w:hAnsi="Work Sans;sans-serif"/>
                <w:b/>
                <w:color w:val="000000"/>
                <w:sz w:val="14"/>
              </w:rPr>
              <w:t>Balance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173,619 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175 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1,161,538 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(1,069,317)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861 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93,257 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Issuance of common stock upon exercise of stock options and ESPP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4,749 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45,773 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45,778 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Issuance of common stock upon vesting of restricted stock unit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9,443 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Issuance of common stock for acquisition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2,205 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20,045 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20,047 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Shares surrendered for settlement of minimum statutory tax withholdings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(4,102)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(40,383)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(40,387)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118,972 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118,972 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Repurchase and retirement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(8,290)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(80,524)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(80,532)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(680)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(680)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15,427 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15,427 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4"/>
              </w:rPr>
            </w:pPr>
            <w:r>
              <w:rPr>
                <w:rFonts w:ascii="Work Sans;sans-serif" w:hAnsi="Work Sans;sans-serif"/>
                <w:b/>
                <w:color w:val="000000"/>
                <w:sz w:val="14"/>
              </w:rPr>
              <w:t>Balance at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177,624 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179 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1,305,936 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(1,134,414)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181 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171,882 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Work Sans;sans-serif" w:hAnsi="Work Sans;sans-serif"/>
          <w:b w:val="false"/>
          <w:i/>
          <w:color w:val="000000"/>
          <w:sz w:val="18"/>
        </w:rPr>
      </w:pPr>
      <w:r>
        <w:rPr>
          <w:rFonts w:ascii="Work Sans;sans-serif" w:hAnsi="Work Sans;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33350"/>
                <wp:effectExtent l="0" t="0" r="0" b="0"/>
                <wp:wrapNone/>
                <wp:docPr id="68" name="Frame6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Consolidated Statements of Cash Flows</w:t>
      </w:r>
    </w:p>
    <w:p>
      <w:pPr>
        <w:pStyle w:val="TextBody"/>
        <w:bidi w:val="0"/>
        <w:spacing w:lineRule="auto" w:line="288"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w:t>
      </w:r>
    </w:p>
    <w:tbl>
      <w:tblPr>
        <w:tblW w:w="10205" w:type="dxa"/>
        <w:jc w:val="left"/>
        <w:tblInd w:w="0" w:type="dxa"/>
        <w:tblLayout w:type="fixed"/>
        <w:tblCellMar>
          <w:top w:w="28" w:type="dxa"/>
          <w:left w:w="28" w:type="dxa"/>
          <w:bottom w:w="28" w:type="dxa"/>
          <w:right w:w="28" w:type="dxa"/>
        </w:tblCellMar>
      </w:tblPr>
      <w:tblGrid>
        <w:gridCol w:w="2303"/>
        <w:gridCol w:w="1854"/>
        <w:gridCol w:w="1864"/>
        <w:gridCol w:w="226"/>
        <w:gridCol w:w="826"/>
        <w:gridCol w:w="109"/>
        <w:gridCol w:w="109"/>
        <w:gridCol w:w="109"/>
        <w:gridCol w:w="109"/>
        <w:gridCol w:w="226"/>
        <w:gridCol w:w="826"/>
        <w:gridCol w:w="109"/>
        <w:gridCol w:w="109"/>
        <w:gridCol w:w="109"/>
        <w:gridCol w:w="109"/>
        <w:gridCol w:w="226"/>
        <w:gridCol w:w="826"/>
        <w:gridCol w:w="156"/>
      </w:tblGrid>
      <w:tr>
        <w:trPr/>
        <w:tc>
          <w:tcPr>
            <w:tcW w:w="2303"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6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Cash flows from operating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13,953 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Adjustments to reconcile net income to net cash provided by operating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Depreciation and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25,383 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Amortization of debt issuance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Amortization of right-of-use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Stock-based compensation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113,708 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71,510 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66,015 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Gain on sale of assets held for sale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Change in fair value of other equity security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Gain on sale of available-for-sale debt security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Deferred income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Change in fair value of contingent consideration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Unrealized foreign exchange loss (gain)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(1,387)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Non-cash interest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(39)</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Changes in operating assets and liabilities, net of effects of business combination:</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Accounts receivable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Prepaid expenses and other current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Accounts payable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5,025 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Accrued expenses and other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Operating lease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Income tax payable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Deferred revenue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cash provided by operating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178,197 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135,639 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124,308 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Cash flows from investing activities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Acquisitions, net of cash acquired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Purchase of property and equipment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(31,593)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Proceeds from sale of available-for-sale debt security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Proceeds from sale of assets held for sale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cash used in investing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(40,077)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(35,696)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(31,555)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Cash flows from financing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Repayment of finance lease obligations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Payment of debt issuance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Repurchase of common stock</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(80,532)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(165,014)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(54,873)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Payment of share repurchase excise taxes and repurchase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33350"/>
                <wp:effectExtent l="0" t="0" r="0" b="0"/>
                <wp:wrapNone/>
                <wp:docPr id="69" name="Frame6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64</w:t>
                      </w:r>
                    </w:p>
                  </w:txbxContent>
                </v:textbox>
                <w10:wrap type="none"/>
              </v:rect>
            </w:pict>
          </mc:Fallback>
        </mc:AlternateContent>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Consolidated Statements of Cash Flows (continued)</w:t>
      </w:r>
    </w:p>
    <w:p>
      <w:pPr>
        <w:pStyle w:val="TextBody"/>
        <w:bidi w:val="0"/>
        <w:spacing w:lineRule="auto" w:line="288"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w:t>
      </w:r>
    </w:p>
    <w:tbl>
      <w:tblPr>
        <w:tblW w:w="10205" w:type="dxa"/>
        <w:jc w:val="left"/>
        <w:tblInd w:w="0" w:type="dxa"/>
        <w:tblLayout w:type="fixed"/>
        <w:tblCellMar>
          <w:top w:w="28" w:type="dxa"/>
          <w:left w:w="28" w:type="dxa"/>
          <w:bottom w:w="28" w:type="dxa"/>
          <w:right w:w="28" w:type="dxa"/>
        </w:tblCellMar>
      </w:tblPr>
      <w:tblGrid>
        <w:gridCol w:w="2117"/>
        <w:gridCol w:w="1770"/>
        <w:gridCol w:w="1775"/>
        <w:gridCol w:w="226"/>
        <w:gridCol w:w="946"/>
        <w:gridCol w:w="109"/>
        <w:gridCol w:w="109"/>
        <w:gridCol w:w="109"/>
        <w:gridCol w:w="109"/>
        <w:gridCol w:w="226"/>
        <w:gridCol w:w="946"/>
        <w:gridCol w:w="109"/>
        <w:gridCol w:w="109"/>
        <w:gridCol w:w="109"/>
        <w:gridCol w:w="109"/>
        <w:gridCol w:w="226"/>
        <w:gridCol w:w="946"/>
        <w:gridCol w:w="155"/>
      </w:tblGrid>
      <w:tr>
        <w:trPr/>
        <w:tc>
          <w:tcPr>
            <w:tcW w:w="2117"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5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ind w:left="0" w:right="0" w:hanging="180"/>
              <w:jc w:val="center"/>
              <w:rPr>
                <w:rFonts w:ascii="Work Sans;sans-serif" w:hAnsi="Work Sans;sans-serif"/>
                <w:b/>
                <w:color w:val="000000"/>
                <w:sz w:val="18"/>
              </w:rPr>
            </w:pPr>
            <w:r>
              <w:rPr>
                <w:rFonts w:ascii="Work Sans;sans-serif" w:hAnsi="Work Sans;sans-serif"/>
                <w:b/>
                <w:color w:val="000000"/>
                <w:sz w:val="18"/>
              </w:rPr>
              <w:t>2023</w:t>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Shares surrendered for settlement of minimum statutory tax withholding</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(9,587)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Proceeds from issuance of stock under employee stock plans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8,445 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cash used in financing activities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(77,256)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(183,285)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(56,150)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Effect of exchange rate changes on cash and cash equivalents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increase (decrease) in cash and cash equivalents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(83,655)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36,637 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Cash and cash equivalents, at beginning of the period</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142,064 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225,719 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189,082 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Cash and cash equivalents, at end of the period</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203,100 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142,064 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225,719 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color w:val="000000"/>
                <w:sz w:val="18"/>
              </w:rPr>
            </w:pPr>
            <w:r>
              <w:rPr>
                <w:rFonts w:ascii="Work Sans;sans-serif" w:hAnsi="Work Sans;sans-serif"/>
                <w:b/>
                <w:color w:val="000000"/>
                <w:sz w:val="18"/>
              </w:rPr>
              <w:t>Reconciliation of cash and cash equivalents in the consolidated balance sheets</w:t>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Cash and cash equivalents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142,064 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225,719 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5662"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Non-cash operating, investing, and financing activities:</w:t>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Right of use assets obtained in exchange of operating lease liabilities (excluding right-of-use assets acquired as part of business acquisition)</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Capitalized stock-based compensation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4,056 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Purchase of property and equipment included in accounts payable and accrued expenses and other current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5662"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5662"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Issuance of common stock for acquisition consideration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Accrued stock repurchase excise tax</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Acquisition related deferred consideration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Work Sans;sans-serif" w:hAnsi="Work Sans;sans-serif"/>
          <w:b w:val="false"/>
          <w:i/>
          <w:color w:val="000000"/>
          <w:sz w:val="18"/>
        </w:rPr>
      </w:pPr>
      <w:r>
        <w:rPr>
          <w:rFonts w:ascii="Work Sans;sans-serif" w:hAnsi="Work Sans;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33350"/>
                <wp:effectExtent l="0" t="0" r="0" b="0"/>
                <wp:wrapNone/>
                <wp:docPr id="70" name="Frame6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 Description of the Business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LegalZoom.com, Inc. was initially formed as a California corporation in 1999 and reincorporated as a Delaware corporation in 2007. LegalZoom.com, Inc., and its wholly owned subsidiaries, are referred to herein as the “Company”, “we,” “us,” or “our”.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LegalZoom.com, Inc. is a leading online platform for legal services, transforming how individuals and small businesses navigate the legal system. By combining intuitive technology with access to experienced attorneys—whether through our vast independent attorney network or our own law firm—we offer the tools and guidance people need to confidently manage everything from business formation and compliance to intellectual property protection and ongoing business management and legal support. With over two decades of experience and millions of customers served, LegalZoom, Inc. helps individuals and small businesses navigate legal needs with confidence.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On February 10, 2025, we acquired all of the outstanding equity interests of Formation Nation, a small business services company with a range of legal and business solutions, for a total consideration of $83.2 million consisting of cash, net working capital adjustments and equity consideration comprising 2,205,445 restricted shares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2. Summary of Significant Accounting Policies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 summary of the significant accounting policies we follow in the preparation of the accompanying consolidated financial statements is set forth below.</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Basis of Presentation and Consolidation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accompanying consolidated financial statements are presented in accordance with accounting principles generally accepted in the United States of America, or GAAP. All intercompany balances and transactions have been eliminated in consolidation.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On occasion, we enter into relationships or investments with other entities that may be a variable interest entity, or VIE. We analyze our interests, including agreements, loans, guarantees, and equity investments on a periodic basis to determine if such interests are variable interests. If variable interests are identified, then the related entity is assessed to determine if it is a VIE. If we determine that the entity is a VIE, we then assess if we must consolidate the VIE as the primary beneficiary. Our determination of whether we are the primary beneficiary is based upon qualitative and quantitative analyses, which assess the purpose and design of the VIE, the nature of the VIE’s risks and the risks that we absorb, the power to direct activities that most significantly impact the economic performance of the VIE, and the obligation to absorb losses or the right to receive benefits that could be significant to the VIE.</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Use of Estimates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preparation of financial statements in conformity with GAAP requires estimates and assumptions that affect the reported amounts of assets and liabilities, revenue and expenses, and related disclosures of contingent liabilities in the consolidated financial statements and accompanying notes. Estimates are used for, however not limited to, revenue recognition, sales allowances and expected credit loss allowances, available-for-sale debt security, other equity security, recoverability of long-lived assets and goodwill, income taxes, commitments and contingencies, valuation of assets and liabilities acquired in business combinations, and fair value of stock-based compensation. Actual results could differ materially from those estimates. On an ongoing basis, we evaluate the estimates compared to historical experience and other factors including the current economic and regulatory environment, which form the basis for our judgments about the carrying value of assets and liabilities.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Business Combinations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results of businesses acquired in a business combination are included in our consolidated financial statements from the date of the acquisition. Purchase accounting results in assets and liabilities of an acquired business being recorded at their estimated fair values on the acquisition date. Any excess purchase consideration over the fair value of assets acquired and liabilities assumed is recognized as goodwill.</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perform valuations of assets acquired and liabilities assumed for an acquisition and allocate the purchase price to their respective net tangible and intangible assets. Determining the fair value of assets acquired and liabilities assumed requires management to use judgment and estimates, including the selection of valuation methodologies, estimates of cash flows, discount rates and selection of comparable companies.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33350"/>
                <wp:effectExtent l="0" t="0" r="0" b="0"/>
                <wp:wrapNone/>
                <wp:docPr id="71" name="Frame7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We generally engage the assistance of a third-party valuation firm in determining fair values of assets acquired and liabilities assumed and contingent consideration, if any, in a business combination.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Transaction costs associated with business combinations are expensed as incurred and are included in general and administrative expenses in the consolidated statements of operations.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Segment and Geographic Information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Chief Executive Officer, as the Chief Operating Decision Maker, or CODM, organizes our company, manages resource allocations, and measures performance on the basis of our one operating segment. Refer to Note 21 to our consolidated financial statements. </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Foreign Currency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British Pound Sterling is the functional currency for our foreign subsidiaries domiciled in the U.K. The financial statements of these foreign subsidiaries are translated to U.S. Dollars using period-end rates of exchange for assets and liabilities, historical rates of exchange for equity, and average rates of exchange for the period for revenue and expenses. Translation gains and losses are recorded in accumulated other comprehensive income as a component of our consolidated statements of stockholders’ equity. We recognized foreign currency transaction loss in the consolidated statement of operations of $0.1 million for 2025, a loss of $0.6 million for 2024, and a gain of $1.4 million for 2023.</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Fair Value Measurements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Fair value is defined as the price that would be received from selling an asset, or paid to transfer a liability, in an orderly transaction between market participants at the measurement date.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tbl>
      <w:tblPr>
        <w:tblW w:w="10205" w:type="dxa"/>
        <w:jc w:val="left"/>
        <w:tblInd w:w="0" w:type="dxa"/>
        <w:tblLayout w:type="fixed"/>
        <w:tblCellMar>
          <w:top w:w="28" w:type="dxa"/>
          <w:left w:w="28" w:type="dxa"/>
          <w:bottom w:w="28" w:type="dxa"/>
          <w:right w:w="28" w:type="dxa"/>
        </w:tblCellMar>
      </w:tblPr>
      <w:tblGrid>
        <w:gridCol w:w="363"/>
        <w:gridCol w:w="319"/>
        <w:gridCol w:w="324"/>
        <w:gridCol w:w="2861"/>
        <w:gridCol w:w="2613"/>
        <w:gridCol w:w="3725"/>
      </w:tblGrid>
      <w:tr>
        <w:trPr/>
        <w:tc>
          <w:tcPr>
            <w:tcW w:w="36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861"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Level 1 —</w:t>
            </w:r>
          </w:p>
        </w:tc>
        <w:tc>
          <w:tcPr>
            <w:tcW w:w="9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Quoted prices in active markets for identical assets and liabilities.</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Level 2 —</w:t>
            </w:r>
          </w:p>
        </w:tc>
        <w:tc>
          <w:tcPr>
            <w:tcW w:w="91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Quoted prices for identical assets and liabilities in markets that are not active, quoted prices for similar assets and liabilities in active markets or financial instruments for which significant inputs are observable, either directly or indirectly.</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Level 3 —</w:t>
            </w:r>
          </w:p>
        </w:tc>
        <w:tc>
          <w:tcPr>
            <w:tcW w:w="91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Unobservable inputs that are supported by little or no market activity and that are significant to the fair value of the assets or liabilities.</w:t>
            </w:r>
          </w:p>
        </w:tc>
      </w:tr>
    </w:tbl>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At December 31, 2025, our financial assets recorded at fair value on a recurring basis consist of cash equivalents. At December 31, 2024 our financial assets recorded at fair value on a recurring basis consist of cash equivalents and an available-for-sale debt security. The cash equivalent consists of money market funds valued using quoted prices in active markets, which represents Level 1 inputs in the fair value hierarchy. The available-for-sale debt security is valued using a Monte Carlo simulation, which include inputs that represent Level 3 inputs in the fair value hierarchy.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carrying amounts of accounts receivable, accounts payable and accrued expenses and other current liabilities approximate fair values because of the short-term nature of these items. </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Concentrations of Credit Risk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maintain accounts in the U.S. banks with funds insured by the Federal Deposit Insurance Corporation, or FDIC. Our bank accounts may, at times, exceed the FDIC insured limits. Financial instruments that potentially subject us to credit risk consist principally of cash and cash equivalents. Management believes that we are not exposed to any significant credit risk related to our cash or cash equivalents and have not experienced any losses in such accounts.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Due to a large and diverse customer base, no individual customer represented more than 10% of total revenue in December 31, 2025, 2024 or 2023. At December 31, 2025, there was one partner with an outstanding balance of 10% or more of our total accounts receivable balance. At December 31, 2024, there were no customers with an outstanding balance of 10% or more of our total accounts receivable balance. </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Cash and Cash Equivalents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Cash and cash equivalents consist of highly liquid investments with original maturities of ninety days or less at the date of purchase. At December 31, 2025 and 2024, our cash consisted of bank account deposits and our cash equivalents consisted of $180.8 million and $114.7 million, respectively, invested in money market 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33350"/>
                <wp:effectExtent l="0" t="0" r="0" b="0"/>
                <wp:wrapNone/>
                <wp:docPr id="72" name="Frame7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Accounts Receivable and Allowance for Credit Losses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accounts receivable balances, which are not collateralized and do not bear interest, primarily consist of amounts receivable from our credit and debit card merchant processors, customer receivables, and fees due from third parties for services purchased by our customers from such third parties. We reduce our accounts receivable for sales allowances and a reserve for potentially uncollectible receivables. We determine the amount of the allowances based on various factors, including historical collection experience, the age of the accounts receivable balances, credit quality of our customers, current economic conditions, reasonable and supportable forecasts of future economic conditions, and other factors that may affect our ability to collect from customers. Account balances are charged off against the allowance when we determine that it is not probable we will collect the receivable. At December 31, 2025 and 2024, the allowance for credit losses was not material.</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Property and Equipment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Property and equipment are stated at cost, less accumulated depreciation. Repairs and maintenance are expensed as incurred whereas significant renewals and enhancements are capitalized. When assets are retired or otherwise disposed of, the cost and the related accumulated depreciation are removed from the respective accounts and any resulting gain or loss is reflected in our results of operations. Depreciation is calculated using the straight-line method over the estimated useful lives of the related assets as follows:</w:t>
      </w:r>
    </w:p>
    <w:tbl>
      <w:tblPr>
        <w:tblW w:w="7364" w:type="dxa"/>
        <w:jc w:val="left"/>
        <w:tblInd w:w="0" w:type="dxa"/>
        <w:tblLayout w:type="fixed"/>
        <w:tblCellMar>
          <w:top w:w="28" w:type="dxa"/>
          <w:left w:w="28" w:type="dxa"/>
          <w:bottom w:w="28" w:type="dxa"/>
          <w:right w:w="28" w:type="dxa"/>
        </w:tblCellMar>
      </w:tblPr>
      <w:tblGrid>
        <w:gridCol w:w="1925"/>
        <w:gridCol w:w="1690"/>
        <w:gridCol w:w="1695"/>
        <w:gridCol w:w="601"/>
        <w:gridCol w:w="601"/>
        <w:gridCol w:w="852"/>
      </w:tblGrid>
      <w:tr>
        <w:trPr/>
        <w:tc>
          <w:tcPr>
            <w:tcW w:w="1925"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Useful Life</w:t>
              <w:br/>
              <w:t>(Years)</w:t>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Purchased and internally developed internal-use software</w:t>
            </w:r>
          </w:p>
        </w:tc>
        <w:tc>
          <w:tcPr>
            <w:tcW w:w="205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3</w:t>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Building and building improvements</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5–30</w:t>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Land improvements</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7</w:t>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Furniture and office equipment</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5</w:t>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Computer hardware</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3</w:t>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Leasehold improvements</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Shorter of lease term</w:t>
              <w:br/>
              <w:t>or useful life</w:t>
            </w:r>
          </w:p>
        </w:tc>
      </w:tr>
    </w:tbl>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Internal-use Software and Cloud Computing Arrangements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Software development costs include costs to develop software to be used to meet internal needs and applications used to deliver our services. We capitalize development costs related to these software applications once the preliminary project stage is complete and it is probable that the project will be completed and the software will be used to perform the function intended. We amortize internal-use software costs on a straight-line basis over their estimated useful life of three years commencing when the internal-use software is substantially complete and ready for its intended purpose. Costs related to development of internal-use software are included in the accompanying consolidated balance sheets in property and equipment, net. Costs related to implementation of cloud computing arrangements that do not include a software license are included in the accompanying consolidated balance sheets in prepaid expenses and other current and non-current assets and are amortized over the contractual term of the underlying service arrangement.</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Intangible Assets and Other Long-Lived Assets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Intangible assets are stated at cost, net of accumulated amortization. Intangible assets with finite lives are amortized on a straight-line basis over their estimated useful lives, which approximates the pattern in which the economic benefits are consumed. We amortize our intangible assets over an estimated useful life of two to six years.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assess the impairment of long-lived assets, which consist primarily of property and equipment, right of use assets, acquired intangible assets, and capitalized internal-use software costs, whenever events or changes in circumstances indicate that such assets might be impaired and the carrying value may not be recoverable. Impairment testing is performed at an asset level that represents the lowest level for which identifiable cash flows are largely independent of the cash flows of other assets and liabilities, or an asset group. If an asset group is considered impaired, an impairment loss equal to the excess of the asset group’s carrying value over their fair value is recorded. Fair value is determined based on the present value of estimated expected future cash flows using a discount rate commensurate with the risk involved, quoted market prices, or appraised values, depending on the nature of the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33350"/>
                <wp:effectExtent l="0" t="0" r="0" b="0"/>
                <wp:wrapNone/>
                <wp:docPr id="73" name="Frame7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Goodwill</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Goodwill represents the excess of the aggregate fair value of the consideration transferred in a business combination over the fair value of the assets acquired, net of liabilities assumed. Goodwill is not amortized, however, it is subject to impairment testing at the reporting unit level annually during the fourth quarter of our fiscal year or more frequently if events or changes in circumstances indicate that goodwill may be impaired.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assessing impairment, we have the option to first assess qualitative factors to determine whether or not a reporting unit is impaired. Alternatively, we may perform a quantitative impairment assessment, or if the qualitative assessment indicates that it is more-likely-than-not that the reporting unit’s fair value is less than its carrying amount, a quantitative analysis is required. The quantitative analysis compares the estimated fair value of the reporting unit with its respective carrying amount, including goodwill. If the estimated fair value of the reporting unit exceeds its carrying amount including goodwill, goodwill is considered not to be impaired. If the fair value is less than the carrying amount including goodwill, then a goodwill impairment charge is recorded by the amount that the carrying value exceeds the fair value, up to the carrying amount of goodwill.</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Available-for-sale Debt Security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historically held a long-term investment in a privately held company through the purchase of a convertible promissory note. This investment was classified as an available-for-sale debt security. For available-for-sale debt securities that have the estimated fair values below their amortized cost basis, we evaluate our intent to sell the security or whether we will more likely than not be required to sell the security before recovery of its amortized cost basis. If either of these criteria are met, the security’s amortized cost basis is written down to its fair value through earnings. If these criteria are not met, we evaluate whether the decline in fair value has resulted from credit loss or other factors. If the assessment indicates a credit loss exists, the credit-related portion of the loss is recorded as allowance for credit loss with a corresponding credit loss expense, included in the consolidated statement of operations. If the assessment indicates a credit loss does not exist, impairment is recognized in other comprehensive (loss) income, net of applicable taxes.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Investment in Other Equity Security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hold an investment in an equity security of a privately held company, which does not have readily determinable fair value. We have elected to measure this non-marketable investment at cost, with remeasurements to fair value only upon the occurrence of observable price changes in orderly transactions for identical or similar securities of the same issuer, or in the event of any impairment. This election is reassessed each reporting period to determine whether a non-marketable equity security has a readily determinable fair value, in which case they would no longer be eligible for this election. We evaluate our non-marketable equity security for impairment at each reporting period based on a qualitative assessment that considers various potential impairment indicators. If an impairment exists, a loss is recognized in the consolidated statements of operations for the amount by which the carrying value exceeds the fair value of the investment. We include investment in other equity security within other assets in the accompanying consolidated balance sheets. </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Assets Held for Sale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classified long-lived assets or asset groups we planned to sell as held for sale on our consolidated balance sheets after certain criteria were met including: management had the authority and committed to a plan to sell the asset, the asset was available for immediate sale in its present condition, an active program to locate a buyer and the plan to sell the asset was initiated, the sale of the asset was probable within twelve months (subject to events and circumstances outside our control which could have extended the period required to complete the sale beyond one year), the asset was being actively marketed at a reasonable sales price relative to its current fair value, and it was unlikely that the plan to sell will be withdrawn or that significant changes to the plan would be made. We recorded assets or asset groups held for sale at the lower of their carrying value or fair value less costs to sell. Once classified as held for sale, depreciation and amortization was not recorded for any long-lived assets.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Leases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determine whether an arrangement is a lease, or contains a lease, at inception if we are able to identify an asset and can conclude we have the right to control the identified asset for a period of time. Leases are included in operating lease right-of-use, or ROU, assets and operating lease liabilities in the accompanying consolidated balance sheets. Leases with an initial term of twelve months or less are not recorded in our accompanying consolidated balance sheets.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made accounting policy elections, including a short-term lease exception policy, permitting us to not apply the recognition requirements of this standard to short-term leases, which are leases with expected terms of twelve months or less, and an accounting policy to account for lease and certain non-lease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33350"/>
                <wp:effectExtent l="0" t="0" r="0" b="0"/>
                <wp:wrapNone/>
                <wp:docPr id="74" name="Frame7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components as a single component for certain classes of assets. Additionally, we use the portfolio approach when applying the discount rate selected based on the dollar amount and term of the obligation.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ROU assets represent our right to control an underlying asset for the lease term, and lease liabilities represent our obligation to make lease payments arising from the lease. ROU assets and operating lease liabilities are recognized at the commencement date based on the present value of lease payments over the lease term. As our leases do not provide an implicit rate, we use the incremental borrowing rate based on the information available at commencement date in determining the discount rate used to present value lease payments. The incremental borrowing rate used is estimated based on what we would be required to pay for a collateralized loan over a similar term. Our leases typically do not include any residual value guarantees, bargain purchase options, or asset retirement obligations.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lease terms are only for periods in which we have enforceable rights. A lease is no longer enforceable when both the lessee and the lessor each have the right to terminate the lease without permission from the other party with no more than an insignificant penalty. Our lease terms are impacted by options to extend or terminate the lease when it is reasonably certain that we will exercise that option. We generally use the base, non-cancelable lease term when determining the lease assets and liabilities.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agreements may contain variable lease payments. We include variable lease payments that depend on an index or a rate and exclude those which depend on facts or circumstances occurring after the commencement date, other than the passage of time.</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Revenue Recognition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derive our revenue from the following sources:</w:t>
      </w:r>
    </w:p>
    <w:p>
      <w:pPr>
        <w:pStyle w:val="TextBody"/>
        <w:bidi w:val="0"/>
        <w:spacing w:lineRule="auto" w:line="288" w:before="120" w:after="120"/>
        <w:ind w:left="0" w:right="0" w:firstLine="450"/>
        <w:jc w:val="left"/>
        <w:rPr/>
      </w:pPr>
      <w:r>
        <w:rPr>
          <w:rFonts w:ascii="Work Sans;sans-serif" w:hAnsi="Work Sans;sans-serif"/>
          <w:b w:val="false"/>
          <w:i/>
          <w:color w:val="000000"/>
          <w:sz w:val="18"/>
        </w:rPr>
        <w:t>Transaction revenue</w:t>
      </w:r>
      <w:r>
        <w:rPr>
          <w:color w:val="000000"/>
        </w:rPr>
        <w:t>—</w:t>
      </w:r>
      <w:r>
        <w:rPr>
          <w:rFonts w:ascii="Work Sans;sans-serif" w:hAnsi="Work Sans;sans-serif"/>
          <w:b w:val="false"/>
          <w:color w:val="000000"/>
          <w:sz w:val="18"/>
        </w:rPr>
        <w:t>Transaction revenue is primarily generated from our customized legal document services upon fulfillment of these services. Transaction revenue includes filing fees and is net of cancellations, promotional discounts, sales allowances and credit reserves. We also earn fees from third-party providers in connection with lead generation activities, where referred customers purchased services that are transactional in nature.</w:t>
      </w:r>
    </w:p>
    <w:p>
      <w:pPr>
        <w:pStyle w:val="TextBody"/>
        <w:bidi w:val="0"/>
        <w:spacing w:lineRule="auto" w:line="288" w:before="120" w:after="120"/>
        <w:ind w:left="0" w:right="0" w:firstLine="450"/>
        <w:jc w:val="left"/>
        <w:rPr/>
      </w:pPr>
      <w:r>
        <w:rPr>
          <w:rFonts w:ascii="Work Sans;sans-serif" w:hAnsi="Work Sans;sans-serif"/>
          <w:b w:val="false"/>
          <w:i/>
          <w:color w:val="000000"/>
          <w:sz w:val="18"/>
        </w:rPr>
        <w:t>Subscription revenue</w:t>
      </w:r>
      <w:r>
        <w:rPr>
          <w:color w:val="000000"/>
        </w:rPr>
        <w:t>—</w:t>
      </w:r>
      <w:r>
        <w:rPr>
          <w:rFonts w:ascii="Work Sans;sans-serif" w:hAnsi="Work Sans;sans-serif"/>
          <w:b w:val="false"/>
          <w:color w:val="000000"/>
          <w:sz w:val="18"/>
        </w:rPr>
        <w:t xml:space="preserve">Subscription revenue is generated primarily from subscriptions to our registered agent, compliance packages, attorney advice, legal forms, tax and accounting, virtual mail, eSignature services, and SaaS subscriptions. We generally recognize revenue from our subscriptions ratably over the subscription term. Subscription terms generally range from thirty days to one year. Subscription revenue also includes amounts earned from third-party providers in connection with lead generation activities, where referred customers purchased services that are subscription in nature. Subscription revenue includes the transaction price allocated to bundled free trials for our subscription services and is net of promotional discounts, cancellations, sales allowances and credit reserves and payments to third-party service providers.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For transaction and subscription revenue, we generally collect payments and fees at the time orders are placed and prior to services being rendered. We record amounts collected for services that have not been performed as deferred revenue on our consolidated balance sheets. The transaction price that we record is generally based on the contractual amounts and is reduced for estimated sales allowances for price concessions, charge-backs, sales credits and refunds, which are accounted for as variable consideration when estimating the amount of revenue to recognize.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transaction and subscription revenue is as follows (in thousands):</w:t>
      </w:r>
    </w:p>
    <w:tbl>
      <w:tblPr>
        <w:tblW w:w="5891" w:type="dxa"/>
        <w:jc w:val="left"/>
        <w:tblInd w:w="0" w:type="dxa"/>
        <w:tblLayout w:type="fixed"/>
        <w:tblCellMar>
          <w:top w:w="28" w:type="dxa"/>
          <w:left w:w="28" w:type="dxa"/>
          <w:bottom w:w="28" w:type="dxa"/>
          <w:right w:w="28" w:type="dxa"/>
        </w:tblCellMar>
      </w:tblPr>
      <w:tblGrid>
        <w:gridCol w:w="488"/>
        <w:gridCol w:w="429"/>
        <w:gridCol w:w="432"/>
        <w:gridCol w:w="226"/>
        <w:gridCol w:w="946"/>
        <w:gridCol w:w="109"/>
        <w:gridCol w:w="109"/>
        <w:gridCol w:w="109"/>
        <w:gridCol w:w="109"/>
        <w:gridCol w:w="226"/>
        <w:gridCol w:w="946"/>
        <w:gridCol w:w="109"/>
        <w:gridCol w:w="109"/>
        <w:gridCol w:w="109"/>
        <w:gridCol w:w="109"/>
        <w:gridCol w:w="226"/>
        <w:gridCol w:w="946"/>
        <w:gridCol w:w="154"/>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Transaction</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263,582 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245,692 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247,780 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Subscription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492,461 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436,189 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412,947 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revenue</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756,043 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681,881 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660,727 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determine revenue recognition through the following five steps: identification of a contract with a customer; identification of the performance obligations in the contract; determination of the transaction price; allocation of the transaction price to the performance obligations in the contract; and recognition of revenue when or as the performance obligations are satisfied.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customers generally pay for transactions in advance by credit or debit card except for certain services provided under installment plans where we allow customers to pay for their order in three or twelve equal payments. The first installment due under the installment plans is charged to the customer’s debit or credit card on the date the order is placed, and the remaining installments are generally charged on a monthly basis thereafter. We recognize revenue for the amount we expect to be entitled to for providing the services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33350"/>
                <wp:effectExtent l="0" t="0" r="0" b="0"/>
                <wp:wrapNone/>
                <wp:docPr id="75" name="Frame7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our customers. The total fees collected by us for our services include, as applicable, expedited services fees, government filing fees and shipping fees.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Subscription services are generally paid monthly or annually in advance of the subscription period except for virtual mail subscriptions, which are invoiced monthly in arrears. Amounts collected in advance of revenue recognition are recorded in deferred revenue. Customers may pay for services, however, may not provide the necessary information to complete a transaction. We attempt to contact the customer to complete the abandoned order. We recognize revenue on abandoned services, or breakage, when it is likely to occur and the amount can be recognized without significant risk of reversal. We recognize breakage in proportion to the pattern of rights exercised by the customer. Judgment is required to determine the amount of breakage and when breakage is likely to occur, which we estimate based on historical data of breakage for similar services.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Services we offer can generally either be purchased on a stand-alone basis or bundled together as part of a package of services. Accordingly, a significant number of our arrangements include multiple performance obligations, such as the preparation of legal documents combined with related document revision, registered agent services, and free trial periods of our subscriptions. At contract inception, we assess the services promised in our contracts with customers and identify performance obligations for each promise to transfer to the customer a service or bundle of services that is distinct. The identification of distinct performance obligations within our packages may require significant judgment.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transaction price allocated to each separate performance obligation represents the amount of consideration to which we expect to be entitled in exchange for the services we provide. The transaction price is based on the contractual amounts in our contracts and is reduced for estimated sales allowances for price concessions, charge-backs, sales credits and refunds, which are accounted for as variable consideration when estimating the amount of revenue to recognize. We only include variable consideration in the transaction price to the extent that it is probable that a significant reversal in the amount of cumulative revenue recognized will not occur. We estimate sales allowances using the expected value method. We recognize a liability or a reduction of accounts receivable, and a reduction to revenue based on the estimated amount of sales allowances. We record sales allowances as a reduction of accounts receivable where we expect not to collect the full amount of the outstanding accounts receivable and we record sales allowances as a liability for estimated refunds or credits where we have collected the amounts due from the customer. We have established a sufficient history of estimating sales allowances given the large number of homogeneous transactions. The majority of our allowances and reserves are known within a relatively short period of time following our balance sheet date. The estimated provision for sales allowances has varied from actual results within ranges consistent with management’s expectations. The transaction price excludes sales taxes.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For arrangements that contain multiple performance obligations, such as our bundled arrangements, we allocate the transaction price to each performance obligation based on estimates of the standalone selling price of each performance obligation within the bundle. For the services we sell on a standalone basis, we use the sales price of these services in the allocation of the transaction price in bundled arrangements. Where we do not sell the service on a standalone basis, we estimate the standalone selling price based on the adjusted market assessment approach or the expected cost plus a margin approach when market information is not observable. In these cases, the determination of the standalone selling price may require significant judgment.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recognize revenue when we satisfy the performance obligation by transferring the promised good or service to the customer. For our transaction-based services, we generally recognize revenue at a point-in-time when the services are delivered to the customer. For our subscription-based services, we generally recognize revenue on a straight-line basis over the subscription term. Revenue earned from leads generated to third-party providers is recognized at a point-in-time when the related performance-based criteria have been met. We assess whether performance criteria have been met on a cost-per-click or cost-per-action basis.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elected the practical expedient not to adjust the promised amount of consideration for the effects of a significant financing component if the period between revenue recognition and when the customer pays for the product or service will be one year or less.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Principal Agent Considerations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certain of our arrangements, another party may be involved in providing services to our customer. We evaluate whether we can recognize revenue gross as a principal or net as an agent. We record revenue on a gross basis when we are the principal in the arrangement. To determine whether we are a principal or an agent, we identify the specified good or service to be provided to the customer and assess whether we control the specified good or service before that good or service is transferred to the customer. We evaluate a number of indicators of whether we control the good or service before it is transferred to the customer, including whether we have primary fulfillment responsibility and obligation to perform the services being sold to the customer; we have latitude in establishing the sales price; and we have inventory risk.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arrangements in which we are the principal, we record as revenue the amounts we have billed to our customer, net of sales allowance, and we record the fee payable to the third-party as cost of revenue. We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33350"/>
                <wp:effectExtent l="0" t="0" r="0" b="0"/>
                <wp:wrapNone/>
                <wp:docPr id="76" name="Frame7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 xml:space="preserve">the principal in most of our legal document preparation, tax preparation and advisory services, and registered agent services, including legal entity formations and similar arrangements. For these services, revenue includes filing and similar fees. Our alternative business structure, or ABS, offers legal advisory services that are marketed through our websites. Our ABS provides independent legal advice to our customers and is directly responsible for, and control the fulfillment of, the legal services. Accordingly, for services provided by our ABS, we recognize revenue as the principal.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arrangements in which we are not the principal, we record revenue on a net basis, which is equal to the amount billed to our customer, net of sales allowances and the fee payable to the third party or partner that is primarily responsible for performing the services for the customer. Except for our ABS, we are not a law firm in the U.S. and cannot provide legal advice through our U.S. entities. Therefore, the participating independent law firms in our legal plans control the service to the customer and have the primary service obligation to provide attorney consultations to our customers, for which we pay the law firms a monthly fee. For these arrangements, we recognize revenue on a net basis as an agent. For other services provided by third parties, including deed transfer, accounting, revenue is recognized net of fees payable to third parties. For revenue earned from leads generated to third-party providers, we receive a fee for the referral of our customer to a third-party provider or we retain a portion of the fee paid by the customer and share the remainder with a third-party. The third-party providers control the service to the customer and are responsible for fulfilling the referred service to the customer; accordingly, we recognize revenue for these arrangements on a net basis.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Revenue includes shipping and handling fees charged to customers.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Cost of Revenue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Cost of revenue includes all costs of providing and fulfilling our services. Cost of revenue primarily includes government filing fees, costs of fulfillment, customer care, including the cost of credentialed professionals for tax, and payroll services, and related benefits, including stock-based compensation, and costs of independent contractors for document preparation, telecommunications and data center costs, amortization of acquired developed technology, depreciation and amortization of network computers, equipment and internal-use software, printing, shipping and handling charges, credit and debit card fees, allocated overhead, legal document kit expenses, and sales and use taxes. We defer direct and incremental costs primarily related to government filing fees incurred prior to the associated service meeting the criteria for revenue recognition. These contract assets are recognized as cost of revenue in the same period the related revenue is recognized. At December 31, 2025 and 2024, there was $2.4 million and $1.7 million, respectively, in deferred cost of revenue included in prepaid expenses and other current assets in the accompanying consolidated balance sheets. Filing fees of $98.3 million, $83.3 million and $88.1 million were recorded in cost of revenue in the accompanying consolidated statements of operations for years ended December 31, 2025, 2024, and 2023, respectively.</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Sales and Marketing Expenses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Sales and marketing expenses consist of customer acquisition media costs, compensation and related benefits, including stock-based compensation for marketing and sales personnel, media production, public relations and other promotional activities, general business development activities, an allocation of depreciation and amortization and allocated overhead. Customer acquisition media costs consist primarily of search engine marketing, television and social media costs. Marketing and advertising costs to promote our services are expensed in the period incurred. Media production costs are expensed the first time the advertisement is aired. Advertising expenses, consisting of customer acquisition media costs, were $175.6 million, $157.6 million and $145.3 million for the years ended December 31, 2025, 2024, and 2023, respectively.</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Technology and Development Expenses</w:t>
      </w:r>
    </w:p>
    <w:p>
      <w:pPr>
        <w:pStyle w:val="TextBody"/>
        <w:bidi w:val="0"/>
        <w:spacing w:lineRule="auto" w:line="288" w:before="120" w:after="120"/>
        <w:ind w:left="0" w:right="0" w:firstLine="450"/>
        <w:jc w:val="left"/>
        <w:rPr/>
      </w:pPr>
      <w:r>
        <w:rPr>
          <w:rFonts w:ascii="Work Sans;sans-serif" w:hAnsi="Work Sans;sans-serif"/>
          <w:b w:val="false"/>
          <w:color w:val="000000"/>
          <w:sz w:val="18"/>
        </w:rPr>
        <w:t>Technology and development expenses consist primarily of personnel costs and related benefits, including stock-based compensation for technology and development personnel, expenses for outside consultants, an allocation of depreciation and amortization and allocated overhead. These expenses include costs incurred in the development and implementation of our products, websites, mobile applications, online legal platform, research and development and related infrastructure. Technology and development expenses are expensed as incurred, except to the extent that such costs are associated with internal-use software costs that qualify for capitalization as previously described under </w:t>
      </w:r>
      <w:r>
        <w:rPr>
          <w:rFonts w:ascii="Work Sans;sans-serif" w:hAnsi="Work Sans;sans-serif"/>
          <w:b w:val="false"/>
          <w:i/>
          <w:color w:val="000000"/>
          <w:sz w:val="18"/>
        </w:rPr>
        <w:t>Internal-use Software and Cloud Computing Arrangements</w:t>
      </w:r>
      <w:r>
        <w:rPr>
          <w:rFonts w:ascii="Work Sans;sans-serif" w:hAnsi="Work Sans;sans-serif"/>
          <w:b w:val="false"/>
          <w:color w:val="000000"/>
          <w:sz w:val="18"/>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33350"/>
                <wp:effectExtent l="0" t="0" r="0" b="0"/>
                <wp:wrapNone/>
                <wp:docPr id="77" name="Frame7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General and Administrative Expenses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general and administrative expenses relate primarily to compensation and related benefits, including stock-based compensation, for executive and corporate personnel, professional and consulting fees, an allocation of depreciation and amortization, allocated overhead and legal costs.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Stock-based Compensation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estimate the fair value of employee stock-based payment awards on the grant-date and recognize the resulting fair value, net of estimated forfeitures, over the requisite service period. We use the Black-Scholes option pricing model for estimating the fair value of options granted under our stock option plans that vest based on service and performance conditions. The fair value of restricted stock units, or RSUs, that vest based on service and performance conditions is determined based on the value of the underlying common stock at the date of grant. For awards that contain market conditions, we estimate the fair value using a Monte Carlo simulation model. We record expense for awards that contain performance conditions only to the extent that we determine it is probable that the performance condition will be achieved. Expense for awards containing market conditions is not reversed even if the market condition is not achieved. We have elected to treat stock-based payment awards with graded vesting schedules and time-based service conditions as a single award and recognize stock-based compensation on a straight-line basis, net of estimated forfeitures, over the requisite service period. Awards with performance or market conditions are recognized using graded vesting.</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Black-Scholes option pricing model and the Monte Carlo simulation model requires us to make certain assumptions including the fair value of the underlying common stock, the expected term, the expected stock price volatility, the risk-free interest rates and the dividend yield.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fair value of the shares of common stock underlying stock options and RSUs is based upon our publicly listed share price on the date of grant.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expected term of employee stock options represents the weighted-average period that the stock options are expected to remain outstanding. The expected term of options granted is estimated based upon actual historical exercise and post-vesting cancellations, adjusted for expected future exercise behavior. The expected term of RSUs is defined as the remaining term from the grant date to the end of the performance period.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Because our common stock has limited publicly traded history, we estimate the expected volatility from the historical volatility of selected public companies with comparable characteristics to us, including similarity in size, lines of business, market capitalization and revenue and financial leverage. We determine the expected volatility assumption using the frequency of daily historical prices of comparable public companies’ common stock for a period equal to the expected term of the options. We periodically assess the comparable companies and other relevant factors used to measure expected volatility for future stock options and RSUs with market conditions grants.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risk-free interest rate assumption is based upon observed interest rates on the U.S. government securities appropriate for the expected term of our stock options and RSUs with market conditions.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dividend yield assumption is based on our history and expectation of dividend payouts. We have not declared or paid any cash dividends on our common stock, and we do not anticipate paying any cash dividends in the foreseeable future.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Stock-based compensation expense is recognized based on awards that are ultimately expected to vest.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Forfeitures are estimated at the time of grant and revised, if necessary, in subsequent periods if actual forfeitures differ from those estimates. Forfeitures are estimated based on our historical experience and future expectations.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determination of stock-based compensation is inherently uncertain and subjective and involves the application of valuation models and assumptions requiring the use of judgment. If we had made different assumptions, our stock-based compensation expense, and our net income for the years ended December 31, 2025, 2024, and 2023 may have been materially different.</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Loss Contingencies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On occasion we are involved in legal proceedings, claims, and regulatory, indirect tax examinations or government inquiries and investigations that may arise in the ordinary course of business. We record loss contingencies in our consolidated financial statements in the period when they are probable and reasonably estimable. If the amount is probable and we are able to reasonably estimate a range of loss, we accrue the amount that is the best estimate within that range, and if no amount is better than any other in the range, we record the amount at the low end in the range. We disclose those contingencies that we believe are at least reasonably possible but not probable regardless of whether they are reasonably estimable. The likelihood of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33350"/>
                <wp:effectExtent l="0" t="0" r="0" b="0"/>
                <wp:wrapNone/>
                <wp:docPr id="78" name="Frame7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loss is determined using several factors including the nature of the matter, advice of our internal and external counsel, previous experience and historical and other relevant information available to us. The determination of the likelihood of loss or the range of loss requires significant management judgment. Legal fees and other costs associated with such actions are expensed as incurred.</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Income Taxes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account for income taxes using the asset and liability method, which requires the recognition of deferred tax assets and liabilities for the expected future tax consequences of events that have been recognized in our consolidated financial statements. Deferred income tax assets and liabilities are measured using enacted tax rates anticipated to be in effect when those tax assets and liabilities are expected to be realized or settled. The effect of a change in tax rates on deferred tax assets and liabilities is recognized in the consolidated statements of operations in the period that includes the enactment date.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make judgments in evaluating whether deferred tax assets will be recovered from future taxable income. A valuation allowance is established if, based upon the available evidence, it is more likely than not that some or all of the deferred tax assets will not be realized. We consider all available evidence, both positive and negative, including historical levels of income, expectations and risk associated with estimates of future taxable income in assessing the need for a valuation allowance. If our assumptions and consequently our estimates, change in the future, the valuation allowance may be increased or decreased, resulting in an increase or decrease, which may be material, to our provision for income taxes and the related impact on our net income.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recognize tax benefits from an uncertain position only if it is more likely than not that the tax position will be sustained on examination by the taxing authorities, based on the technical merits. If this threshold is met, we measure the tax benefit as the largest amount of the benefit that is greater than fifty percent likely to be realized upon ultimate settlement. We recognize penalties and interest accrued with respect to uncertain tax positions as a component of the income tax provision. At December 31, 2025 and 2024, accrued penalties and interest related to uncertain tax positions were not material.</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Net Income Per Share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Basic net income per share is calculated by dividing net income by the weighted-average number of shares of common stock outstanding, net of unvested restricted stock, if any, during the period. We compute diluted net income per share by dividing net income by the weighted-average number of shares of common stock outstanding, including dilutive common shares outstanding during the period. Dilutive shares outstanding include stock options, RSUs, and employee stock purchase plans, or ESPPs, computed using the treasury stock method.</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Recently Adopted Accounting Pronouncements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June 2022, the Financial Accounting Standards Board, or FASB, issued Accounting Standards Update, or ASU, 2022-03, </w:t>
      </w:r>
      <w:r>
        <w:rPr>
          <w:rFonts w:ascii="Work Sans;sans-serif" w:hAnsi="Work Sans;sans-serif"/>
          <w:b w:val="false"/>
          <w:i/>
          <w:color w:val="000000"/>
          <w:sz w:val="18"/>
        </w:rPr>
        <w:t>Fair Value Measurement—Fair Value Measurement of Equity Securities Subject to Contractual Sale Restrictions (Topic 820)</w:t>
      </w:r>
      <w:r>
        <w:rPr>
          <w:rFonts w:ascii="Work Sans;sans-serif" w:hAnsi="Work Sans;sans-serif"/>
          <w:b w:val="false"/>
          <w:color w:val="000000"/>
          <w:sz w:val="18"/>
        </w:rPr>
        <w:t>, or ASU 2022-03, which clarifies that a contractual restriction on the sale of an equity security is not considered part of the unit of account of the equity security and, therefore, is not considered in measuring fair value. The amendments are effective for fiscal years beginning after December 15, 2023. We early adopted ASU 2022-03 during the three months ended June 30, 2023. The adoption of this accounting standard did not have a material impact on our consolidated financial statements.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September 2022, the FASB issued ASU 2022-04, </w:t>
      </w:r>
      <w:r>
        <w:rPr>
          <w:rFonts w:ascii="Work Sans;sans-serif" w:hAnsi="Work Sans;sans-serif"/>
          <w:b w:val="false"/>
          <w:i/>
          <w:color w:val="000000"/>
          <w:sz w:val="18"/>
        </w:rPr>
        <w:t>Liabilities—Supplier Finance Programs (Subtopic 405-50): Disclosure of Supplier Finance Program Obligations</w:t>
      </w:r>
      <w:r>
        <w:rPr>
          <w:rFonts w:ascii="Work Sans;sans-serif" w:hAnsi="Work Sans;sans-serif"/>
          <w:b w:val="false"/>
          <w:color w:val="000000"/>
          <w:sz w:val="18"/>
        </w:rPr>
        <w:t>, which requires that a buyer in a supplier finance program disclose qualitative and quantitative information about its supplier finance programs. We adopted ASU 2022-04 effective January 1, 2023. The adoption of this accounting standard did not have a material impact on our consolidated financial statements.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March 2023, the FASB issued ASU 2023-01, </w:t>
      </w:r>
      <w:r>
        <w:rPr>
          <w:rFonts w:ascii="Work Sans;sans-serif" w:hAnsi="Work Sans;sans-serif"/>
          <w:b w:val="false"/>
          <w:i/>
          <w:color w:val="000000"/>
          <w:sz w:val="18"/>
        </w:rPr>
        <w:t xml:space="preserve">Leases (Topic 842): Common Control Arrangements, </w:t>
      </w:r>
      <w:r>
        <w:rPr>
          <w:rFonts w:ascii="Work Sans;sans-serif" w:hAnsi="Work Sans;sans-serif"/>
          <w:b w:val="false"/>
          <w:color w:val="000000"/>
          <w:sz w:val="18"/>
        </w:rPr>
        <w:t>which amends certain provisions of Accounting Standards Codification, or ASC, 842 related to the accounting for leasehold improvements in common-control arrangements. ASU 2023-01 is effective for fiscal years beginning after December 15, 2023, including interim periods within those fiscal years. We early adopted ASU 2023-01 effective January 1, 2023. The adoption of this accounting standard did not have a material impact on our consolidated financial statements.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March 2023, the FASB issued ASU 2023-02, </w:t>
      </w:r>
      <w:r>
        <w:rPr>
          <w:rFonts w:ascii="Work Sans;sans-serif" w:hAnsi="Work Sans;sans-serif"/>
          <w:b w:val="false"/>
          <w:i/>
          <w:color w:val="000000"/>
          <w:sz w:val="18"/>
        </w:rPr>
        <w:t xml:space="preserve">Accounting for Investments in Tax Credit Structures Using the Proportional Amortization Method, </w:t>
      </w:r>
      <w:r>
        <w:rPr>
          <w:rFonts w:ascii="Work Sans;sans-serif" w:hAnsi="Work Sans;sans-serif"/>
          <w:b w:val="false"/>
          <w:color w:val="000000"/>
          <w:sz w:val="18"/>
        </w:rPr>
        <w:t xml:space="preserve">which allows reporting entities to elect to account for qualifying tax equity investments using the proportional amortization method, regardless of the program giving rise to the related income tax credits. ASU 2023-02 is effective for fiscal years beginning after December 15, 2023, including interim periods within those fiscal years. We early adopted ASU 2023-02 effective January 1,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33350"/>
                <wp:effectExtent l="0" t="0" r="0" b="0"/>
                <wp:wrapNone/>
                <wp:docPr id="79" name="Frame7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The adoption of this accounting standard did not have a material impact on our consolidated financial statements.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July 2023, the FASB issued ASU 2023-03 to amend various paragraphs in the ASC to align with the previously issued SEC guidance. ASU 2023-03 did not provide any new guidance, and there is no transition or effective date associated with it resulting in the ASU 2023-03 being effective upon issuance. Consequently, the adoption of this accounting standard did not have a material impact on our consolidated financial statements.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November 2023, the FASB issued ASU 2023-07, </w:t>
      </w:r>
      <w:r>
        <w:rPr>
          <w:rFonts w:ascii="Work Sans;sans-serif" w:hAnsi="Work Sans;sans-serif"/>
          <w:b w:val="false"/>
          <w:i/>
          <w:color w:val="000000"/>
          <w:sz w:val="18"/>
        </w:rPr>
        <w:t>Segment Reporting (Topic 280): Improvements to Reportable Segment Disclosures</w:t>
      </w:r>
      <w:r>
        <w:rPr>
          <w:rFonts w:ascii="Work Sans;sans-serif" w:hAnsi="Work Sans;sans-serif"/>
          <w:b w:val="false"/>
          <w:color w:val="000000"/>
          <w:sz w:val="18"/>
        </w:rPr>
        <w:t xml:space="preserve">, which requires public entities to disclose information about their reportable segments’ significant expenses on an interim and annual basis. ASU 2023-07 is effective for fiscal years beginning after December 15, 2023, and interim periods within fiscal years beginning after December 15, 2024. We adopted ASU 2023-07 in 2024. Refer to Note 21 to our consolidated financial statements. </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December 2023, the FASB issued ASU 2023-09, </w:t>
      </w:r>
      <w:r>
        <w:rPr>
          <w:rFonts w:ascii="Work Sans;sans-serif" w:hAnsi="Work Sans;sans-serif"/>
          <w:b w:val="false"/>
          <w:i/>
          <w:color w:val="000000"/>
          <w:sz w:val="18"/>
        </w:rPr>
        <w:t xml:space="preserve">Income Taxes (Topic 740): Improvements to Income Tax Disclosures, </w:t>
      </w:r>
      <w:r>
        <w:rPr>
          <w:rFonts w:ascii="Work Sans;sans-serif" w:hAnsi="Work Sans;sans-serif"/>
          <w:b w:val="false"/>
          <w:color w:val="000000"/>
          <w:sz w:val="18"/>
        </w:rPr>
        <w:t xml:space="preserve">which requires entities to disclose more detailed information in the reconciliation of their statutory tax rate to their effective tax rate. This accounting standard is effective for fiscal years beginning after December 15, 2024. ASU 2023-09 will be applied prospectively with an option for retroactive application to each period in the financial statements, and early adoption is permitted. We adopted ASU 2023-09 for the year ended December 31, 2025 and applied the new disclosure requirements prospectively to the current annual period. Prior period disclosures have not been adjusted. Refer to Note 18 to our consolidated financial statements. </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March 2024, the FASB issued ASU 2024-01, </w:t>
      </w:r>
      <w:r>
        <w:rPr>
          <w:rFonts w:ascii="Work Sans;sans-serif" w:hAnsi="Work Sans;sans-serif"/>
          <w:b w:val="false"/>
          <w:i/>
          <w:color w:val="000000"/>
          <w:sz w:val="18"/>
        </w:rPr>
        <w:t>Compensation—Stock Compensation (Topic 718): Scope Application of Profits Interest and Similar Awards,</w:t>
      </w:r>
      <w:r>
        <w:rPr>
          <w:color w:val="000000"/>
        </w:rPr>
        <w:t xml:space="preserve"> </w:t>
      </w:r>
      <w:r>
        <w:rPr>
          <w:rFonts w:ascii="Work Sans;sans-serif" w:hAnsi="Work Sans;sans-serif"/>
          <w:b w:val="false"/>
          <w:color w:val="000000"/>
          <w:sz w:val="18"/>
        </w:rPr>
        <w:t xml:space="preserve">which clarifies how an entity determines whether a profits interest or similar award is a share-based payment arrangement that is within the scope of ASC 718, </w:t>
      </w:r>
      <w:r>
        <w:rPr>
          <w:rFonts w:ascii="Work Sans;sans-serif" w:hAnsi="Work Sans;sans-serif"/>
          <w:b w:val="false"/>
          <w:i/>
          <w:color w:val="000000"/>
          <w:sz w:val="18"/>
        </w:rPr>
        <w:t>Compensation - Stock Compensation</w:t>
      </w:r>
      <w:r>
        <w:rPr>
          <w:rFonts w:ascii="Work Sans;sans-serif" w:hAnsi="Work Sans;sans-serif"/>
          <w:b w:val="false"/>
          <w:color w:val="000000"/>
          <w:sz w:val="18"/>
        </w:rPr>
        <w:t>. This accounting standard is effective for fiscal years beginning after December 15, 2024, including interim periods within those years, and early adoption is permitted. ASU 2024-01 can be applied retrospectively to all prior periods presented in the financial statements or prospectively to profits interest and similar awards granted or modified on or after the date at which the entity first applies this accounting standard. We early adopted ASU 2024-01 effective January 1, 2024 and will apply the amendments prospectively to profits interest and similar awards granted or modified on or after January 1, 2024. The adoption of this accounting standard did not have a material impact on our consolidated financial statements.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March 2024, the FASB issued ASU 2024-02, </w:t>
      </w:r>
      <w:r>
        <w:rPr>
          <w:rFonts w:ascii="Work Sans;sans-serif" w:hAnsi="Work Sans;sans-serif"/>
          <w:b w:val="false"/>
          <w:i/>
          <w:color w:val="000000"/>
          <w:sz w:val="18"/>
        </w:rPr>
        <w:t>Codification Improvements</w:t>
      </w:r>
      <w:r>
        <w:rPr>
          <w:color w:val="000000"/>
        </w:rPr>
        <w:t xml:space="preserve"> — </w:t>
      </w:r>
      <w:r>
        <w:rPr>
          <w:rFonts w:ascii="Work Sans;sans-serif" w:hAnsi="Work Sans;sans-serif"/>
          <w:b w:val="false"/>
          <w:i/>
          <w:color w:val="000000"/>
          <w:sz w:val="18"/>
        </w:rPr>
        <w:t>Amendments to Remove References to the Concepts Statements,</w:t>
      </w:r>
      <w:r>
        <w:rPr>
          <w:color w:val="000000"/>
        </w:rPr>
        <w:t xml:space="preserve"> </w:t>
      </w:r>
      <w:r>
        <w:rPr>
          <w:rFonts w:ascii="Work Sans;sans-serif" w:hAnsi="Work Sans;sans-serif"/>
          <w:b w:val="false"/>
          <w:color w:val="000000"/>
          <w:sz w:val="18"/>
        </w:rPr>
        <w:t>to amend a variety of topics in the accounting codification by removing references to various FASB concepts statements. This accounting standard is effective for fiscal years beginning after December 15, 2024, and early adoption is permitted. ASU 2024-02 can be applied retrospectively to the beginning of the earliest comparative period presented in which the amendments were first applied or prospectively to all new transactions recognized on or after the date that the entity first applies the amendments. We early adopted ASU 2024-02 effective January 1, 2024 and will apply the amendments prospectively to all new transactions recognized on or after January 1, 2024. The adoption of this accounting standard did not have a material impact on our consolidated financial statements.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Accounting Pronouncements Not Yet Adopted</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November 2024, FASB issued ASU 2024-03, </w:t>
      </w:r>
      <w:r>
        <w:rPr>
          <w:rFonts w:ascii="Work Sans;sans-serif" w:hAnsi="Work Sans;sans-serif"/>
          <w:b w:val="false"/>
          <w:i/>
          <w:color w:val="000000"/>
          <w:sz w:val="18"/>
        </w:rPr>
        <w:t>Income Statement—Reporting Comprehensive Income—Expense Disaggregation Disclosures (Subtopic 220-40): Disaggregation of Income Statement Expenses</w:t>
      </w:r>
      <w:r>
        <w:rPr>
          <w:rFonts w:ascii="Work Sans;sans-serif" w:hAnsi="Work Sans;sans-serif"/>
          <w:b w:val="false"/>
          <w:color w:val="000000"/>
          <w:sz w:val="18"/>
        </w:rPr>
        <w:t xml:space="preserve">, which requires public business entities to disaggregate certain expense captions into specific categories in disclosures within the notes to the financial statements. As further clarified by ASU 2025-01, </w:t>
      </w:r>
      <w:r>
        <w:rPr>
          <w:rFonts w:ascii="Work Sans;sans-serif" w:hAnsi="Work Sans;sans-serif"/>
          <w:b w:val="false"/>
          <w:i/>
          <w:color w:val="000000"/>
          <w:sz w:val="18"/>
        </w:rPr>
        <w:t xml:space="preserve">Income Statement—Reporting Comprehensive Income—Expense Disaggregation Disclosures (Subtopic 220-40), </w:t>
      </w:r>
      <w:r>
        <w:rPr>
          <w:rFonts w:ascii="Work Sans;sans-serif" w:hAnsi="Work Sans;sans-serif"/>
          <w:b w:val="false"/>
          <w:color w:val="000000"/>
          <w:sz w:val="18"/>
        </w:rPr>
        <w:t>issued by FASB in January 2025, this accounting standard is effective for fiscal years beginning after December 15, 2026, and interim periods within fiscal years beginning after December 15, 2027. The amendments in ASU 2024-03 should be applied either prospectively or retrospectively to any or all prior periods presented in the financial statements, and early adoption is permitted. We are currently evaluating the impact of the adoption on our consolidated financial statements.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November 2024, FASB issued ASU 2024-04, </w:t>
      </w:r>
      <w:r>
        <w:rPr>
          <w:rFonts w:ascii="Work Sans;sans-serif" w:hAnsi="Work Sans;sans-serif"/>
          <w:b w:val="false"/>
          <w:i/>
          <w:color w:val="000000"/>
          <w:sz w:val="18"/>
        </w:rPr>
        <w:t>Debt—Debt with Conversion and Other Options (Subtopic 470-20): Induced Conversions of Convertible Debt Instruments</w:t>
      </w:r>
      <w:r>
        <w:rPr>
          <w:rFonts w:ascii="Work Sans;sans-serif" w:hAnsi="Work Sans;sans-serif"/>
          <w:b w:val="false"/>
          <w:color w:val="000000"/>
          <w:sz w:val="18"/>
        </w:rPr>
        <w:t xml:space="preserve">, which clarifies the requirements for determining whether certain settlements of convertible debt instruments should be accounted for as an induced conversion. ASU 2024-04 is effective for annual reporting periods beginning after December 15, 2025, and interim reporting periods within those annual reporting periods. Early adoption is permitted as of the beginning of a reporting period if the entity has also adopted ASU 2020-06 for that period. Entities may apply the new guidance prospectively to settlements of convertible debt instruments that take place during annual reporting periods (and interim reporting periods within those annual reporting periods) beginning after the effective date of ASU 2024-04. Retrospective application may be elected as of the beginning of the first comparative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33350"/>
                <wp:effectExtent l="0" t="0" r="0" b="0"/>
                <wp:wrapNone/>
                <wp:docPr id="80" name="Frame7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reporting period in which the entity has also applied ASU 2020-06. We are currently evaluating the impact of the adoption on our consolidated financial statements.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July 2025, the FASB issued ASU 2025-05, </w:t>
      </w:r>
      <w:r>
        <w:rPr>
          <w:rFonts w:ascii="Work Sans;sans-serif" w:hAnsi="Work Sans;sans-serif"/>
          <w:b w:val="false"/>
          <w:i/>
          <w:color w:val="000000"/>
          <w:sz w:val="18"/>
        </w:rPr>
        <w:t>Financial Instruments—Credit Losses (Topic 326): Measurement of Credit Losses for Accounts Receivable and Contract Assets</w:t>
      </w:r>
      <w:r>
        <w:rPr>
          <w:rFonts w:ascii="Work Sans;sans-serif" w:hAnsi="Work Sans;sans-serif"/>
          <w:b w:val="false"/>
          <w:color w:val="000000"/>
          <w:sz w:val="18"/>
        </w:rPr>
        <w:t>, which provides a practical expedient for calculating current expected credit losses for current accounts receivables and current contract assets by assuming that the current conditions as of the balance sheet date will not change for the remaining life of the asset. The accounting standard is effective for interim and annual reporting periods beginning after December 15, 2025 and is to be applied on a prospective basis. We are currently evaluating the impact of the adoption to our consolidated financial statements.</w:t>
      </w:r>
    </w:p>
    <w:p>
      <w:pPr>
        <w:pStyle w:val="TextBody"/>
        <w:bidi w:val="0"/>
        <w:spacing w:lineRule="auto" w:line="288" w:before="0" w:after="120"/>
        <w:ind w:left="0" w:right="0" w:firstLine="450"/>
        <w:jc w:val="left"/>
        <w:rPr/>
      </w:pPr>
      <w:r>
        <w:rPr>
          <w:rFonts w:ascii="Work Sans;sans-serif" w:hAnsi="Work Sans;sans-serif"/>
          <w:b w:val="false"/>
          <w:color w:val="000000"/>
          <w:sz w:val="18"/>
        </w:rPr>
        <w:t xml:space="preserve">In September 2025, the FASB issued ASU 2025-06, </w:t>
      </w:r>
      <w:r>
        <w:rPr>
          <w:rFonts w:ascii="Work Sans;sans-serif" w:hAnsi="Work Sans;sans-serif"/>
          <w:b w:val="false"/>
          <w:i/>
          <w:color w:val="000000"/>
          <w:sz w:val="18"/>
        </w:rPr>
        <w:t>Intangibles - Goodwill and Other - Internal-Use Software (Subtopic 350-40): Targeted Improvements to the Accounting for Internal-Use Software</w:t>
      </w:r>
      <w:r>
        <w:rPr>
          <w:rFonts w:ascii="Work Sans;sans-serif" w:hAnsi="Work Sans;sans-serif"/>
          <w:b w:val="false"/>
          <w:color w:val="000000"/>
          <w:sz w:val="18"/>
        </w:rPr>
        <w:t>, to remove all references to software development stages and to require capitalizing software costs when management has authorized and committed to funding a software project and it is probable that the project will be completed and that the software will be used to perform the function intended. The accounting standard is effective for annual reporting periods beginning after December 15, 2027 and interim reporting periods within those annual reporting periods with early adoption permitted at the beginning of an annual reporting period. The adoption of ASU 2025-06 can use a prospective, modified retrospective or retrospective transition. We are currently evaluating the impact of the adoption to our consolidated financial statements.</w:t>
      </w:r>
    </w:p>
    <w:p>
      <w:pPr>
        <w:pStyle w:val="TextBody"/>
        <w:bidi w:val="0"/>
        <w:spacing w:lineRule="auto" w:line="288" w:before="0" w:after="0"/>
        <w:ind w:left="0" w:right="0" w:firstLine="450"/>
        <w:jc w:val="left"/>
        <w:rPr/>
      </w:pPr>
      <w:r>
        <w:rPr>
          <w:rFonts w:ascii="Work Sans;sans-serif" w:hAnsi="Work Sans;sans-serif"/>
          <w:b w:val="false"/>
          <w:color w:val="000000"/>
          <w:sz w:val="18"/>
        </w:rPr>
        <w:t xml:space="preserve">In December 2025, the FASB issued ASU 2025-11, </w:t>
      </w:r>
      <w:r>
        <w:rPr>
          <w:rFonts w:ascii="Work Sans;sans-serif" w:hAnsi="Work Sans;sans-serif"/>
          <w:b w:val="false"/>
          <w:i/>
          <w:color w:val="000000"/>
          <w:sz w:val="18"/>
        </w:rPr>
        <w:t>Interim Reporting (Topic 270): Narrow-Scope Improvements,</w:t>
      </w:r>
      <w:r>
        <w:rPr>
          <w:color w:val="000000"/>
        </w:rPr>
        <w:t xml:space="preserve"> </w:t>
      </w:r>
      <w:r>
        <w:rPr>
          <w:rFonts w:ascii="Work Sans;sans-serif" w:hAnsi="Work Sans;sans-serif"/>
          <w:b w:val="false"/>
          <w:color w:val="000000"/>
          <w:sz w:val="18"/>
        </w:rPr>
        <w:t>to make targeted, narrow-scope improvements to the interim reporting guidance in Topic 270 to clarify application and improve consistency in practice. The amendments create a comprehensive list of required interim disclosures and introduce a disclosure principle requiring entities to disclose, in interim periods, any event or change since the previous year-end that has a material effect on the entity. The accounting standard is effective for interim reporting periods within annual reporting periods beginning after December 15, 2027 with early adoption is permitted. The adoption of ASU 2025-06 can use a prospective or retrospective transition. We are currently evaluating the impact of the adoption to our consolidated financial statements.</w:t>
      </w:r>
    </w:p>
    <w:p>
      <w:pPr>
        <w:pStyle w:val="TextBody"/>
        <w:bidi w:val="0"/>
        <w:spacing w:lineRule="auto" w:line="288" w:before="120" w:after="283"/>
        <w:ind w:left="0" w:right="0" w:firstLine="450"/>
        <w:jc w:val="left"/>
        <w:rPr/>
      </w:pPr>
      <w:r>
        <w:rPr>
          <w:rFonts w:ascii="Work Sans;sans-serif" w:hAnsi="Work Sans;sans-serif"/>
          <w:b w:val="false"/>
          <w:color w:val="000000"/>
          <w:sz w:val="18"/>
        </w:rPr>
        <w:t xml:space="preserve">In December 2025, the FASB issued ASU No. 2025-12, </w:t>
      </w:r>
      <w:r>
        <w:rPr>
          <w:rFonts w:ascii="Work Sans;sans-serif" w:hAnsi="Work Sans;sans-serif"/>
          <w:b w:val="false"/>
          <w:i/>
          <w:color w:val="000000"/>
          <w:sz w:val="18"/>
        </w:rPr>
        <w:t xml:space="preserve">Codification Improvements </w:t>
      </w:r>
      <w:r>
        <w:rPr>
          <w:rFonts w:ascii="Work Sans;sans-serif" w:hAnsi="Work Sans;sans-serif"/>
          <w:b w:val="false"/>
          <w:color w:val="000000"/>
          <w:sz w:val="18"/>
        </w:rPr>
        <w:t>including various items that represent changes to clarify, correct, or make minor improvements to various codifications. The accounting standard is effective for interim reporting periods within annual reporting periods beginning after December 15, 2026 with early adoption is permitted. The adoption method of this ASU may vary, on an issue-by-issue basis. We are currently evaluating the impact of the adoption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3. Other Financial Statement Information</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Accounts Receivable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Changes in the allowances consisted of the following (in thousands):</w:t>
      </w:r>
    </w:p>
    <w:tbl>
      <w:tblPr>
        <w:tblW w:w="10205" w:type="dxa"/>
        <w:jc w:val="left"/>
        <w:tblInd w:w="0" w:type="dxa"/>
        <w:tblLayout w:type="fixed"/>
        <w:tblCellMar>
          <w:top w:w="28" w:type="dxa"/>
          <w:left w:w="28" w:type="dxa"/>
          <w:bottom w:w="28" w:type="dxa"/>
          <w:right w:w="28" w:type="dxa"/>
        </w:tblCellMar>
      </w:tblPr>
      <w:tblGrid>
        <w:gridCol w:w="2320"/>
        <w:gridCol w:w="2028"/>
        <w:gridCol w:w="2034"/>
        <w:gridCol w:w="226"/>
        <w:gridCol w:w="706"/>
        <w:gridCol w:w="109"/>
        <w:gridCol w:w="109"/>
        <w:gridCol w:w="109"/>
        <w:gridCol w:w="109"/>
        <w:gridCol w:w="226"/>
        <w:gridCol w:w="706"/>
        <w:gridCol w:w="109"/>
        <w:gridCol w:w="109"/>
        <w:gridCol w:w="109"/>
        <w:gridCol w:w="109"/>
        <w:gridCol w:w="226"/>
        <w:gridCol w:w="706"/>
        <w:gridCol w:w="155"/>
      </w:tblGrid>
      <w:tr>
        <w:trPr/>
        <w:tc>
          <w:tcPr>
            <w:tcW w:w="2320"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Work Sans;sans-serif" w:hAnsi="Work Sans;sans-serif"/>
                <w:b/>
                <w:color w:val="000000"/>
                <w:sz w:val="18"/>
              </w:rPr>
            </w:pPr>
            <w:r>
              <w:rPr>
                <w:rFonts w:ascii="Work Sans;sans-serif" w:hAnsi="Work Sans;sans-serif"/>
                <w:b/>
                <w:color w:val="000000"/>
                <w:sz w:val="18"/>
              </w:rPr>
              <w:t>2023</w:t>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Beginning balance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4,730 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Add: amounts recognized as a reduction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8,220 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Add (Less): allowance for credit losses recognized in general and administrative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1,144 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Less: write-offs, net of recoveries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(9,188)</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Ending balance</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4,906 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allowance recognized as a reduction of revenue primarily relates to our installment plan receivables for which we expect we will not be entitled to a portion of the transaction price based on our historical experience with similar transactions. The allowance recognized against general and administrative expense represents an allowance relating to receivables from partners that are no longer considered collectible.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33350"/>
                <wp:effectExtent l="0" t="0" r="0" b="0"/>
                <wp:wrapNone/>
                <wp:docPr id="81" name="Frame8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Prepaid Expenses and Other Current Assets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Prepaid expenses and other current assets consisted of the following (in thousands):</w:t>
      </w:r>
    </w:p>
    <w:tbl>
      <w:tblPr>
        <w:tblW w:w="7193" w:type="dxa"/>
        <w:jc w:val="left"/>
        <w:tblInd w:w="0" w:type="dxa"/>
        <w:tblLayout w:type="fixed"/>
        <w:tblCellMar>
          <w:top w:w="28" w:type="dxa"/>
          <w:left w:w="28" w:type="dxa"/>
          <w:bottom w:w="28" w:type="dxa"/>
          <w:right w:w="28" w:type="dxa"/>
        </w:tblCellMar>
      </w:tblPr>
      <w:tblGrid>
        <w:gridCol w:w="1631"/>
        <w:gridCol w:w="1433"/>
        <w:gridCol w:w="1435"/>
        <w:gridCol w:w="226"/>
        <w:gridCol w:w="826"/>
        <w:gridCol w:w="109"/>
        <w:gridCol w:w="109"/>
        <w:gridCol w:w="109"/>
        <w:gridCol w:w="109"/>
        <w:gridCol w:w="226"/>
        <w:gridCol w:w="826"/>
        <w:gridCol w:w="154"/>
      </w:tblGrid>
      <w:tr>
        <w:trPr/>
        <w:tc>
          <w:tcPr>
            <w:tcW w:w="1631"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As of December 31,</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Work Sans;sans-serif" w:hAnsi="Work Sans;sans-serif"/>
                <w:b/>
                <w:color w:val="000000"/>
                <w:sz w:val="18"/>
              </w:rPr>
            </w:pPr>
            <w:r>
              <w:rPr>
                <w:rFonts w:ascii="Work Sans;sans-serif" w:hAnsi="Work Sans;sans-serif"/>
                <w:b/>
                <w:color w:val="000000"/>
                <w:sz w:val="18"/>
              </w:rPr>
              <w:t>2024</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Prepaid expenses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9,129 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Deferred cost of revenue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1,670 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Capitalized cloud computing development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1,599 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Income tax receivable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3,701 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current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prepaid expenses and other current assets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18,234 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17,926 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Accrued Expenses and Other Current Liabilities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Accrued expenses and other current liabilities consisted of the following (in thousands):</w:t>
      </w:r>
    </w:p>
    <w:tbl>
      <w:tblPr>
        <w:tblW w:w="7553" w:type="dxa"/>
        <w:jc w:val="left"/>
        <w:tblInd w:w="0" w:type="dxa"/>
        <w:tblLayout w:type="fixed"/>
        <w:tblCellMar>
          <w:top w:w="28" w:type="dxa"/>
          <w:left w:w="28" w:type="dxa"/>
          <w:bottom w:w="28" w:type="dxa"/>
          <w:right w:w="28" w:type="dxa"/>
        </w:tblCellMar>
      </w:tblPr>
      <w:tblGrid>
        <w:gridCol w:w="1760"/>
        <w:gridCol w:w="1547"/>
        <w:gridCol w:w="1552"/>
        <w:gridCol w:w="226"/>
        <w:gridCol w:w="826"/>
        <w:gridCol w:w="109"/>
        <w:gridCol w:w="109"/>
        <w:gridCol w:w="109"/>
        <w:gridCol w:w="109"/>
        <w:gridCol w:w="226"/>
        <w:gridCol w:w="826"/>
        <w:gridCol w:w="154"/>
      </w:tblGrid>
      <w:tr>
        <w:trPr/>
        <w:tc>
          <w:tcPr>
            <w:tcW w:w="1760"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As December 31,</w:t>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Work Sans;sans-serif" w:hAnsi="Work Sans;sans-serif"/>
                <w:b/>
                <w:color w:val="000000"/>
                <w:sz w:val="18"/>
              </w:rPr>
            </w:pPr>
            <w:r>
              <w:rPr>
                <w:rFonts w:ascii="Work Sans;sans-serif" w:hAnsi="Work Sans;sans-serif"/>
                <w:b/>
                <w:color w:val="000000"/>
                <w:sz w:val="18"/>
              </w:rPr>
              <w:t>2024</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Accrued payroll and related expenses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27,518 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Accrued vendor payables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15,895 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Accrued advertising</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1,636 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Sales allowances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3,086 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Accrued sales, use and business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Deferred consideration relating to business acquired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accrued expenses and other current liabilities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83,361 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57,928 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Changes in sales allowances relating to charge-backs, sales credits and refunds consisted of the following (in thousands):</w:t>
      </w:r>
    </w:p>
    <w:tbl>
      <w:tblPr>
        <w:tblW w:w="6927" w:type="dxa"/>
        <w:jc w:val="left"/>
        <w:tblInd w:w="0" w:type="dxa"/>
        <w:tblLayout w:type="fixed"/>
        <w:tblCellMar>
          <w:top w:w="28" w:type="dxa"/>
          <w:left w:w="28" w:type="dxa"/>
          <w:bottom w:w="28" w:type="dxa"/>
          <w:right w:w="28" w:type="dxa"/>
        </w:tblCellMar>
      </w:tblPr>
      <w:tblGrid>
        <w:gridCol w:w="1124"/>
        <w:gridCol w:w="989"/>
        <w:gridCol w:w="992"/>
        <w:gridCol w:w="226"/>
        <w:gridCol w:w="706"/>
        <w:gridCol w:w="109"/>
        <w:gridCol w:w="109"/>
        <w:gridCol w:w="109"/>
        <w:gridCol w:w="109"/>
        <w:gridCol w:w="226"/>
        <w:gridCol w:w="706"/>
        <w:gridCol w:w="109"/>
        <w:gridCol w:w="109"/>
        <w:gridCol w:w="109"/>
        <w:gridCol w:w="109"/>
        <w:gridCol w:w="226"/>
        <w:gridCol w:w="706"/>
        <w:gridCol w:w="154"/>
      </w:tblGrid>
      <w:tr>
        <w:trPr/>
        <w:tc>
          <w:tcPr>
            <w:tcW w:w="112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Work Sans;sans-serif" w:hAnsi="Work Sans;sans-serif"/>
                <w:b/>
                <w:color w:val="000000"/>
                <w:sz w:val="18"/>
              </w:rPr>
            </w:pPr>
            <w:r>
              <w:rPr>
                <w:rFonts w:ascii="Work Sans;sans-serif" w:hAnsi="Work Sans;sans-serif"/>
                <w:b/>
                <w:color w:val="000000"/>
                <w:sz w:val="18"/>
              </w:rPr>
              <w:t>2023</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Beginning balance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Add: increase in sales allowances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6,635 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Less: utilization of reserves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(7,649)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Ending balance</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Depreciation and Amortization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Depreciation and amortization expense of our property and equipment, including capitalized internal-use software, and intangible assets consisted of the following (in thousands):</w:t>
      </w:r>
    </w:p>
    <w:tbl>
      <w:tblPr>
        <w:tblW w:w="8321" w:type="dxa"/>
        <w:jc w:val="left"/>
        <w:tblInd w:w="0" w:type="dxa"/>
        <w:tblLayout w:type="fixed"/>
        <w:tblCellMar>
          <w:top w:w="28" w:type="dxa"/>
          <w:left w:w="28" w:type="dxa"/>
          <w:bottom w:w="28" w:type="dxa"/>
          <w:right w:w="28" w:type="dxa"/>
        </w:tblCellMar>
      </w:tblPr>
      <w:tblGrid>
        <w:gridCol w:w="1499"/>
        <w:gridCol w:w="1315"/>
        <w:gridCol w:w="1325"/>
        <w:gridCol w:w="226"/>
        <w:gridCol w:w="826"/>
        <w:gridCol w:w="109"/>
        <w:gridCol w:w="109"/>
        <w:gridCol w:w="109"/>
        <w:gridCol w:w="109"/>
        <w:gridCol w:w="226"/>
        <w:gridCol w:w="826"/>
        <w:gridCol w:w="109"/>
        <w:gridCol w:w="109"/>
        <w:gridCol w:w="109"/>
        <w:gridCol w:w="109"/>
        <w:gridCol w:w="226"/>
        <w:gridCol w:w="826"/>
        <w:gridCol w:w="154"/>
      </w:tblGrid>
      <w:tr>
        <w:trPr/>
        <w:tc>
          <w:tcPr>
            <w:tcW w:w="149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Work Sans;sans-serif" w:hAnsi="Work Sans;sans-serif"/>
                <w:b/>
                <w:color w:val="000000"/>
                <w:sz w:val="18"/>
              </w:rPr>
            </w:pPr>
            <w:r>
              <w:rPr>
                <w:rFonts w:ascii="Work Sans;sans-serif" w:hAnsi="Work Sans;sans-serif"/>
                <w:b/>
                <w:color w:val="000000"/>
                <w:sz w:val="18"/>
              </w:rPr>
              <w:t>2023</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12,772 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5,286 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4,184 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depreciation and amortization expense</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44,123 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34,927 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25,383 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33350"/>
                <wp:effectExtent l="0" t="0" r="0" b="0"/>
                <wp:wrapNone/>
                <wp:docPr id="82" name="Frame8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Deferred Revenue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Deferred revenue as of December 31, 2025 and 2024 was $203.9 million and $175.0 million, respectively. Revenue recognized in 2025, 2024 and 2023 that was included in deferred revenue at the beginning of the year was $174.5 million, $168.0 million and $163.4 million, respectively. We expect to recognize substantially all of the deferred revenue as of December 31, 2025 as revenue in 2026.</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omitted disclosure on the transaction price allocated to remaining performance obligations and estimated timing of revenue recognition as our contracts with customers that have a duration of more than one year are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4. Assets Held for Sale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September 2022, following an evaluation of our office space and business requirements, we determined that our operational headquarters property at 9900 Spectrum Drive in Austin, Texas was no longer aligned with operational needs due to an increased shift to remote work. As a result, we initiated plans to sell the property consisting of land, a building and building improvements, and classified these assets as held for sale.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On September 24, 2024, we entered into a binding purchase and sale agreement for this property with Round Rock Independent School District. The sale was completed on March 31, 2025, and we received net cash proceeds of approximately $37.1 million after deducting selling costs such as brokerage commissions, title fees, and asset disposal costs.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Prior to completion of the sale, the property had a carrying value of $22.7 million. As a result of the sale, we recognized a gain of $14.3 million. This gain is recorded in gain on sale of assets held for sale on the accompanying consolidated statements of operations.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As of March 31, 2025, the property was fully derecognized from our accompanying consolidated balance sheets and no amounts remain to be classified as held for sale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5. Acquisitions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Formation Nation, Inc.</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On February 10, 2025, we acquired all of the outstanding equity interests of Formation Nation in exchange for a total consideration of $83.2 million consisting of cash, net working capital adjustments and equity consideration comprising 2,205,445 restricted shares of our common stock. The shares are subject to a lock-up and voting agreement, and a portion of the cash consideration is subject to a one-year holdback and customary adjustments. Upon closing of the transaction, Formation Nation and its subsidiaries – including Inc Authority and Nevada Corporate Headquarters, Inc. – became wholly owned subsidiaries of LegalZoom.</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Formation Nation is a Nevada-based small business services company with a range of legal and business solutions, from highly personalized offerings, to lower-cost value options. The acquisition of Formation Nation, along with its subsidiaries, was completed in order to accelerate our strategy of attracting higher value customers by leveraging Formation Nation’s best-in-class customer service teams, expand our portfolio of offerings, and enable us to reach a broader customer base.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acquisition meets the criteria to be accounted for as a business combination which requires, among other things, that assets acquired and liabilities assumed be recognized at their fair values as of the acquisition date and that the difference between the fair value of the consideration paid for the acquired entity and the fair value of net assets acquired be recorded as goodwill, which is not amortized but is tested at least annually for impairment.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fair value of consideration transferred is as follows (in thousands):</w:t>
      </w:r>
    </w:p>
    <w:tbl>
      <w:tblPr>
        <w:tblW w:w="4175" w:type="dxa"/>
        <w:jc w:val="left"/>
        <w:tblInd w:w="0" w:type="dxa"/>
        <w:tblLayout w:type="fixed"/>
        <w:tblCellMar>
          <w:top w:w="28" w:type="dxa"/>
          <w:left w:w="28" w:type="dxa"/>
          <w:bottom w:w="28" w:type="dxa"/>
          <w:right w:w="28" w:type="dxa"/>
        </w:tblCellMar>
      </w:tblPr>
      <w:tblGrid>
        <w:gridCol w:w="1077"/>
        <w:gridCol w:w="941"/>
        <w:gridCol w:w="951"/>
        <w:gridCol w:w="226"/>
        <w:gridCol w:w="826"/>
        <w:gridCol w:w="154"/>
      </w:tblGrid>
      <w:tr>
        <w:trPr/>
        <w:tc>
          <w:tcPr>
            <w:tcW w:w="107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Cash paid at close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50,076 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working capital adjustment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Equity consideration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20,047 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Deferred cash consideration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12,729 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consideration transferred</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83,197 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fair value of equity issued to the selling shareholder was determined based on the closing price of our common stock immediately prior to acquisition.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Approximately $12.9 million of the preliminary consideration was deferred to satisfy any necessary adjustments, including without limitation, indemnification claims related to general representations and warranties, any net working capital adjustments and deferred change in control bonuses. This deferred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33350"/>
                <wp:effectExtent l="0" t="0" r="0" b="0"/>
                <wp:wrapNone/>
                <wp:docPr id="83" name="Frame8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consideration is expected to be settled in cash after a 12-month holdback period, net of any amounts necessary to satisfy all unsatisfied or disputed claims for indemnification and net working capital adjustments. An additional $0.2 million in consideration is payable in two installments on the one- and two-year anniversary of the acquisition date. Deferred cash consideration was adjusted from the preliminary deferred cash consideration through the measurement period primarily as a result of adjustments related to state, federal and sales tax filings related to Formation Nation’s pre-acquisition results. The current portion of deferred consideration was included in accrued expenses and other current liabilities and the non-current portion was included in other liabilities on our consolidated balance sheet based on their respective due dates.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identifiable assets acquired and liabilities assumed were recorded at their fair values as of the acquisition date and consolidated with those of the Company based on management's estimates and assumptions. Assigning fair market values to the assets acquired and liabilities assumed at the date of an acquisition requires the use of significant judgments regarding estimates and assumptions that may change during the measurement period, which will not exceed one year from the acquisition date. As of December 31, 2025, we have completed the allocation of fair market values to the assets acquired and liabilities assumed for the acquisition of Formation Nation. The fair values of the customer relationships were calculated using income and cost approaches, including the multi-period excess earnings method. The fair values of developed technology and in-process research &amp; development were calculated using cost approaches, and the fair value of trade names was calculated using the relief from royalty method.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Goodwill represents the excess of the purchase price over the identifiable net assets acquired arising from the business combination. The goodwill related to the acquisition was attributable largely to the assembled workforce and synergies expected from combining our operations, and is not deductible for tax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33350"/>
                <wp:effectExtent l="0" t="0" r="0" b="0"/>
                <wp:wrapNone/>
                <wp:docPr id="84" name="Frame8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summarizes the final allocation of the purchase consideration to the assets acquired and liabilities assumed (in thousands):</w:t>
      </w:r>
    </w:p>
    <w:p>
      <w:pPr>
        <w:pStyle w:val="TextBody"/>
        <w:bidi w:val="0"/>
        <w:spacing w:before="0" w:after="0"/>
        <w:ind w:left="0" w:right="0" w:firstLine="450"/>
        <w:jc w:val="left"/>
        <w:rPr/>
      </w:pPr>
      <w:r>
        <w:rPr/>
      </w:r>
    </w:p>
    <w:tbl>
      <w:tblPr>
        <w:tblW w:w="10205" w:type="dxa"/>
        <w:jc w:val="left"/>
        <w:tblInd w:w="0" w:type="dxa"/>
        <w:tblLayout w:type="fixed"/>
        <w:tblCellMar>
          <w:top w:w="28" w:type="dxa"/>
          <w:left w:w="28" w:type="dxa"/>
          <w:bottom w:w="28" w:type="dxa"/>
          <w:right w:w="28" w:type="dxa"/>
        </w:tblCellMar>
      </w:tblPr>
      <w:tblGrid>
        <w:gridCol w:w="891"/>
        <w:gridCol w:w="756"/>
        <w:gridCol w:w="758"/>
        <w:gridCol w:w="486"/>
        <w:gridCol w:w="2038"/>
        <w:gridCol w:w="236"/>
        <w:gridCol w:w="535"/>
        <w:gridCol w:w="1673"/>
        <w:gridCol w:w="258"/>
        <w:gridCol w:w="436"/>
        <w:gridCol w:w="1832"/>
        <w:gridCol w:w="306"/>
      </w:tblGrid>
      <w:tr>
        <w:trPr/>
        <w:tc>
          <w:tcPr>
            <w:tcW w:w="89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Preliminary Allocation of Purchase Consideration</w:t>
            </w:r>
          </w:p>
        </w:tc>
        <w:tc>
          <w:tcPr>
            <w:tcW w:w="246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Work Sans;sans-serif" w:hAnsi="Work Sans;sans-serif"/>
                <w:b/>
                <w:color w:val="000000"/>
                <w:sz w:val="18"/>
              </w:rPr>
              <w:t>Measurement period adjustments, net</w:t>
            </w:r>
            <w:r>
              <w:rPr>
                <w:rFonts w:ascii="Work Sans;sans-serif" w:hAnsi="Work Sans;sans-serif"/>
                <w:b/>
                <w:color w:val="000000"/>
                <w:sz w:val="12"/>
              </w:rPr>
              <w:t>(1)</w:t>
            </w:r>
          </w:p>
        </w:tc>
        <w:tc>
          <w:tcPr>
            <w:tcW w:w="2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Final Allocation of Purchase Consideration</w:t>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Cash and cash equivalents</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2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1,953 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1,953 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Accounts receivable</w:t>
            </w:r>
          </w:p>
        </w:tc>
        <w:tc>
          <w:tcPr>
            <w:tcW w:w="25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276 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276 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Prepaid expenses and other current assets</w:t>
            </w:r>
          </w:p>
        </w:tc>
        <w:tc>
          <w:tcPr>
            <w:tcW w:w="2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257 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Operating lease right-of-use assets</w:t>
            </w:r>
          </w:p>
        </w:tc>
        <w:tc>
          <w:tcPr>
            <w:tcW w:w="25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3,884 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3,884 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assets</w:t>
            </w:r>
          </w:p>
        </w:tc>
        <w:tc>
          <w:tcPr>
            <w:tcW w:w="2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Intangible assets</w:t>
            </w:r>
          </w:p>
        </w:tc>
        <w:tc>
          <w:tcPr>
            <w:tcW w:w="25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17,300 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17,300 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Deferred tax assets</w:t>
            </w:r>
          </w:p>
        </w:tc>
        <w:tc>
          <w:tcPr>
            <w:tcW w:w="2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1,890 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1,890 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Goodwill</w:t>
            </w:r>
          </w:p>
        </w:tc>
        <w:tc>
          <w:tcPr>
            <w:tcW w:w="25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77,813 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(426)</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77,387 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assets acquired</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2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101,563 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1,464 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103,027 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Accounts payable</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2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535 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535 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Accrued expenses and other current liabilities</w:t>
            </w:r>
            <w:r>
              <w:rPr>
                <w:rFonts w:ascii="Work Sans;sans-serif" w:hAnsi="Work Sans;sans-serif"/>
                <w:b w:val="false"/>
                <w:color w:val="000000"/>
                <w:sz w:val="12"/>
              </w:rPr>
              <w:t>(2)</w:t>
            </w:r>
          </w:p>
        </w:tc>
        <w:tc>
          <w:tcPr>
            <w:tcW w:w="25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4,744 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1,465 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6,209 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Operating lease liabilities, current and non-current</w:t>
            </w:r>
          </w:p>
        </w:tc>
        <w:tc>
          <w:tcPr>
            <w:tcW w:w="2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3,504 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3,504 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Deferred revenue</w:t>
            </w:r>
          </w:p>
        </w:tc>
        <w:tc>
          <w:tcPr>
            <w:tcW w:w="25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9,582 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9,582 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liabilities</w:t>
            </w:r>
          </w:p>
        </w:tc>
        <w:tc>
          <w:tcPr>
            <w:tcW w:w="2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assets acquired</w:t>
            </w:r>
          </w:p>
        </w:tc>
        <w:tc>
          <w:tcPr>
            <w:tcW w:w="4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20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83,182 </w:t>
            </w:r>
          </w:p>
        </w:tc>
        <w:tc>
          <w:tcPr>
            <w:tcW w:w="2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6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15 </w:t>
            </w:r>
          </w:p>
        </w:tc>
        <w:tc>
          <w:tcPr>
            <w:tcW w:w="2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8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83,197 </w:t>
            </w:r>
          </w:p>
        </w:tc>
        <w:tc>
          <w:tcPr>
            <w:tcW w:w="3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Work Sans;sans-serif" w:hAnsi="Work Sans;sans-serif"/>
          <w:b w:val="false"/>
          <w:color w:val="000000"/>
          <w:sz w:val="12"/>
        </w:rPr>
        <w:t>(1)</w:t>
      </w:r>
      <w:r>
        <w:rPr>
          <w:color w:val="000000"/>
        </w:rPr>
        <w:t xml:space="preserve"> </w:t>
      </w:r>
      <w:r>
        <w:rPr>
          <w:rFonts w:ascii="Work Sans;sans-serif" w:hAnsi="Work Sans;sans-serif"/>
          <w:b w:val="false"/>
          <w:color w:val="000000"/>
          <w:sz w:val="18"/>
        </w:rPr>
        <w:t>Measurement period adjustments are primarily related to state, federal and sales tax adjustments related to Formation Nation’s pre-acquisition results.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summarizes the valuation of acquired intangible assets and estimated useful lives as of the acquisition date (in thousands, except years):</w:t>
      </w:r>
    </w:p>
    <w:p>
      <w:pPr>
        <w:pStyle w:val="TextBody"/>
        <w:bidi w:val="0"/>
        <w:spacing w:before="0" w:after="0"/>
        <w:jc w:val="left"/>
        <w:rPr/>
      </w:pPr>
      <w:r>
        <w:rPr/>
      </w:r>
    </w:p>
    <w:tbl>
      <w:tblPr>
        <w:tblW w:w="7850" w:type="dxa"/>
        <w:jc w:val="left"/>
        <w:tblInd w:w="0" w:type="dxa"/>
        <w:tblLayout w:type="fixed"/>
        <w:tblCellMar>
          <w:top w:w="28" w:type="dxa"/>
          <w:left w:w="28" w:type="dxa"/>
          <w:bottom w:w="28" w:type="dxa"/>
          <w:right w:w="28" w:type="dxa"/>
        </w:tblCellMar>
      </w:tblPr>
      <w:tblGrid>
        <w:gridCol w:w="1207"/>
        <w:gridCol w:w="1058"/>
        <w:gridCol w:w="1064"/>
        <w:gridCol w:w="226"/>
        <w:gridCol w:w="826"/>
        <w:gridCol w:w="109"/>
        <w:gridCol w:w="982"/>
        <w:gridCol w:w="982"/>
        <w:gridCol w:w="1396"/>
      </w:tblGrid>
      <w:tr>
        <w:trPr/>
        <w:tc>
          <w:tcPr>
            <w:tcW w:w="120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Fair Value</w:t>
            </w:r>
          </w:p>
        </w:tc>
        <w:tc>
          <w:tcPr>
            <w:tcW w:w="33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Estimated remaining useful life</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Customer relationships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5</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Developed technology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4</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Trade names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5</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In-process research &amp; development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N/A</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identifiable intangible assets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17,300 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Acquisition costs related to this transaction of approximately $1.5 million were expensed as incurred and are included in general and administrative expenses in the accompanying consolidated statements of operations during the year ended December 31, 2025.</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Results of Formation Nation, inclusive of any synergy effects, cross-selling, or cross-marketing benefits, were included in our results of operations since February 10, 2025, the date of acquisition. Revenue and net loss attributable to Formation Nation included within the consolidated statements of operations since the acquisition date were approximately $51.4 million and $4.9 million, respectively, for the year ended December 31, 2025.</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Pro forma revenues and results of operations for this acquisition have not been presented as the impact on our consolidated financial statements would be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33350"/>
                <wp:effectExtent l="0" t="0" r="0" b="0"/>
                <wp:wrapNone/>
                <wp:docPr id="85" name="Frame8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6. Investments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Available-for-sale Debt Security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2019, we invested in LegalVision Pty Ltd., or LegalVision, an Australian proprietary limited company that provides online legal services to small and medium-sized businesses, through the purchase of a convertible promissory note for a total of Australian Dollar, or AUD, $1.0 million (USD $0.7 million). The convertible promissory note had a maturity term of ten years and was convertible into LegalVision’s common stock. The underlying conversion feature was automatically exercisable upon the occurrence of certain exit events, including an IPO, merger or sale, a new financing round, or at our election. At December 31, 2024, we did not hold any equity interests or in-substance common stock in LegalVision, and accordingly, we classified the convertible promissory note as an investment in an available-for-sale debt security in the accompanying consolidated balance sheets.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fair value of the convertible promissory note was based on unobservable inputs that were categorized as Level 3 in the fair value hierarchy. The fair value was estimated using a Monte Carlo simulation model. Key assumptions used in the valuation as of December 31, 2024 included an expected term of 4.3 years, risk-free rate of 3.9% and volatility of 55%.</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During the year ended December 31, 2025, we sold our available-for-sale debt security in LegalVision and received total proceeds of $1.6 million. As a result of the sale, we recorded a net gain of $0.8 million in other income, net, in the accompanying consolidated statements of operations.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Investments in Other Equity Security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hold an equity investment in LawPath, Pty Ltd, or LawPath, an Australian proprietary limited company that provides an online legal platform to individuals and small and medium size businesses. At December 31, 2025 and 2024 the carrying amount of our investment in LawPath was $4.7 million and $4.4 million, respectively. The investment in LawPath does not have a readily determinable fair value. The change in fair value, due to an orderly transaction, in our other equity security was $0.3 million for the year ended December 31, 2025, which was recognized in other income, net in our consolidated statements of operations.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There were no impairments of our investments during the years ended December 31, 2025, 2024, and 2023. At December 31, 2025 and 2024, the carrying value of these investments is included in other assets in the accompanying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7. Property and Equipment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Property and equipment, net, consisted of the following (in thousands):</w:t>
      </w:r>
    </w:p>
    <w:tbl>
      <w:tblPr>
        <w:tblW w:w="7524" w:type="dxa"/>
        <w:jc w:val="left"/>
        <w:tblInd w:w="0" w:type="dxa"/>
        <w:tblLayout w:type="fixed"/>
        <w:tblCellMar>
          <w:top w:w="28" w:type="dxa"/>
          <w:left w:w="28" w:type="dxa"/>
          <w:bottom w:w="28" w:type="dxa"/>
          <w:right w:w="28" w:type="dxa"/>
        </w:tblCellMar>
      </w:tblPr>
      <w:tblGrid>
        <w:gridCol w:w="1662"/>
        <w:gridCol w:w="1462"/>
        <w:gridCol w:w="1466"/>
        <w:gridCol w:w="226"/>
        <w:gridCol w:w="946"/>
        <w:gridCol w:w="109"/>
        <w:gridCol w:w="109"/>
        <w:gridCol w:w="109"/>
        <w:gridCol w:w="109"/>
        <w:gridCol w:w="226"/>
        <w:gridCol w:w="946"/>
        <w:gridCol w:w="154"/>
      </w:tblGrid>
      <w:tr>
        <w:trPr/>
        <w:tc>
          <w:tcPr>
            <w:tcW w:w="1662"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As of December 31,</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Internal-use software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145,294 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124,628 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Purchased software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Furniture and office equipment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Computer hardware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Leasehold improvements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Work Sans;sans-serif" w:hAnsi="Work Sans;sans-serif"/>
                <w:b w:val="false"/>
                <w:color w:val="000000"/>
                <w:sz w:val="18"/>
              </w:rPr>
            </w:pPr>
            <w:r>
              <w:rPr>
                <w:rFonts w:ascii="Work Sans;sans-serif" w:hAnsi="Work Sans;sans-serif"/>
                <w:b w:val="false"/>
                <w:color w:val="000000"/>
                <w:sz w:val="18"/>
              </w:rPr>
              <w:t>Total cost of property and equipment</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153,477 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134,295 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Less: accumulated depreciation and amortization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(95,432)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(74,507)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Work Sans;sans-serif" w:hAnsi="Work Sans;sans-serif"/>
                <w:b w:val="false"/>
                <w:color w:val="000000"/>
                <w:sz w:val="18"/>
              </w:rPr>
            </w:pPr>
            <w:r>
              <w:rPr>
                <w:rFonts w:ascii="Work Sans;sans-serif" w:hAnsi="Work Sans;sans-serif"/>
                <w:b w:val="false"/>
                <w:color w:val="000000"/>
                <w:sz w:val="18"/>
              </w:rPr>
              <w:t>Property and equipment, net</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58,045 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59,788 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Depreciation and amortization expense related to property and equipment was $36.3 million, $29.8 million and $20.2 million for 2025, 2024 and 2023, respectively.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At December 31, 2025 and 2024 accumulated amortization in connection with internal-use software costs was $77.2 million and $68.0 million, respectively. In 2025, 2024 and 2023, we recorded amortization expense of $34.5 million, $27.6 million and $17.6 million, respectively, in connection with these costs. In 2025, 2024 and 2023, we capitalized internal-use software development costs of $32.7 million, $40.4 million and $35.0 million respectively. In 2025, we wrote off $12.0 million software development costs. These software development costs represented fully depreciated assets that were no longer in service. In 2025, 2024 and 2023, no software development costs were impaired.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33350"/>
                <wp:effectExtent l="0" t="0" r="0" b="0"/>
                <wp:wrapNone/>
                <wp:docPr id="86" name="Frame8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8. Leases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conduct operations from certain leased facilities in various locations. At December 31, 2025, we had various non-cancelable operating leases for office space and equipment, which expire between June 2026 and June 2033, and which represent the non-cancelable periods of the leases and include extension options that we determined are reasonably certain to be exercised. We exclude extension options that are not reasonably certain to be exercised from our lease terms. Our lease payments consist primarily of fixed rental payments for the right to use the underlying leased assets over the lease terms. We often receive customary incentives from our landlords, such as reimbursements for tenant improvements and rent abatement periods, which effectively reduce the total lease payments owed for these leases.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Operating lease liabilities on our consolidated balance sheets represent the present value of our remaining lease payments over the remaining lease terms. We do not allocate lease payments to non-lease components. We use our incremental borrowing rate to calculate the present value of our lease payments, as the implicit rates in our leases are not readily determinable.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Leases consist of the following (in thousands):</w:t>
      </w:r>
    </w:p>
    <w:tbl>
      <w:tblPr>
        <w:tblW w:w="9378" w:type="dxa"/>
        <w:jc w:val="left"/>
        <w:tblInd w:w="0" w:type="dxa"/>
        <w:tblLayout w:type="fixed"/>
        <w:tblCellMar>
          <w:top w:w="28" w:type="dxa"/>
          <w:left w:w="28" w:type="dxa"/>
          <w:bottom w:w="28" w:type="dxa"/>
          <w:right w:w="28" w:type="dxa"/>
        </w:tblCellMar>
      </w:tblPr>
      <w:tblGrid>
        <w:gridCol w:w="683"/>
        <w:gridCol w:w="599"/>
        <w:gridCol w:w="608"/>
        <w:gridCol w:w="109"/>
        <w:gridCol w:w="109"/>
        <w:gridCol w:w="109"/>
        <w:gridCol w:w="1418"/>
        <w:gridCol w:w="1418"/>
        <w:gridCol w:w="1424"/>
        <w:gridCol w:w="109"/>
        <w:gridCol w:w="109"/>
        <w:gridCol w:w="109"/>
        <w:gridCol w:w="226"/>
        <w:gridCol w:w="826"/>
        <w:gridCol w:w="109"/>
        <w:gridCol w:w="109"/>
        <w:gridCol w:w="109"/>
        <w:gridCol w:w="109"/>
        <w:gridCol w:w="226"/>
        <w:gridCol w:w="706"/>
        <w:gridCol w:w="154"/>
      </w:tblGrid>
      <w:tr>
        <w:trPr/>
        <w:tc>
          <w:tcPr>
            <w:tcW w:w="68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88" w:before="0" w:after="0"/>
              <w:ind w:left="0" w:right="0" w:hanging="240"/>
              <w:jc w:val="center"/>
              <w:rPr>
                <w:rFonts w:ascii="Work Sans;sans-serif" w:hAnsi="Work Sans;sans-serif"/>
                <w:b/>
                <w:color w:val="000000"/>
                <w:sz w:val="18"/>
              </w:rPr>
            </w:pPr>
            <w:r>
              <w:rPr>
                <w:rFonts w:ascii="Work Sans;sans-serif" w:hAnsi="Work Sans;sans-serif"/>
                <w:b/>
                <w:color w:val="000000"/>
                <w:sz w:val="18"/>
              </w:rPr>
              <w:t>As of December 31,</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 xml:space="preserve">Classification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2024</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Work Sans;sans-serif" w:hAnsi="Work Sans;sans-serif"/>
                <w:b w:val="false"/>
                <w:color w:val="000000"/>
                <w:sz w:val="18"/>
              </w:rPr>
            </w:pPr>
            <w:r>
              <w:rPr>
                <w:rFonts w:ascii="Work Sans;sans-serif" w:hAnsi="Work Sans;sans-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7,189 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Finance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Work Sans;sans-serif" w:hAnsi="Work Sans;sans-serif"/>
                <w:b w:val="false"/>
                <w:color w:val="000000"/>
                <w:sz w:val="18"/>
              </w:rPr>
            </w:pPr>
            <w:r>
              <w:rPr>
                <w:rFonts w:ascii="Work Sans;sans-serif" w:hAnsi="Work Sans;sans-serif"/>
                <w:b w:val="false"/>
                <w:color w:val="000000"/>
                <w:sz w:val="18"/>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7,191 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 xml:space="preserve">Current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 xml:space="preserve">Operating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Work Sans;sans-serif" w:hAnsi="Work Sans;sans-serif"/>
                <w:b w:val="false"/>
                <w:color w:val="000000"/>
                <w:sz w:val="18"/>
              </w:rPr>
            </w:pPr>
            <w:r>
              <w:rPr>
                <w:rFonts w:ascii="Work Sans;sans-serif" w:hAnsi="Work Sans;sans-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Finance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Work Sans;sans-serif" w:hAnsi="Work Sans;sans-serif"/>
                <w:b w:val="false"/>
                <w:color w:val="000000"/>
                <w:sz w:val="18"/>
              </w:rPr>
            </w:pPr>
            <w:r>
              <w:rPr>
                <w:rFonts w:ascii="Work Sans;sans-serif" w:hAnsi="Work Sans;sans-serif"/>
                <w:b w:val="false"/>
                <w:color w:val="000000"/>
                <w:sz w:val="18"/>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 xml:space="preserve">Non Current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 xml:space="preserve">Operating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Work Sans;sans-serif" w:hAnsi="Work Sans;sans-serif"/>
                <w:b w:val="false"/>
                <w:color w:val="000000"/>
                <w:sz w:val="18"/>
              </w:rPr>
            </w:pPr>
            <w:r>
              <w:rPr>
                <w:rFonts w:ascii="Work Sans;sans-serif" w:hAnsi="Work Sans;sans-serif"/>
                <w:b w:val="false"/>
                <w:color w:val="000000"/>
                <w:sz w:val="18"/>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Work Sans;sans-serif" w:hAnsi="Work Sans;sans-serif"/>
                <w:b w:val="false"/>
                <w:color w:val="000000"/>
                <w:sz w:val="18"/>
              </w:rPr>
            </w:pPr>
            <w:r>
              <w:rPr>
                <w:rFonts w:ascii="Work Sans;sans-serif" w:hAnsi="Work Sans;sans-serif"/>
                <w:b w:val="false"/>
                <w:color w:val="000000"/>
                <w:sz w:val="18"/>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14,364 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7,882 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At December 31, 2025, the maturities of our remaining operating lease were as follows (in thousands, except years and percentages):</w:t>
      </w:r>
    </w:p>
    <w:tbl>
      <w:tblPr>
        <w:tblW w:w="9672" w:type="dxa"/>
        <w:jc w:val="left"/>
        <w:tblInd w:w="0" w:type="dxa"/>
        <w:tblLayout w:type="fixed"/>
        <w:tblCellMar>
          <w:top w:w="28" w:type="dxa"/>
          <w:left w:w="28" w:type="dxa"/>
          <w:bottom w:w="28" w:type="dxa"/>
          <w:right w:w="28" w:type="dxa"/>
        </w:tblCellMar>
      </w:tblPr>
      <w:tblGrid>
        <w:gridCol w:w="2536"/>
        <w:gridCol w:w="2236"/>
        <w:gridCol w:w="2262"/>
        <w:gridCol w:w="109"/>
        <w:gridCol w:w="109"/>
        <w:gridCol w:w="109"/>
        <w:gridCol w:w="312"/>
        <w:gridCol w:w="1143"/>
        <w:gridCol w:w="375"/>
        <w:gridCol w:w="109"/>
        <w:gridCol w:w="109"/>
        <w:gridCol w:w="109"/>
        <w:gridCol w:w="154"/>
      </w:tblGrid>
      <w:tr>
        <w:trPr/>
        <w:tc>
          <w:tcPr>
            <w:tcW w:w="2536"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c>
          <w:tcPr>
            <w:tcW w:w="18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Work Sans;sans-serif" w:hAnsi="Work Sans;sans-serif"/>
                <w:b/>
                <w:color w:val="000000"/>
                <w:sz w:val="18"/>
              </w:rPr>
            </w:pPr>
            <w:r>
              <w:rPr>
                <w:rFonts w:ascii="Work Sans;sans-serif" w:hAnsi="Work Sans;sans-serif"/>
                <w:b/>
                <w:color w:val="000000"/>
                <w:sz w:val="18"/>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4,456 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4,382 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3,247 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2,252 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847 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1,077 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Total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16,261 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Less: Effects of discounting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1,898 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14,363 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4,338 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Long-term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10,025 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Weighted-average remaining lease term as of December 31, 2025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Weighted-average incremental borrowing rate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6.18 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Weighted-average remaining lease term as of December 31, 2024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Weighted-average incremental borrowing rate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4.82 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33350"/>
                <wp:effectExtent l="0" t="0" r="0" b="0"/>
                <wp:wrapNone/>
                <wp:docPr id="87" name="Frame8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component of our lease costs included in our consolidated statements of operations were as follows (in thousands):</w:t>
      </w:r>
    </w:p>
    <w:tbl>
      <w:tblPr>
        <w:tblW w:w="5669" w:type="dxa"/>
        <w:jc w:val="left"/>
        <w:tblInd w:w="0" w:type="dxa"/>
        <w:tblLayout w:type="fixed"/>
        <w:tblCellMar>
          <w:top w:w="28" w:type="dxa"/>
          <w:left w:w="28" w:type="dxa"/>
          <w:bottom w:w="28" w:type="dxa"/>
          <w:right w:w="28" w:type="dxa"/>
        </w:tblCellMar>
      </w:tblPr>
      <w:tblGrid>
        <w:gridCol w:w="710"/>
        <w:gridCol w:w="625"/>
        <w:gridCol w:w="629"/>
        <w:gridCol w:w="226"/>
        <w:gridCol w:w="706"/>
        <w:gridCol w:w="109"/>
        <w:gridCol w:w="109"/>
        <w:gridCol w:w="109"/>
        <w:gridCol w:w="109"/>
        <w:gridCol w:w="226"/>
        <w:gridCol w:w="706"/>
        <w:gridCol w:w="109"/>
        <w:gridCol w:w="109"/>
        <w:gridCol w:w="109"/>
        <w:gridCol w:w="109"/>
        <w:gridCol w:w="353"/>
        <w:gridCol w:w="353"/>
        <w:gridCol w:w="263"/>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15"/>
            <w:tcBorders/>
            <w:tcMar>
              <w:top w:w="0" w:type="dxa"/>
              <w:left w:w="0" w:type="dxa"/>
              <w:bottom w:w="0" w:type="dxa"/>
              <w:right w:w="0" w:type="dxa"/>
            </w:tcMar>
            <w:vAlign w:val="center"/>
          </w:tcPr>
          <w:p>
            <w:pPr>
              <w:pStyle w:val="TableContents"/>
              <w:bidi w:val="0"/>
              <w:spacing w:lineRule="auto" w:line="288" w:before="0" w:after="0"/>
              <w:ind w:left="0" w:right="0" w:hanging="24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240"/>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240"/>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Lease cost</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Operating lease cost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3,127 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variable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Finance lease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lease cost</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5,088 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3,441 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9. Goodwill</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changes in goodwill for 2025 and 2024 were as follows (in thousands):</w:t>
      </w:r>
    </w:p>
    <w:tbl>
      <w:tblPr>
        <w:tblW w:w="5781" w:type="dxa"/>
        <w:jc w:val="left"/>
        <w:tblInd w:w="0" w:type="dxa"/>
        <w:tblLayout w:type="fixed"/>
        <w:tblCellMar>
          <w:top w:w="28" w:type="dxa"/>
          <w:left w:w="28" w:type="dxa"/>
          <w:bottom w:w="28" w:type="dxa"/>
          <w:right w:w="28" w:type="dxa"/>
        </w:tblCellMar>
      </w:tblPr>
      <w:tblGrid>
        <w:gridCol w:w="1615"/>
        <w:gridCol w:w="1418"/>
        <w:gridCol w:w="1422"/>
        <w:gridCol w:w="226"/>
        <w:gridCol w:w="946"/>
        <w:gridCol w:w="154"/>
      </w:tblGrid>
      <w:tr>
        <w:trPr/>
        <w:tc>
          <w:tcPr>
            <w:tcW w:w="1615"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8"/>
              </w:rPr>
            </w:pPr>
            <w:r>
              <w:rPr>
                <w:rFonts w:ascii="Open Sans;sans-serif" w:hAnsi="Open Sans;sans-serif"/>
                <w:b/>
                <w:color w:val="000000"/>
                <w:sz w:val="18"/>
              </w:rPr>
              <w:t>Amount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color w:val="000000"/>
                <w:sz w:val="18"/>
              </w:rPr>
            </w:pPr>
            <w:r>
              <w:rPr>
                <w:rFonts w:ascii="Work Sans;sans-serif" w:hAnsi="Work Sans;sans-serif"/>
                <w:b/>
                <w:color w:val="000000"/>
                <w:sz w:val="18"/>
              </w:rPr>
              <w:t>Balance as of December 31, 2023 and 2024</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63,318 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Acquisition of Formation Nation</w:t>
            </w:r>
            <w:r>
              <w:rPr>
                <w:rFonts w:ascii="Work Sans;sans-serif" w:hAnsi="Work Sans;sans-serif"/>
                <w:b w:val="false"/>
                <w:color w:val="000000"/>
                <w:sz w:val="12"/>
              </w:rPr>
              <w:t>(1)</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77,387 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color w:val="000000"/>
                <w:sz w:val="18"/>
              </w:rPr>
            </w:pPr>
            <w:r>
              <w:rPr>
                <w:rFonts w:ascii="Work Sans;sans-serif" w:hAnsi="Work Sans;sans-serif"/>
                <w:b/>
                <w:color w:val="000000"/>
                <w:sz w:val="18"/>
              </w:rPr>
              <w:t>Balance as of December 31, 2025</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140,705 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270"/>
        <w:jc w:val="left"/>
        <w:rPr>
          <w:rFonts w:ascii="Work Sans;sans-serif" w:hAnsi="Work Sans;sans-serif"/>
          <w:b w:val="false"/>
          <w:color w:val="000000"/>
          <w:sz w:val="18"/>
        </w:rPr>
      </w:pPr>
      <w:r>
        <w:rPr>
          <w:rFonts w:ascii="Work Sans;sans-serif" w:hAnsi="Work Sans;sans-serif"/>
          <w:b w:val="false"/>
          <w:color w:val="000000"/>
          <w:sz w:val="18"/>
        </w:rPr>
        <w:t>(1) Amounts relate to the acquisition of Formation Nation. Refer to Note 5. Acquisition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10. Intangible Assets, net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Intangible assets, net, consisted of the following (in thousands):</w:t>
      </w:r>
    </w:p>
    <w:tbl>
      <w:tblPr>
        <w:tblW w:w="10205" w:type="dxa"/>
        <w:jc w:val="left"/>
        <w:tblInd w:w="0" w:type="dxa"/>
        <w:tblLayout w:type="fixed"/>
        <w:tblCellMar>
          <w:top w:w="28" w:type="dxa"/>
          <w:left w:w="28" w:type="dxa"/>
          <w:bottom w:w="28" w:type="dxa"/>
          <w:right w:w="28" w:type="dxa"/>
        </w:tblCellMar>
      </w:tblPr>
      <w:tblGrid>
        <w:gridCol w:w="910"/>
        <w:gridCol w:w="652"/>
        <w:gridCol w:w="653"/>
        <w:gridCol w:w="109"/>
        <w:gridCol w:w="109"/>
        <w:gridCol w:w="109"/>
        <w:gridCol w:w="807"/>
        <w:gridCol w:w="807"/>
        <w:gridCol w:w="809"/>
        <w:gridCol w:w="109"/>
        <w:gridCol w:w="109"/>
        <w:gridCol w:w="109"/>
        <w:gridCol w:w="504"/>
        <w:gridCol w:w="382"/>
        <w:gridCol w:w="384"/>
        <w:gridCol w:w="109"/>
        <w:gridCol w:w="109"/>
        <w:gridCol w:w="109"/>
        <w:gridCol w:w="733"/>
        <w:gridCol w:w="381"/>
        <w:gridCol w:w="385"/>
        <w:gridCol w:w="109"/>
        <w:gridCol w:w="109"/>
        <w:gridCol w:w="109"/>
        <w:gridCol w:w="672"/>
        <w:gridCol w:w="335"/>
        <w:gridCol w:w="483"/>
      </w:tblGrid>
      <w:tr>
        <w:trPr/>
        <w:tc>
          <w:tcPr>
            <w:tcW w:w="91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2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21"/>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Work Sans;sans-serif" w:hAnsi="Work Sans;sans-serif"/>
                <w:b/>
                <w:color w:val="000000"/>
                <w:sz w:val="18"/>
              </w:rPr>
              <w:t>As of December 31, 2025</w:t>
            </w:r>
          </w:p>
        </w:tc>
      </w:tr>
      <w:tr>
        <w:trPr/>
        <w:tc>
          <w:tcPr>
            <w:tcW w:w="2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Remaining Weighted average useful life</w:t>
            </w:r>
          </w:p>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Net Carrying</w:t>
              <w:br/>
              <w:t>Amount</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23,288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10,902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12,386</w:t>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17,681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14,157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3,524</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2,042</w:t>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Assembled workforce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In-process 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200</w:t>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43,973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25,821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18,152</w:t>
            </w:r>
          </w:p>
        </w:tc>
      </w:tr>
    </w:tbl>
    <w:tbl>
      <w:tblPr>
        <w:tblW w:w="10205" w:type="dxa"/>
        <w:jc w:val="left"/>
        <w:tblInd w:w="0" w:type="dxa"/>
        <w:tblLayout w:type="fixed"/>
        <w:tblCellMar>
          <w:top w:w="28" w:type="dxa"/>
          <w:left w:w="28" w:type="dxa"/>
          <w:bottom w:w="28" w:type="dxa"/>
          <w:right w:w="28" w:type="dxa"/>
        </w:tblCellMar>
      </w:tblPr>
      <w:tblGrid>
        <w:gridCol w:w="606"/>
        <w:gridCol w:w="497"/>
        <w:gridCol w:w="499"/>
        <w:gridCol w:w="109"/>
        <w:gridCol w:w="109"/>
        <w:gridCol w:w="109"/>
        <w:gridCol w:w="1021"/>
        <w:gridCol w:w="1021"/>
        <w:gridCol w:w="1024"/>
        <w:gridCol w:w="109"/>
        <w:gridCol w:w="109"/>
        <w:gridCol w:w="109"/>
        <w:gridCol w:w="504"/>
        <w:gridCol w:w="382"/>
        <w:gridCol w:w="384"/>
        <w:gridCol w:w="109"/>
        <w:gridCol w:w="109"/>
        <w:gridCol w:w="109"/>
        <w:gridCol w:w="733"/>
        <w:gridCol w:w="381"/>
        <w:gridCol w:w="385"/>
        <w:gridCol w:w="109"/>
        <w:gridCol w:w="109"/>
        <w:gridCol w:w="109"/>
        <w:gridCol w:w="672"/>
        <w:gridCol w:w="324"/>
        <w:gridCol w:w="464"/>
      </w:tblGrid>
      <w:tr>
        <w:trPr/>
        <w:tc>
          <w:tcPr>
            <w:tcW w:w="60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6"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As of December 31, 2024</w:t>
            </w:r>
          </w:p>
        </w:tc>
      </w:tr>
      <w:tr>
        <w:trPr/>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Remaining Weighted average useful life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Net Carrying</w:t>
              <w:br/>
              <w:t>Amount</w:t>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12,088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7,081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5,007</w:t>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14,281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10,666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3,615</w:t>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Assembled workforce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w:t>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26,673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8,653</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2025, 2024 and 2023, we recorded amortization expense of $7.8 million, $5.1 million and $5.2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33350"/>
                <wp:effectExtent l="0" t="0" r="0" b="0"/>
                <wp:wrapNone/>
                <wp:docPr id="88" name="Frame8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At December 31, 2025, estimated future intangible assets amortization expense was as follows (in thousands):</w:t>
      </w:r>
    </w:p>
    <w:tbl>
      <w:tblPr>
        <w:tblW w:w="4367" w:type="dxa"/>
        <w:jc w:val="left"/>
        <w:tblInd w:w="0" w:type="dxa"/>
        <w:tblLayout w:type="fixed"/>
        <w:tblCellMar>
          <w:top w:w="28" w:type="dxa"/>
          <w:left w:w="28" w:type="dxa"/>
          <w:bottom w:w="28" w:type="dxa"/>
          <w:right w:w="28" w:type="dxa"/>
        </w:tblCellMar>
      </w:tblPr>
      <w:tblGrid>
        <w:gridCol w:w="1205"/>
        <w:gridCol w:w="1060"/>
        <w:gridCol w:w="1065"/>
        <w:gridCol w:w="226"/>
        <w:gridCol w:w="335"/>
        <w:gridCol w:w="476"/>
      </w:tblGrid>
      <w:tr>
        <w:trPr/>
        <w:tc>
          <w:tcPr>
            <w:tcW w:w="120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color w:val="000000"/>
                <w:sz w:val="18"/>
              </w:rPr>
            </w:pPr>
            <w:r>
              <w:rPr>
                <w:rFonts w:ascii="Work Sans;sans-serif" w:hAnsi="Work Sans;sans-serif"/>
                <w:b/>
                <w:color w:val="000000"/>
                <w:sz w:val="18"/>
              </w:rPr>
              <w:t>For Years Ending December 31,</w:t>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2026</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6,260</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2027</w:t>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5,063</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2028</w:t>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3,590</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2029</w:t>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2,811</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2030</w:t>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228</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Total future amortization expense</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17,952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11. Long-term Debt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On July 2, 2021, we entered into an amended and restated credit and guaranty agreement, or the Revolving Facility, providing for revolving borrowings of up to $150.0 million with an availability period of five years. Under the Revolving Facility, we can use up to $20.0 million in letters of credit and up to $10.0 million in borrowings on same-day notice, referred to as swingline loans. On May 5, 2023, we entered into an amendment to the Revolving Facility to replace the LIBOR interest rate benchmark with the Secured Overnight Financing Rate, or SOFR, benchmark, with a 0.10% credit spread adjustment to the SOFR benchmark, or Adjusted Term SOFR, for all available interest periods, provided that if the Adjusted Term SOFR is less than zero, the Adjusted Term SOFR shall be deemed to be zero. Other than the foregoing, the remaining terms of the Revolving Facility remained unchanged.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On July 14, 2025, we entered into a second amendment to the Revolving Facility, or, as amended, the Amended Revolving Facility, which reduced the revolving loan commitment from $150.0 million to $100.0 million and extended the maturity date from July 2, 2026 to July 14, 2030. The terms of available letters of credit and swingline loans remained unchanged. In addition, the Amended Revolving Facility added additional reductions to the existing interest rate margins and the commitment fee upon achieving a total net lien leverage ratio of 1.00 to 1.00 and also removes the 0.10% credit spread adjustment to the SOFR benchmark for all available interest periods. As a result of the Amended Revolving Facility, we incurred $0.8 million of incremental deferred issuance costs. Those costs were capitalized in other assets in the consolidated balance sheets and are amortized straight-line over the term of the Amended Revolving Facility. In connection with the Amended Revolving Facility, we performed an extinguishment versus modification assessment on a lender-by-lender basis resulting in the write-off of an insignificant amount of unamortized debt issuance costs under the Revolving Facility, included in other income, net.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Borrowings under the Amended Revolving Facility bear interest at a rate per annum equal to either (a) the Term SOFR plus a margin ranging from 2.00% to 1.25% or (b) a margin ranging from 1.00% to 0.25% plus the highest of (i) the administrative agent’s prime rate, (ii) the Federal Funds rate plus 0.50% or (iii) one-month Term SOFR plus 1%. The interest rate margins under the Amended Revolving Facility are subject to a reduction of 0.25% upon achieving total net first lien leverage ratios of 3.50 to 1.00 and further reductions of 0.25% each upon achieving total net first lien leverage ratios of 2.50 to 1.00 and 1.00 to 1.00, respectively. We are required to pay a commitment fee in respect of unutilized commitments under the Amended Revolving Facility. The commitment fee is, initially, 0.35% per annum. The commitment fee is subject to a reduction of 0.10% if the total net first lien leverage ratio does not exceed 3.50 to 1.00 and an additional 0.05% reduction upon achieving a total net first lien leverage ratio of 1.00 to 1.00. We are also required to pay customary letter of credit fees and agency fees. We have the option to voluntarily repay outstanding loans under the Amended Revolving Facility at any time without premium or penalty, other than customary “breakage” costs with respect to SOFR loans. There is no scheduled amortization under the Amended Revolving Facility. Any principal amount outstanding is due and payable in full at maturity on July 14, 2030. Obligations under the Amended Revolving Facility are guaranteed by our existing and future direct and indirect material wholly-owned domestic subsidiaries, subject to certain exceptions. The Amended Revolving Facility is secured by a first-priority security interest in substantially all of our assets, subject to certain exceptions.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Amended Revolving Facility contains a number of covenants that, among other things, subject to certain exceptions, restrict our ability and the ability of our restricted subsidiaries to incur additional indebtedness and guarantee indebtedness; create or incur liens; pay dividends and distributions or repurchase capital stock; merge, liquidate and make asset sales; change lines of business; change our fiscal year; incur restrictions on our subsidiaries’ ability to make distributions and create liens; modify our organizational documents; make investments, loans and advances; and enter into certain transactions with affiliates.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Amended Revolving Facility requires compliance with a total net first lien leverage ratio not to exceed 4.50 to 1.00, or the Financial Covenant. The Financial Covenant will be tested at quarter-end only if the total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33350"/>
                <wp:effectExtent l="0" t="0" r="0" b="0"/>
                <wp:wrapNone/>
                <wp:docPr id="89" name="Frame8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principal amount of all revolving loans, swingline loans and drawn letters of credit that have not been reimbursed exceeds 35% of the total commitments under the Amended Revolving Facility on the last day of such fiscal quarter.</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At December 31, 2025 and 2024, we had no amounts outstanding under our Amended Revolving Facility or Revolving Facility, respectively, or any outstanding letters of credit, and we were in compliance with all financial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12. Commitments and Contingencies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Legal Proceedings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From time to time, we may become subject to legal proceedings, claims and litigation arising in the ordinary course of business. We are not currently a party to any material legal proceedings, nor are we aware of any pending or threatened litigation that could have a material adverse effect on our results of operations, cash flows, and financial condition, should such litigation be resolved unfavorably.</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Indemnification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Indemnification provisions in our third-party service provider agreements provide that we will indemnify, hold harmless, and reimburse the indemnified parties on a case-by-case basis for losses suffered or incurred by the indemnified parties in connection with any claim by any third-party as a result of our website, advertising, marketing, payment processing, collection or customer service activities. The maximum potential amount of future payments we could be required to make under these indemnification provisions is indeterminable.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No amounts have been accrued or have been paid during any period presented as we believe the fair value of these indemnification obligations is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13. Stockholders’ Equity</w:t>
      </w:r>
    </w:p>
    <w:p>
      <w:pPr>
        <w:pStyle w:val="TextBody"/>
        <w:bidi w:val="0"/>
        <w:spacing w:lineRule="auto" w:line="288" w:before="240" w:after="120"/>
        <w:jc w:val="left"/>
        <w:rPr/>
      </w:pPr>
      <w:r>
        <w:rPr>
          <w:rFonts w:ascii="Work Sans;sans-serif" w:hAnsi="Work Sans;sans-serif"/>
          <w:b w:val="false"/>
          <w:i/>
          <w:color w:val="000000"/>
          <w:sz w:val="18"/>
        </w:rPr>
        <w:t>Stock Repurchase Program</w:t>
      </w:r>
      <w:r>
        <w:rPr>
          <w:rFonts w:ascii="Work Sans;sans-serif" w:hAnsi="Work Sans;sans-serif"/>
          <w:b w:val="false"/>
          <w:color w:val="000000"/>
          <w:sz w:val="18"/>
        </w:rPr>
        <w: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On March 1, 2022, our board of directors approved a stock repurchase program, or 2022 stock repurchase program, authorizing us to repurchase up to $150.0 million of our common stock, with no fixed expiration. In September 2023, we repurchased a total of 4,718,755 shares of our common stock for a total repurchase of $45.1 million directly from a selling stockholder, who was a related party due to the selling stockholder’s then-ownership of our common stock, in a private, non-underwritten transaction at a price of $9.55 per share, which was equal to the price paid by the underwriters to the selling stockholder in a concurrent secondary public offering. The repurchase was recorded as a reduction to stockholders' equity. Upon this repurchase, no further repurchases were available under our 2022 stock repurchase program. The secondary offering of 16,100,000 shares of our common stock by a selling stockholder was completed at a price to the public of $10.00 per share before underwriting discounts and commissions. All direct and incremental costs incurred in connection with the secondary offering were expensed because we did not receive any proceeds from the sale of shares of common stock in the secondary offering.</w:t>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October 2023, our board of directors approved a new stock repurchase program authorizing repurchases of up to $100.0 million of our common stock, with no fixed expiration. During 2024, our board of directors approved a $115.0 million increase in the 2023 stock repurchase program. In May 2025, our board of directors approved an additional $100.0 million increase in the 2023 stock repurchase program, bringing the aggregate amount authorized to $315.0 million. The 2023 stock repurchase program authorizes us to repurchase our common stock through any manner, including open market transactions, accelerated stock repurchase agreements, or in privately negotiated transactions with third parties, and in such amounts as management deems appropriate. Open market repurchases may be structured to occur in accordance with applicable federal securities laws, including within the pricing and volume requirements of Rule 10b-18 under the Securities Exchange Act of 1934, as amended. We also, from time to time, entered and may enter into Rule 10b5-1 plans to facilitate repurchases of our shares of common stock under this authorization. The 2023 stock repurchase program does not obligate us to acquire any particular amount of common stock and can be modified, suspended or terminated at any time at the discretion of our board of directors.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During the year ended December 31, 2025, we repurchased a total of 8,289,849 shares of our common stock through open market purchases using Rule 10b5-1 plans at an average per share price of $9.71 for a total repurchase of $80.5 million including broker commissions. During the year ended December 31, 2024, we repurchased a total of 19,228,082 shares of our common stock through open market purchases using Rule 10b5-1 plans at an average per share price of $8.58 for a total repurchase of $165.0 million including broker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33350"/>
                <wp:effectExtent l="0" t="0" r="0" b="0"/>
                <wp:wrapNone/>
                <wp:docPr id="90" name="Frame8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 xml:space="preserve">commissions. The repurchases were recorded as a reduction to our accumulated deficit in the accompanying consolidated statements of stockholders’ equity.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Inflation Reduction Act of 2022, enacted in August 2022, imposed a 1% non-deductible excise tax on net repurchases of shares by domestic corporations whose stock is traded on an established securities market. Consequently, this excise tax is applicable to our stock repurchase program beginning in 2023 and represents a cost of the repurchases of our common stock. We have not recognized an excise tax liability as of December 31, 2025 because the fair market value of the stock issuances exceeded the fair market value of the stock repurchases during the twelve months ended December 31, 2025. Due to the fair market value of stock repurchases exceeding the fair market value of stock issuances during the year ended December 31, 2024, we recognized excise tax liability of $1.2 million.</w:t>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November 2023, a selling stockholder, who was a related party due to the selling stockholder’s then-ownership in our common stock, sold 15,099,993 shares of our common stock in an underwritten public offering. We did not offer any shares of common stock in this secondary offering and all direct and incremental costs incurred in connection with the secondary offering were expensed because we did not receive any proceeds from the sale of shares of common stock in the secondary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33350"/>
                <wp:effectExtent l="0" t="0" r="0" b="0"/>
                <wp:wrapNone/>
                <wp:docPr id="91" name="Frame9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14. Stock-based Compensation</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2021 Equity Incentive Plan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June 2021, our board of directors adopted our 2021 Equity Incentive Plan, or 2021 Plan. All equity-based awards going forward are granted under the 2021 Plan. An aggregate of 18,946,871 shares of our common stock were reserved for issuance under our 2021 Plan, as well as automatic annual increases in the number of shares of common stock reserved for issuance under our 2021 Plan.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Under the terms of the 2021 Plan, both incentive and nonqualified stock options could be granted with exercise prices not less than the fair market value of our common stock on the date of grant. Options granted pursuant to the 2021 Plan will vest at the rate specified in the stock option agreement. Under the 2021 Plan, if an option holder’s service relationship with us or any of our affiliates ceases for any reason other than disability, death, or cause, the option holder may generally exercise any vested options for a period of three months following the cessation of service. If under our 2021 Plan, shares subject to stock option awards expire or terminate without being exercised in full or are paid out in cash rather than in shares, such stock options will not reduce the number of shares available for issuance under our 2021 Plan. Our policy is to issue new common stock upon the exercise of stock options. Shares withheld under a stock option award to satisfy the exercise, strike or purchase price of such award or to satisfy a tax withholding obligation will not reduce the number of shares available for issuance under our 2021 Plan.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Under the 2021 Plan, RSUs are granted under RSU award agreements approved by the administrator. RSUs may be granted for any form of legal consideration that may be acceptable to our board of directors and permissible under applicable law. An RSU may be settled by cash, delivery of stock, a combination of cash and stock as deemed appropriate by the administrator, or in any other form of consideration set forth in the RSU award agreement. Additionally, dividend equivalents may be credited in respect of shares covered by RSUs. Except as otherwise provided in the applicable award agreement, or other written agreement between us and the recipient, RSUs that have not vested will be forfeited once the participant’s continuous service ends for any reason.</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2021 Employee Stock Purchase Plan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June 2021, our board of directors adopted our 2021 Employee Stock Purchase Plan, or 2021 ESPP. We authorized the issuance of 3,552,538 shares of common stock under the 2021 ESPP, as well as any future automatic annual increases in the number of shares of common stock reserved for issuance under our 2021 ESPP. Our 2021 ESPP is implemented through a series of offerings under which eligible employees are granted rights to purchase shares of our common stock on specified dates during such offerings at a discounted price per share.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Under the 2021 ESPP, our employees may purchase common stock through payroll deductions at a price equal to 85% of the lower of the fair market value of the stock at the beginning of the offering period or at the end of each applicable purchase period. The 2021 ESPP generally provides for offering periods of six months in duration with purchase periods ending on either May 15 or November 15. Contributions under the 2021 ESPP are limited to a maximum of 15% of an employee’s eligible compensation. Purchases under the 2021 ESPP are settled with common stock from the 2021 ESPP’s previously-authorized and available pool of shares. The stock-based compensation expense incurred in connection with the 2021 ESPP in 2025, 2024 and 2023 was $0.8 million, $0.4 million and $0.7 million, respectively. </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2016 Stock Option Plan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Prior to the adoption of the 2021 Plan, we granted stock options under our 2016 Stock Incentive Plan, or 2016 Plan.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Under the terms of the 2016 Plan, both incentive and nonqualified stock options were granted with exercise prices not less than the fair value of the underlying common stock on the date of grant. Options granted pursuant to the 2016 Plan vest over periods of up to five years and expire ten years from the grant date. If a 2016 Plan option expires and is not exercised, such as if an employee does not exercise vested 2016 Plan options within thirty days of termination, then these options would revert back to the 2016 Plan’s option pool.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exercise price of all options granted was based on the estimated fair market value of our common stock as determined by the board of directors at the date of grant or date of modification.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33350"/>
                <wp:effectExtent l="0" t="0" r="0" b="0"/>
                <wp:wrapNone/>
                <wp:docPr id="92" name="Frame9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Stock-based Compensation Expense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recorded stock-based compensation expense in the following categories in the accompanying consolidated statements of operations and balance sheets (in thousands):</w:t>
      </w:r>
    </w:p>
    <w:tbl>
      <w:tblPr>
        <w:tblW w:w="8352" w:type="dxa"/>
        <w:jc w:val="left"/>
        <w:tblInd w:w="0" w:type="dxa"/>
        <w:tblLayout w:type="fixed"/>
        <w:tblCellMar>
          <w:top w:w="28" w:type="dxa"/>
          <w:left w:w="28" w:type="dxa"/>
          <w:bottom w:w="28" w:type="dxa"/>
          <w:right w:w="28" w:type="dxa"/>
        </w:tblCellMar>
      </w:tblPr>
      <w:tblGrid>
        <w:gridCol w:w="1467"/>
        <w:gridCol w:w="1287"/>
        <w:gridCol w:w="1296"/>
        <w:gridCol w:w="226"/>
        <w:gridCol w:w="946"/>
        <w:gridCol w:w="109"/>
        <w:gridCol w:w="109"/>
        <w:gridCol w:w="109"/>
        <w:gridCol w:w="109"/>
        <w:gridCol w:w="226"/>
        <w:gridCol w:w="826"/>
        <w:gridCol w:w="109"/>
        <w:gridCol w:w="109"/>
        <w:gridCol w:w="109"/>
        <w:gridCol w:w="109"/>
        <w:gridCol w:w="226"/>
        <w:gridCol w:w="826"/>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18,899 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76,263 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stock-based compensation expense</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113,708 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71,510 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66,015 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Amount capitalized to internal-use software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stock-based compensation</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118,972 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77,477 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70,071 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Stock Options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Stock option activity for the year ended December 31, 2025 is as follows (in thousands, except weighted-average exercise price and remaining contract life):</w:t>
      </w:r>
    </w:p>
    <w:tbl>
      <w:tblPr>
        <w:tblW w:w="10205" w:type="dxa"/>
        <w:jc w:val="left"/>
        <w:tblInd w:w="0" w:type="dxa"/>
        <w:tblLayout w:type="fixed"/>
        <w:tblCellMar>
          <w:top w:w="28" w:type="dxa"/>
          <w:left w:w="28" w:type="dxa"/>
          <w:bottom w:w="28" w:type="dxa"/>
          <w:right w:w="28" w:type="dxa"/>
        </w:tblCellMar>
      </w:tblPr>
      <w:tblGrid>
        <w:gridCol w:w="1557"/>
        <w:gridCol w:w="1366"/>
        <w:gridCol w:w="1370"/>
        <w:gridCol w:w="413"/>
        <w:gridCol w:w="413"/>
        <w:gridCol w:w="396"/>
        <w:gridCol w:w="109"/>
        <w:gridCol w:w="109"/>
        <w:gridCol w:w="109"/>
        <w:gridCol w:w="254"/>
        <w:gridCol w:w="794"/>
        <w:gridCol w:w="123"/>
        <w:gridCol w:w="109"/>
        <w:gridCol w:w="109"/>
        <w:gridCol w:w="109"/>
        <w:gridCol w:w="435"/>
        <w:gridCol w:w="435"/>
        <w:gridCol w:w="436"/>
        <w:gridCol w:w="109"/>
        <w:gridCol w:w="109"/>
        <w:gridCol w:w="109"/>
        <w:gridCol w:w="256"/>
        <w:gridCol w:w="800"/>
        <w:gridCol w:w="176"/>
      </w:tblGrid>
      <w:tr>
        <w:trPr/>
        <w:tc>
          <w:tcPr>
            <w:tcW w:w="1557"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8"/>
              </w:rPr>
            </w:pPr>
            <w:r>
              <w:rPr>
                <w:rFonts w:ascii="Work Sans;sans-serif" w:hAnsi="Work Sans;sans-serif"/>
                <w:b/>
                <w:color w:val="000000"/>
                <w:sz w:val="18"/>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8"/>
              </w:rPr>
            </w:pPr>
            <w:r>
              <w:rPr>
                <w:rFonts w:ascii="Work Sans;sans-serif" w:hAnsi="Work Sans;sans-serif"/>
                <w:b/>
                <w:color w:val="000000"/>
                <w:sz w:val="18"/>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8"/>
              </w:rPr>
            </w:pPr>
            <w:r>
              <w:rPr>
                <w:rFonts w:ascii="Work Sans;sans-serif" w:hAnsi="Work Sans;sans-serif"/>
                <w:b/>
                <w:color w:val="000000"/>
                <w:sz w:val="18"/>
              </w:rPr>
              <w:t>Weighted-</w:t>
              <w:br/>
              <w:t>Average</w:t>
              <w:br/>
              <w:t>Remaining</w:t>
              <w:br/>
              <w:t>Contractual</w:t>
              <w:br/>
              <w:t>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8"/>
              </w:rPr>
            </w:pPr>
            <w:r>
              <w:rPr>
                <w:rFonts w:ascii="Work Sans;sans-serif" w:hAnsi="Work Sans;sans-serif"/>
                <w:b/>
                <w:color w:val="000000"/>
                <w:sz w:val="18"/>
              </w:rPr>
              <w:t>Aggregate</w:t>
              <w:br/>
              <w:t>Intrinsic</w:t>
              <w:br/>
              <w:t>Value</w:t>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Outstanding at December 31, 2024</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15,194 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10.51 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Exercised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(4,496)</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9.69 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Cancelled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(5,660)</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10.36 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Forfeited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Outstanding at December 31, 2025</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5,038 </w:t>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11.41 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2,625 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Vested and expected to vest at December 31, 2025</w:t>
            </w:r>
          </w:p>
        </w:tc>
        <w:tc>
          <w:tcPr>
            <w:tcW w:w="8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558 </w:t>
            </w:r>
          </w:p>
        </w:tc>
        <w:tc>
          <w:tcPr>
            <w:tcW w:w="3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9.44 </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1,999 </w:t>
            </w:r>
          </w:p>
        </w:tc>
        <w:tc>
          <w:tcPr>
            <w:tcW w:w="17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Exercisable at December 31, 2025</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4,479 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11.65 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626 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aggregate intrinsic values in the table above represents the difference, if any, between the fair value per share of our common stock and the option exercise prices multiplied by the number of options at the respective balance sheet dates. The total intrinsic value of stock options exercised in 2025, 2024 and 2023 was $2.2 million, $3.5 million and $2.2 million, respectively. During the years ended December 31, 2025, 2024, and 2023, the Company recorded stock-based compensation expense related to stock option awards of $3.4 million, $5.4 million, and $22.0 million, respectively. At December 31, 2025, total remaining stock-based compensation expense for unvested stock options was $2.2 million, which is expected to be recognized over a weighted-average period of 1.1 years.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weighted-average grant-date fair value per share of options granted using the Black-Scholes option pricing model for 2023 was $4.40. We did not grant any stock options in 2025 and 2024. There was a $1.6 million tax benefit for tax deductions from stock options exercised in 2025. There was $3.1 million tax benefit for tax deductions from stock options exercised in 2024 and there was no tax benefit for 2023. All tax effects related to stock-based compensation have been recorded in our provision for income taxes in the accompanying consolidated statements of operations. Vesting of the options granted to the members of our senior leadership team will be accelerated upon a qualifying termination that occurs during the change-in-control period, as defined in the option grant agreement, or immediately prior to the effective time of a change-in-control if the option award is not assumed, continued or substituted by the surviving or acquiring entity (or its parent) in connection with such change-in-control.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33350"/>
                <wp:effectExtent l="0" t="0" r="0" b="0"/>
                <wp:wrapNone/>
                <wp:docPr id="93" name="Frame9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weighted-average assumptions that were used to calculate the grant-date fair value of our stock option grants using the Black-Scholes option pricing model were as follows:</w:t>
      </w:r>
    </w:p>
    <w:tbl>
      <w:tblPr>
        <w:tblW w:w="5408" w:type="dxa"/>
        <w:jc w:val="left"/>
        <w:tblInd w:w="0" w:type="dxa"/>
        <w:tblLayout w:type="fixed"/>
        <w:tblCellMar>
          <w:top w:w="28" w:type="dxa"/>
          <w:left w:w="28" w:type="dxa"/>
          <w:bottom w:w="28" w:type="dxa"/>
          <w:right w:w="28" w:type="dxa"/>
        </w:tblCellMar>
      </w:tblPr>
      <w:tblGrid>
        <w:gridCol w:w="830"/>
        <w:gridCol w:w="731"/>
        <w:gridCol w:w="734"/>
        <w:gridCol w:w="109"/>
        <w:gridCol w:w="109"/>
        <w:gridCol w:w="109"/>
        <w:gridCol w:w="433"/>
        <w:gridCol w:w="433"/>
        <w:gridCol w:w="433"/>
        <w:gridCol w:w="433"/>
        <w:gridCol w:w="433"/>
        <w:gridCol w:w="621"/>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life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5.9</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Work Sans;sans-serif" w:hAnsi="Work Sans;sans-serif"/>
                <w:b w:val="false"/>
                <w:color w:val="000000"/>
                <w:sz w:val="18"/>
              </w:rPr>
            </w:pPr>
            <w:r>
              <w:rPr>
                <w:rFonts w:ascii="Work Sans;sans-serif" w:hAnsi="Work Sans;sans-serif"/>
                <w:b w:val="false"/>
                <w:color w:val="000000"/>
                <w:sz w:val="18"/>
              </w:rPr>
              <w:t>3.4%-3.8%</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Work Sans;sans-serif" w:hAnsi="Work Sans;sans-serif"/>
                <w:b w:val="false"/>
                <w:color w:val="000000"/>
                <w:sz w:val="18"/>
              </w:rPr>
            </w:pPr>
            <w:r>
              <w:rPr>
                <w:rFonts w:ascii="Work Sans;sans-serif" w:hAnsi="Work Sans;sans-serif"/>
                <w:b w:val="false"/>
                <w:color w:val="000000"/>
                <w:sz w:val="18"/>
              </w:rPr>
              <w:t>50.4%-50.7%</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i/>
          <w:color w:val="000000"/>
          <w:sz w:val="18"/>
        </w:rPr>
      </w:pPr>
      <w:r>
        <w:rPr>
          <w:rFonts w:ascii="Work Sans;sans-serif" w:hAnsi="Work Sans;sans-serif"/>
          <w:b w:val="false"/>
          <w:i/>
          <w:color w:val="000000"/>
          <w:sz w:val="18"/>
        </w:rPr>
        <w:t xml:space="preserve">Restricted Stock Units and Performance Stock Units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 summary of RSUs, or awards with time-based vesting conditions, and performance stock units, or PSUs, or awards with performance and/or market-based conditions, activity for the year ended December 31, 2025 is as follows (in thousands, except weighted-average grant-date fair value):</w:t>
      </w:r>
    </w:p>
    <w:tbl>
      <w:tblPr>
        <w:tblW w:w="6701" w:type="dxa"/>
        <w:jc w:val="left"/>
        <w:tblInd w:w="0" w:type="dxa"/>
        <w:tblLayout w:type="fixed"/>
        <w:tblCellMar>
          <w:top w:w="28" w:type="dxa"/>
          <w:left w:w="28" w:type="dxa"/>
          <w:bottom w:w="28" w:type="dxa"/>
          <w:right w:w="28" w:type="dxa"/>
        </w:tblCellMar>
      </w:tblPr>
      <w:tblGrid>
        <w:gridCol w:w="1223"/>
        <w:gridCol w:w="1073"/>
        <w:gridCol w:w="1078"/>
        <w:gridCol w:w="594"/>
        <w:gridCol w:w="594"/>
        <w:gridCol w:w="596"/>
        <w:gridCol w:w="109"/>
        <w:gridCol w:w="109"/>
        <w:gridCol w:w="109"/>
        <w:gridCol w:w="284"/>
        <w:gridCol w:w="737"/>
        <w:gridCol w:w="195"/>
      </w:tblGrid>
      <w:tr>
        <w:trPr/>
        <w:tc>
          <w:tcPr>
            <w:tcW w:w="122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8"/>
              </w:rPr>
            </w:pPr>
            <w:r>
              <w:rPr>
                <w:rFonts w:ascii="Work Sans;sans-serif" w:hAnsi="Work Sans;sans-serif"/>
                <w:b/>
                <w:color w:val="000000"/>
                <w:sz w:val="18"/>
              </w:rPr>
              <w:t>Number 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Weighted-</w:t>
              <w:br/>
              <w:t>Average</w:t>
              <w:br/>
              <w:t>Grant-</w:t>
              <w:br/>
              <w:t>Date Fair</w:t>
              <w:br/>
              <w:t>Value</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Unvested at December 31, 2024</w:t>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29,722 </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7.49 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Granted</w:t>
            </w:r>
            <w:r>
              <w:rPr>
                <w:rFonts w:ascii="Work Sans;sans-serif" w:hAnsi="Work Sans;sans-serif"/>
                <w:b w:val="false"/>
                <w:color w:val="000000"/>
                <w:sz w:val="12"/>
              </w:rPr>
              <w:t>(1)</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7,381 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9.47 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Cancelled/forfeited</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(3,263)</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9.32 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Vested</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(9,443)</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9.12 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Unvested at December 31, 2025</w:t>
            </w:r>
          </w:p>
        </w:tc>
        <w:tc>
          <w:tcPr>
            <w:tcW w:w="11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24,397 </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7.21 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270"/>
        <w:jc w:val="left"/>
        <w:rPr>
          <w:rFonts w:ascii="Work Sans;sans-serif" w:hAnsi="Work Sans;sans-serif"/>
          <w:b w:val="false"/>
          <w:color w:val="000000"/>
          <w:sz w:val="18"/>
        </w:rPr>
      </w:pPr>
      <w:r>
        <w:rPr>
          <w:rFonts w:ascii="Work Sans;sans-serif" w:hAnsi="Work Sans;sans-serif"/>
          <w:b w:val="false"/>
          <w:color w:val="000000"/>
          <w:sz w:val="18"/>
        </w:rPr>
        <w:t>(1) Granted shares include PSUs granted in April 2025 subject to vesting during the performance period which may equal zero percent (—%) to four hundred percent (400%) of the target award. These awards were forfeited during the year-ended December 31, 2025.</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fair value of vested RSUs during the years ended December 31, 2025, 2024 and 2023, was $92.9 million, $52.1 million and $36.6 million, respectively. Our RSUs consist of time-based RSUs, RSUs with performance and/or market conditions, and RSUs with market conditions. For the years ended December 31, 2025, 2024 and 2023, total stock-based compensation expense related to RSUs was $113.9 million, $71.4 million and $47.3 million, respectively. At December 31, 2025, total remaining stock-based compensation expense for unvested RSU awards was $117.4 million, which is expected to be recognized over a weighted-average period of 2.2 years. There was a tax benefit of $0.4 million for 2025 and no tax benefit for 2024 and 2023.</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During the year ended December 31, 2024, we granted 2.5 million PSUs to members of our senior leadership team. The grant date fair value of the PSUs at 100% of the target was $29.8 million. The weighted-average grant-date fair value per share of the PSUs granted was $12.05. The fair value of these PSUs was estimated using the Monte Carlo simulation model on the dates of the grant based on the assumptions shown in the table below. Vesting of the PSUs is contingent upon the recipients’ continuous employment over the requisite service period and was subject to fulfillment by the Company of a predefined profitability target during the performance period. The number of PSUs subject to vesting was determined at the end of the performance period and could equal zero percent (0%) to two hundred percent (200%) of the target award. If the performance criteria was achieved, one third of the PSUs would vest on the date the compensation committee of the board of directors certified achievement of the performance criteria, and the remaining awards would vest quarterly thereafter through February 2027. These PSUs also included a modifier to the total number of shares earned based on the Company’s total shareholder return, or TSR, compared to the TSR of the Nasdaq Composite Index during the performance period. The total number of shares issued pursuant to the PSUs could be increased, decreased, or remain unchanged based on the TSR modifier. The TSR modifier applicable to the PSUs was considered a market condition and therefore is reflected in the respective grant-date fair values of the awards. A Monte Carlo simulation was used to account for this market condition in the grant-date fair value of the awards. Expense related to the PSUs is recognized over the employee’s requisite service period using graded vesting attribution method to the extent it is probable that the performance conditions will be achieved. We recognized $6.0 million and $9.2 million in stock-based compensation expense during the years ended December 31, 2025 and 2024, respectively, related to these awards. At December 31, 2025, the remaining stock-based compensation expense for unvested PSUs is $1.8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33350"/>
                <wp:effectExtent l="0" t="0" r="0" b="0"/>
                <wp:wrapNone/>
                <wp:docPr id="94" name="Frame9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million which is expected to be recognized over a weighted-average requisite service period of approximately 0.8 years.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assumptions that were used to calculate the grant-date fair value of our PSU grants using a Monte Carlo simulation model were as follows:</w:t>
      </w:r>
    </w:p>
    <w:tbl>
      <w:tblPr>
        <w:tblW w:w="5411" w:type="dxa"/>
        <w:jc w:val="left"/>
        <w:tblInd w:w="0" w:type="dxa"/>
        <w:tblLayout w:type="fixed"/>
        <w:tblCellMar>
          <w:top w:w="28" w:type="dxa"/>
          <w:left w:w="28" w:type="dxa"/>
          <w:bottom w:w="28" w:type="dxa"/>
          <w:right w:w="28" w:type="dxa"/>
        </w:tblCellMar>
      </w:tblPr>
      <w:tblGrid>
        <w:gridCol w:w="830"/>
        <w:gridCol w:w="731"/>
        <w:gridCol w:w="734"/>
        <w:gridCol w:w="109"/>
        <w:gridCol w:w="109"/>
        <w:gridCol w:w="109"/>
        <w:gridCol w:w="816"/>
        <w:gridCol w:w="816"/>
        <w:gridCol w:w="1157"/>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life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Work Sans;sans-serif" w:hAnsi="Work Sans;sans-serif"/>
                <w:b w:val="false"/>
                <w:color w:val="000000"/>
                <w:sz w:val="18"/>
              </w:rPr>
            </w:pPr>
            <w:r>
              <w:rPr>
                <w:rFonts w:ascii="Work Sans;sans-serif" w:hAnsi="Work Sans;sans-serif"/>
                <w:b w:val="false"/>
                <w:color w:val="000000"/>
                <w:sz w:val="18"/>
              </w:rPr>
              <w:t>0.4-0.8</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Work Sans;sans-serif" w:hAnsi="Work Sans;sans-serif"/>
                <w:b w:val="false"/>
                <w:color w:val="000000"/>
                <w:sz w:val="18"/>
              </w:rPr>
            </w:pPr>
            <w:r>
              <w:rPr>
                <w:rFonts w:ascii="Work Sans;sans-serif" w:hAnsi="Work Sans;sans-serif"/>
                <w:b w:val="false"/>
                <w:color w:val="000000"/>
                <w:sz w:val="18"/>
              </w:rPr>
              <w:t>5.2%-5.4%</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Work Sans;sans-serif" w:hAnsi="Work Sans;sans-serif"/>
                <w:b w:val="false"/>
                <w:color w:val="000000"/>
                <w:sz w:val="18"/>
              </w:rPr>
            </w:pPr>
            <w:r>
              <w:rPr>
                <w:rFonts w:ascii="Work Sans;sans-serif" w:hAnsi="Work Sans;sans-serif"/>
                <w:b w:val="false"/>
                <w:color w:val="000000"/>
                <w:sz w:val="18"/>
              </w:rPr>
              <w:t>47.4%-66.1%</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July 2024, we also granted 2.7 million RSUs with a market vesting condition to a member of our senior leadership team. The grant date fair value of these RSUs at 100% of the target was $13.1 million. The weighted-average grant-date fair value per share of the RSUs granted was $4.89. The fair value of the RSUs was estimated on the date of grant using the Monte Carlo simulation model, based on the assumptions shown in the table below. Vesting of this award is contingent upon the recipient’s continuous employment over the requisite service period and is subject to achievement of predetermined stock price targets during a five-year performance period. Achievement of the predetermined stock price targets is measured based on a 45-trading day volume weighted-average closing price of our common stock, subject to a 44-day extension in certain circumstances. The number of RSUs subject to vesting during the performance period may equal zero percent (0%) to two hundred percent (200%) of the target award. Upon the achievement of a stock price target during the performance period, one-half of the eligible RSUs will vest on the date the compensation committee of the board of directors certifies achievement of the stock price target and the other half will vest one year from such date, subject to the recipient’s continued employment through the vesting date. We recognized $9.8 million and $4.9 million in stock-based compensation expense during the years ended December 31, 2025 and 2024, respectively, related to these awards. At December 31, 2025, the remaining stock-based compensation expense for unvested RSUs is $11.4 million, which is expected to be recognized over a weighted-average requisite service period of approximately 1.7 years.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assumptions that were used to calculate the grant-date fair value of the RSUs with a market vesting condition using a Monte Carlo simulation model were as follows:</w:t>
      </w:r>
    </w:p>
    <w:tbl>
      <w:tblPr>
        <w:tblW w:w="5412" w:type="dxa"/>
        <w:jc w:val="left"/>
        <w:tblInd w:w="0" w:type="dxa"/>
        <w:tblLayout w:type="fixed"/>
        <w:tblCellMar>
          <w:top w:w="28" w:type="dxa"/>
          <w:left w:w="28" w:type="dxa"/>
          <w:bottom w:w="28" w:type="dxa"/>
          <w:right w:w="28" w:type="dxa"/>
        </w:tblCellMar>
      </w:tblPr>
      <w:tblGrid>
        <w:gridCol w:w="830"/>
        <w:gridCol w:w="731"/>
        <w:gridCol w:w="734"/>
        <w:gridCol w:w="109"/>
        <w:gridCol w:w="109"/>
        <w:gridCol w:w="109"/>
        <w:gridCol w:w="569"/>
        <w:gridCol w:w="569"/>
        <w:gridCol w:w="1652"/>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life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20"/>
              </w:rPr>
            </w:pPr>
            <w:r>
              <w:rPr>
                <w:rFonts w:ascii="Work Sans;sans-serif" w:hAnsi="Work Sans;sans-serif"/>
                <w:b w:val="false"/>
                <w:color w:val="000000"/>
                <w:sz w:val="20"/>
              </w:rPr>
              <w:t>5</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4.2 </w:t>
            </w:r>
          </w:p>
        </w:tc>
        <w:tc>
          <w:tcPr>
            <w:tcW w:w="1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59.4 </w:t>
            </w:r>
          </w:p>
        </w:tc>
        <w:tc>
          <w:tcPr>
            <w:tcW w:w="1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November 2024, we also granted 2.4 million RSUs with a market vesting condition to members of our senior leadership team. The grant date fair value of these RSUs at 100% of the target was $12.6 million. The weighted-average grant-date fair value per share of the RSUs granted was $5.30. The fair value of the RSUs was estimated using the Monte Carlo simulation model on the date of the grant based on the assumptions shown in the table below. Vesting of this award is contingent upon the recipient’s continuous employment over the requisite service period and is subject to achievement of predetermined stock price targets during a three-year performance period, subject to certification by the compensation committee of the board of directors. Achievement of the predetermined stock price targets is measured based on the trailing 30-trading day volume weighted average closing stock price of our common stock subject to a 29-day extension in certain circumstances. The number of RSUs subject to vesting during the performance period may equal zero percent (0%) to four hundred percent (400%) of the target award. If the compensation committee of the board of directors certifies achievement of a stock price target prior to November 15, 2025, the eligible shares will vest in full and become non-forfeitable on November 15, 2025. If the compensation committee of the board of directors certifies achievement of a stock price target on or subsequent to November 15, 2025, 100% of the eligible shares will vest and become non-forfeitable immediately on the date of certification by the compensation committee of the board of directors. We recognized $39.7 million and $5.6 million in stock-based compensation expense during the years ended December 31, 2025 and 2024, respectively,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33350"/>
                <wp:effectExtent l="0" t="0" r="0" b="0"/>
                <wp:wrapNone/>
                <wp:docPr id="95" name="Frame9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val="false"/>
          <w:color w:val="000000"/>
          <w:sz w:val="18"/>
        </w:rPr>
      </w:pPr>
      <w:r>
        <w:rPr>
          <w:rFonts w:ascii="Work Sans;sans-serif" w:hAnsi="Work Sans;sans-serif"/>
          <w:b w:val="false"/>
          <w:color w:val="000000"/>
          <w:sz w:val="18"/>
        </w:rPr>
        <w:t>these awards. At December 31, 2025, the remaining stock-based compensation expense for unvested RSUs is $5.2 million which is expected to be recognized over a weighted-average requisite service period of approximately 0.4 years.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assumptions that were used to calculate the grant-date fair value of the RSUs with a market vesting condition using a Monte Carlo simulation model were as follows:</w:t>
      </w:r>
    </w:p>
    <w:tbl>
      <w:tblPr>
        <w:tblW w:w="5412" w:type="dxa"/>
        <w:jc w:val="left"/>
        <w:tblInd w:w="0" w:type="dxa"/>
        <w:tblLayout w:type="fixed"/>
        <w:tblCellMar>
          <w:top w:w="28" w:type="dxa"/>
          <w:left w:w="28" w:type="dxa"/>
          <w:bottom w:w="28" w:type="dxa"/>
          <w:right w:w="28" w:type="dxa"/>
        </w:tblCellMar>
      </w:tblPr>
      <w:tblGrid>
        <w:gridCol w:w="830"/>
        <w:gridCol w:w="731"/>
        <w:gridCol w:w="734"/>
        <w:gridCol w:w="109"/>
        <w:gridCol w:w="109"/>
        <w:gridCol w:w="109"/>
        <w:gridCol w:w="569"/>
        <w:gridCol w:w="569"/>
        <w:gridCol w:w="1652"/>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life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20"/>
              </w:rPr>
            </w:pPr>
            <w:r>
              <w:rPr>
                <w:rFonts w:ascii="Work Sans;sans-serif" w:hAnsi="Work Sans;sans-serif"/>
                <w:b w:val="false"/>
                <w:color w:val="000000"/>
                <w:sz w:val="20"/>
              </w:rPr>
              <w:t>3</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4.2 </w:t>
            </w:r>
          </w:p>
        </w:tc>
        <w:tc>
          <w:tcPr>
            <w:tcW w:w="1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60.9 </w:t>
            </w:r>
          </w:p>
        </w:tc>
        <w:tc>
          <w:tcPr>
            <w:tcW w:w="1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During the year ended December 31, 2023, we also granted 1.3 million PSUs to members of our senior leadership team. Vesting of the PSUs was contingent upon the recipient’s continuous employment over the requisite service period and was subject to fulfillment by the Company of predefined performance criteria which were not achieved. Consequently, no stock-based compensation expense related to these PSU awards was recognized during the years ended December 31, 2025, 2024 and 2023.</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Modification of Stock-Based Compensation Awards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May 2023, the compensation committee of the board of directors approved amendments to the terms of the stock option and RSU awards granted to members of our senior leadership team during the year ended December 31, 2022, whereby the vesting of such stock options and RSUs will be accelerated upon (i) a qualifying termination that occurs during a defined change in control period or (ii) the individual’s termination as a result of his or her death or disability (as each such term is defined in the employment agreement between the Company and applicable individual). Further, the amendments provide that such stock options, to the extent vested and outstanding on the date of the individual’s qualifying termination or the termination of the individual’s employment in the event of his or her death or disability, as applicable and after giving effect to the vesting acceleration, shall remain outstanding and exercisable until the earlier of: (x) the original expiration date of the stock options, (y) the one-year anniversary of the date of the individual’s termination of employment with the Company, and (z) immediately prior to the effective time of a change in control if such stock option is not assumed, continued or substituted by the surviving or acquiring entity (or its parent) in connection with such change in control. The modification to add the foregoing provisions did not result in an incremental fair value of the impacted awards because the original vesting conditions were expected to be satisfied as of the modification date and the termination of the individual’s employment in the event of change-in-control or as a result of his or her death or disability was not probable as of the date of this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33350"/>
                <wp:effectExtent l="0" t="0" r="0" b="0"/>
                <wp:wrapNone/>
                <wp:docPr id="96" name="Frame9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15. Net Income Per Share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shows the computation of basic and diluted net income per share (in thousands, except per share amounts):</w:t>
      </w:r>
    </w:p>
    <w:tbl>
      <w:tblPr>
        <w:tblW w:w="10205" w:type="dxa"/>
        <w:jc w:val="left"/>
        <w:tblInd w:w="0" w:type="dxa"/>
        <w:tblLayout w:type="fixed"/>
        <w:tblCellMar>
          <w:top w:w="28" w:type="dxa"/>
          <w:left w:w="28" w:type="dxa"/>
          <w:bottom w:w="28" w:type="dxa"/>
          <w:right w:w="28" w:type="dxa"/>
        </w:tblCellMar>
      </w:tblPr>
      <w:tblGrid>
        <w:gridCol w:w="2284"/>
        <w:gridCol w:w="1865"/>
        <w:gridCol w:w="1873"/>
        <w:gridCol w:w="226"/>
        <w:gridCol w:w="826"/>
        <w:gridCol w:w="109"/>
        <w:gridCol w:w="109"/>
        <w:gridCol w:w="109"/>
        <w:gridCol w:w="109"/>
        <w:gridCol w:w="226"/>
        <w:gridCol w:w="826"/>
        <w:gridCol w:w="109"/>
        <w:gridCol w:w="109"/>
        <w:gridCol w:w="109"/>
        <w:gridCol w:w="109"/>
        <w:gridCol w:w="226"/>
        <w:gridCol w:w="826"/>
        <w:gridCol w:w="155"/>
      </w:tblGrid>
      <w:tr>
        <w:trPr/>
        <w:tc>
          <w:tcPr>
            <w:tcW w:w="2284"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6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2023</w:t>
            </w:r>
          </w:p>
        </w:tc>
      </w:tr>
      <w:tr>
        <w:trPr/>
        <w:tc>
          <w:tcPr>
            <w:tcW w:w="60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color w:val="000000"/>
                <w:sz w:val="18"/>
              </w:rPr>
            </w:pPr>
            <w:r>
              <w:rPr>
                <w:rFonts w:ascii="Work Sans;sans-serif" w:hAnsi="Work Sans;sans-serif"/>
                <w:b/>
                <w:color w:val="000000"/>
                <w:sz w:val="18"/>
              </w:rPr>
              <w:t>Numerator:</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Net income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Net income — basic and diluted</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13,953 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602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602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60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color w:val="000000"/>
                <w:sz w:val="18"/>
              </w:rPr>
            </w:pPr>
            <w:r>
              <w:rPr>
                <w:rFonts w:ascii="Work Sans;sans-serif" w:hAnsi="Work Sans;sans-serif"/>
                <w:b/>
                <w:color w:val="000000"/>
                <w:sz w:val="18"/>
              </w:rPr>
              <w:t>Denominator:</w:t>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Weighted-average common stock used in computing net income per share — basic</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178,798 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180,210 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190,466 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Effect of potentially dilutive securities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Options to purchase common stock</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RSUs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Employee stock purchase plan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Weighted-average common stock used in computing net income per share — diluted</w:t>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184,690 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182,865 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194,415 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Net income per share — basic</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0.17 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0.07 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Net income per share — diluted</w:t>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0.16 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0.07 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presents the number of stock options, RSUs, and PSUs, excluded from the calculation of diluted net income per share because they are anti-dilutive (in thousands):</w:t>
      </w:r>
    </w:p>
    <w:tbl>
      <w:tblPr>
        <w:tblW w:w="7299" w:type="dxa"/>
        <w:jc w:val="left"/>
        <w:tblInd w:w="0" w:type="dxa"/>
        <w:tblLayout w:type="fixed"/>
        <w:tblCellMar>
          <w:top w:w="28" w:type="dxa"/>
          <w:left w:w="28" w:type="dxa"/>
          <w:bottom w:w="28" w:type="dxa"/>
          <w:right w:w="28" w:type="dxa"/>
        </w:tblCellMar>
      </w:tblPr>
      <w:tblGrid>
        <w:gridCol w:w="1211"/>
        <w:gridCol w:w="1065"/>
        <w:gridCol w:w="1068"/>
        <w:gridCol w:w="413"/>
        <w:gridCol w:w="413"/>
        <w:gridCol w:w="196"/>
        <w:gridCol w:w="137"/>
        <w:gridCol w:w="137"/>
        <w:gridCol w:w="137"/>
        <w:gridCol w:w="413"/>
        <w:gridCol w:w="413"/>
        <w:gridCol w:w="196"/>
        <w:gridCol w:w="137"/>
        <w:gridCol w:w="137"/>
        <w:gridCol w:w="137"/>
        <w:gridCol w:w="413"/>
        <w:gridCol w:w="413"/>
        <w:gridCol w:w="263"/>
      </w:tblGrid>
      <w:tr>
        <w:trPr/>
        <w:tc>
          <w:tcPr>
            <w:tcW w:w="121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As of December 31,</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Options to purchase common stock</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4,992 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11,512 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10,714 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RSUs</w:t>
            </w:r>
            <w:r>
              <w:rPr>
                <w:rFonts w:ascii="Work Sans;sans-serif" w:hAnsi="Work Sans;sans-serif"/>
                <w:b w:val="false"/>
                <w:color w:val="000000"/>
                <w:sz w:val="12"/>
              </w:rPr>
              <w:t>(1)</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17,347 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13,932 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7,426 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Employee stock purchase plan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22,372 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25,508 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18,183 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270"/>
        <w:jc w:val="left"/>
        <w:rPr>
          <w:rFonts w:ascii="Work Sans;sans-serif" w:hAnsi="Work Sans;sans-serif"/>
          <w:b w:val="false"/>
          <w:color w:val="000000"/>
          <w:sz w:val="18"/>
        </w:rPr>
      </w:pPr>
      <w:r>
        <w:rPr>
          <w:rFonts w:ascii="Work Sans;sans-serif" w:hAnsi="Work Sans;sans-serif"/>
          <w:b w:val="false"/>
          <w:color w:val="000000"/>
          <w:sz w:val="18"/>
        </w:rPr>
        <w:t>(1) For the year ended December 31, 2025, anti-dilutive RSUs include RSU awards with a market vesting condition granted in July 2024 and reflected at 200% of target and RSU awards with a market vesting condition granted in November 2024 and reflected at 275% of target. RSU awards with a market vesting condition granted in April 2025 that were previously reflected as anti-dilutive at 400% of target were forfeited as of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16. Fair Value Measurements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tables summarize our assets and liabilities that are measured at fair value on a recurring basis, by level, within the fair value hierarchy (in thousands):</w:t>
      </w:r>
    </w:p>
    <w:tbl>
      <w:tblPr>
        <w:tblW w:w="5612" w:type="dxa"/>
        <w:jc w:val="left"/>
        <w:tblInd w:w="0" w:type="dxa"/>
        <w:tblLayout w:type="fixed"/>
        <w:tblCellMar>
          <w:top w:w="28" w:type="dxa"/>
          <w:left w:w="28" w:type="dxa"/>
          <w:bottom w:w="28" w:type="dxa"/>
          <w:right w:w="28" w:type="dxa"/>
        </w:tblCellMar>
      </w:tblPr>
      <w:tblGrid>
        <w:gridCol w:w="716"/>
        <w:gridCol w:w="631"/>
        <w:gridCol w:w="633"/>
        <w:gridCol w:w="226"/>
        <w:gridCol w:w="946"/>
        <w:gridCol w:w="109"/>
        <w:gridCol w:w="109"/>
        <w:gridCol w:w="109"/>
        <w:gridCol w:w="109"/>
        <w:gridCol w:w="251"/>
        <w:gridCol w:w="452"/>
        <w:gridCol w:w="123"/>
        <w:gridCol w:w="109"/>
        <w:gridCol w:w="109"/>
        <w:gridCol w:w="109"/>
        <w:gridCol w:w="250"/>
        <w:gridCol w:w="449"/>
        <w:gridCol w:w="172"/>
      </w:tblGrid>
      <w:tr>
        <w:trPr/>
        <w:tc>
          <w:tcPr>
            <w:tcW w:w="7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As of December 31, 2025</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Level 3</w:t>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Money market funds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180,778 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assets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180,778 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bl>
    <w:tbl>
      <w:tblPr>
        <w:tblW w:w="6727" w:type="dxa"/>
        <w:jc w:val="left"/>
        <w:tblInd w:w="0" w:type="dxa"/>
        <w:tblLayout w:type="fixed"/>
        <w:tblCellMar>
          <w:top w:w="28" w:type="dxa"/>
          <w:left w:w="28" w:type="dxa"/>
          <w:bottom w:w="28" w:type="dxa"/>
          <w:right w:w="28" w:type="dxa"/>
        </w:tblCellMar>
      </w:tblPr>
      <w:tblGrid>
        <w:gridCol w:w="1043"/>
        <w:gridCol w:w="917"/>
        <w:gridCol w:w="920"/>
        <w:gridCol w:w="226"/>
        <w:gridCol w:w="946"/>
        <w:gridCol w:w="109"/>
        <w:gridCol w:w="109"/>
        <w:gridCol w:w="109"/>
        <w:gridCol w:w="109"/>
        <w:gridCol w:w="251"/>
        <w:gridCol w:w="452"/>
        <w:gridCol w:w="123"/>
        <w:gridCol w:w="109"/>
        <w:gridCol w:w="109"/>
        <w:gridCol w:w="109"/>
        <w:gridCol w:w="226"/>
        <w:gridCol w:w="706"/>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4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As of December 31, 2024</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Level 3</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Available-for-sale debt security</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Money market funds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114,690 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assets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114,690 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33350"/>
                <wp:effectExtent l="0" t="0" r="0" b="0"/>
                <wp:wrapNone/>
                <wp:docPr id="97" name="Frame9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17. Restructuring</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From time to time, we initiate cost reduction activities to integrate acquired businesses, to align our workforce with strategic business activities, or to improve efficiencies in our operations. In 2025, we incurred $0.9 million in severance and related termination benefits costs related to a reduction in headcount in our U.S. workforce. In August 2024, we committed to a restructuring plan resulting in a reduction of our global workforce. This restructuring plan was substantially completed by September 30, 2024. During the year ended December 31, 2024, we recognized </w:t>
      </w:r>
      <w:r>
        <w:rPr>
          <w:rFonts w:ascii="Work Sans;sans-serif" w:hAnsi="Work Sans;sans-serif"/>
          <w:b w:val="false"/>
          <w:color w:val="000000"/>
          <w:sz w:val="18"/>
          <w:shd w:fill="FFFFFF" w:val="clear"/>
        </w:rPr>
        <w:t xml:space="preserve">$4.8 million in severance and other termination benefits in conjunction with the foregoing restructuring plan. </w:t>
      </w:r>
      <w:r>
        <w:rPr>
          <w:rFonts w:ascii="Work Sans;sans-serif" w:hAnsi="Work Sans;sans-serif"/>
          <w:b w:val="false"/>
          <w:color w:val="000000"/>
          <w:sz w:val="18"/>
        </w:rPr>
        <w:t>In 2023, we incurred $4.7 million in severance and related termination benefits costs related to a reduction in headcount in our U.S. and U.K. headcount. The 2023 reduction in the U.S. and U.K. headcount was substantially complete by December 31, 2023. Restructuring expenses include salary and benefits for the impacted employees and are included in general and administrative expenses in the accompanying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18. Income Taxes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are the domestic and foreign components of our income (loss) before income taxes (in thousands):</w:t>
      </w:r>
    </w:p>
    <w:tbl>
      <w:tblPr>
        <w:tblW w:w="7347" w:type="dxa"/>
        <w:jc w:val="left"/>
        <w:tblInd w:w="0" w:type="dxa"/>
        <w:tblLayout w:type="fixed"/>
        <w:tblCellMar>
          <w:top w:w="28" w:type="dxa"/>
          <w:left w:w="28" w:type="dxa"/>
          <w:bottom w:w="28" w:type="dxa"/>
          <w:right w:w="28" w:type="dxa"/>
        </w:tblCellMar>
      </w:tblPr>
      <w:tblGrid>
        <w:gridCol w:w="1146"/>
        <w:gridCol w:w="1008"/>
        <w:gridCol w:w="1011"/>
        <w:gridCol w:w="226"/>
        <w:gridCol w:w="826"/>
        <w:gridCol w:w="109"/>
        <w:gridCol w:w="109"/>
        <w:gridCol w:w="109"/>
        <w:gridCol w:w="109"/>
        <w:gridCol w:w="226"/>
        <w:gridCol w:w="826"/>
        <w:gridCol w:w="109"/>
        <w:gridCol w:w="109"/>
        <w:gridCol w:w="109"/>
        <w:gridCol w:w="109"/>
        <w:gridCol w:w="226"/>
        <w:gridCol w:w="826"/>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Domestic</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34,518 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Foreign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income before income taxes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31,494 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details for the provision for income taxes by jurisdiction are as follows (in thousands):</w:t>
      </w:r>
    </w:p>
    <w:tbl>
      <w:tblPr>
        <w:tblW w:w="9327" w:type="dxa"/>
        <w:jc w:val="left"/>
        <w:tblInd w:w="0" w:type="dxa"/>
        <w:tblLayout w:type="fixed"/>
        <w:tblCellMar>
          <w:top w:w="28" w:type="dxa"/>
          <w:left w:w="28" w:type="dxa"/>
          <w:bottom w:w="28" w:type="dxa"/>
          <w:right w:w="28" w:type="dxa"/>
        </w:tblCellMar>
      </w:tblPr>
      <w:tblGrid>
        <w:gridCol w:w="1863"/>
        <w:gridCol w:w="1629"/>
        <w:gridCol w:w="1653"/>
        <w:gridCol w:w="226"/>
        <w:gridCol w:w="826"/>
        <w:gridCol w:w="109"/>
        <w:gridCol w:w="109"/>
        <w:gridCol w:w="109"/>
        <w:gridCol w:w="109"/>
        <w:gridCol w:w="226"/>
        <w:gridCol w:w="826"/>
        <w:gridCol w:w="109"/>
        <w:gridCol w:w="109"/>
        <w:gridCol w:w="109"/>
        <w:gridCol w:w="109"/>
        <w:gridCol w:w="226"/>
        <w:gridCol w:w="826"/>
        <w:gridCol w:w="154"/>
      </w:tblGrid>
      <w:tr>
        <w:trPr/>
        <w:tc>
          <w:tcPr>
            <w:tcW w:w="1863"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Current</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Federal</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State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Foreign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current provision</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17,672 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12,829 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Deferred</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Federal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State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Foreign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deferred provision for (benefit from) income taxes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provision for income tax</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17,011 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13,120 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17,541 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On July 4, 2025, H.R.1, the One Big Beautiful Act, or OBBBA, was enacted. The OBBBA includes numerous business tax provisions including 100% bonus depreciation, provisions related to expensing domestic research and development expenses as well as modifications to the business interest expense limitation calculation. As a result of incorporating the changes under the OBBBA we recorded a decrease to deferred tax assets for capitalized research and development costs resulting in a current tax benefit offset by deferred tax expense.</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33350"/>
                <wp:effectExtent l="0" t="0" r="0" b="0"/>
                <wp:wrapNone/>
                <wp:docPr id="98" name="Frame9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 reconciliation of the provision for income taxes to the amount computed by applying the U.S. federal income tax rate of 21% to income before taxes after the adoption of ASU 2023-09 is as follows (in thousands):</w:t>
      </w:r>
    </w:p>
    <w:tbl>
      <w:tblPr>
        <w:tblW w:w="6718" w:type="dxa"/>
        <w:jc w:val="left"/>
        <w:tblInd w:w="0" w:type="dxa"/>
        <w:tblLayout w:type="fixed"/>
        <w:tblCellMar>
          <w:top w:w="28" w:type="dxa"/>
          <w:left w:w="28" w:type="dxa"/>
          <w:bottom w:w="28" w:type="dxa"/>
          <w:right w:w="28" w:type="dxa"/>
        </w:tblCellMar>
      </w:tblPr>
      <w:tblGrid>
        <w:gridCol w:w="1285"/>
        <w:gridCol w:w="1131"/>
        <w:gridCol w:w="1138"/>
        <w:gridCol w:w="311"/>
        <w:gridCol w:w="1139"/>
        <w:gridCol w:w="150"/>
        <w:gridCol w:w="150"/>
        <w:gridCol w:w="150"/>
        <w:gridCol w:w="150"/>
        <w:gridCol w:w="337"/>
        <w:gridCol w:w="338"/>
        <w:gridCol w:w="439"/>
      </w:tblGrid>
      <w:tr>
        <w:trPr/>
        <w:tc>
          <w:tcPr>
            <w:tcW w:w="1285"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Tax at U.S. statutory rate</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6,812 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21.0 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State and local income taxes</w:t>
            </w:r>
            <w:r>
              <w:rPr>
                <w:rFonts w:ascii="Work Sans;sans-serif" w:hAnsi="Work Sans;sans-serif"/>
                <w:b w:val="false"/>
                <w:color w:val="000000"/>
                <w:sz w:val="12"/>
              </w:rPr>
              <w:t>(1)</w:t>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3,326 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10.3 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Foreign tax effects</w:t>
            </w:r>
          </w:p>
        </w:tc>
        <w:tc>
          <w:tcPr>
            <w:tcW w:w="1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United Kingdom</w:t>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foreign jurisdictions</w:t>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0.5 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Tax credits</w:t>
            </w:r>
          </w:p>
        </w:tc>
        <w:tc>
          <w:tcPr>
            <w:tcW w:w="1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Research and development credits</w:t>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(3,817)</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(11.8)</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Nontaxable and nondeductible Items</w:t>
            </w:r>
          </w:p>
        </w:tc>
        <w:tc>
          <w:tcPr>
            <w:tcW w:w="1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Share-based payment awards</w:t>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10,719 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33.0 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Internal reorganization costs</w:t>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1,689 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5.2 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Acquisition costs</w:t>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w:t>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Changes in unrecognized tax benefits</w:t>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2,844 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8.8 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adjustments</w:t>
            </w:r>
          </w:p>
        </w:tc>
        <w:tc>
          <w:tcPr>
            <w:tcW w:w="1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Loss on subsidiary stock</w:t>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(3,522)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(10.9)</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w:t>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(465)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Effective tax rate</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17,011 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52.5 </w:t>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(1) The states and local jurisdictions that contribute to the majority (greater than 50%) of the tax effect in this category include Delaware, New York, Pennsylvania and Texas.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provision for income taxes for December 31, 2024, and 2023, differed from the amounts computed by applying the U.S. Federal income tax rate of 21% to income before income taxes prior to the adoption of ASU 2023-09 as a result of the following (in thousands):</w:t>
      </w:r>
    </w:p>
    <w:tbl>
      <w:tblPr>
        <w:tblW w:w="7025" w:type="dxa"/>
        <w:jc w:val="left"/>
        <w:tblInd w:w="0" w:type="dxa"/>
        <w:tblLayout w:type="fixed"/>
        <w:tblCellMar>
          <w:top w:w="28" w:type="dxa"/>
          <w:left w:w="28" w:type="dxa"/>
          <w:bottom w:w="28" w:type="dxa"/>
          <w:right w:w="28" w:type="dxa"/>
        </w:tblCellMar>
      </w:tblPr>
      <w:tblGrid>
        <w:gridCol w:w="1453"/>
        <w:gridCol w:w="1279"/>
        <w:gridCol w:w="1287"/>
        <w:gridCol w:w="109"/>
        <w:gridCol w:w="109"/>
        <w:gridCol w:w="233"/>
        <w:gridCol w:w="854"/>
        <w:gridCol w:w="112"/>
        <w:gridCol w:w="112"/>
        <w:gridCol w:w="112"/>
        <w:gridCol w:w="112"/>
        <w:gridCol w:w="233"/>
        <w:gridCol w:w="854"/>
        <w:gridCol w:w="166"/>
      </w:tblGrid>
      <w:tr>
        <w:trPr/>
        <w:tc>
          <w:tcPr>
            <w:tcW w:w="1453"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Provision for income taxes at statutory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9,047 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6,614 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State income taxes, net of federal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2,186 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1,796 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Rate differential on foreign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(2,670)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Research and development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(5,152)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Change in valuation allowance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814 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2,698 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4,538 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 xml:space="preserve">Nondeductible stock-based compensation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5,757 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6,053 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Unrecognized tax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2,498 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Non-deductible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13,120 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17,541 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33350"/>
                <wp:effectExtent l="0" t="0" r="0" b="0"/>
                <wp:wrapNone/>
                <wp:docPr id="99" name="Frame9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Cash paid for income taxes, net of refunds received, after the adoption of ASU 2023-09, for the year ended December 31, 2025 is as follows (in thousands):</w:t>
      </w:r>
    </w:p>
    <w:tbl>
      <w:tblPr>
        <w:tblW w:w="6344" w:type="dxa"/>
        <w:jc w:val="left"/>
        <w:tblInd w:w="0" w:type="dxa"/>
        <w:tblLayout w:type="fixed"/>
        <w:tblCellMar>
          <w:top w:w="28" w:type="dxa"/>
          <w:left w:w="28" w:type="dxa"/>
          <w:bottom w:w="28" w:type="dxa"/>
          <w:right w:w="28" w:type="dxa"/>
        </w:tblCellMar>
      </w:tblPr>
      <w:tblGrid>
        <w:gridCol w:w="1735"/>
        <w:gridCol w:w="1520"/>
        <w:gridCol w:w="1530"/>
        <w:gridCol w:w="324"/>
        <w:gridCol w:w="1014"/>
        <w:gridCol w:w="221"/>
      </w:tblGrid>
      <w:tr>
        <w:trPr/>
        <w:tc>
          <w:tcPr>
            <w:tcW w:w="1735"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w:t>
            </w:r>
          </w:p>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December 31,</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Federal</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5,404 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State and local</w:t>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California</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466 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2,739 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Foreign</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Cash paid for income taxes, net of refunds received</w:t>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8,914 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Cash paid for income taxes for the years ended December 31, 2024 and 2023 was $26.2 million and $6.6 million, respectively.</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tax effects of temporary differences that give rise to significant portions of our deferred tax assets and liabilities consisted of the following as of December 31, 2025 and 2024, (in thousands):</w:t>
      </w:r>
    </w:p>
    <w:tbl>
      <w:tblPr>
        <w:tblW w:w="6144" w:type="dxa"/>
        <w:jc w:val="center"/>
        <w:tblInd w:w="0" w:type="dxa"/>
        <w:tblLayout w:type="fixed"/>
        <w:tblCellMar>
          <w:top w:w="28" w:type="dxa"/>
          <w:left w:w="28" w:type="dxa"/>
          <w:bottom w:w="28" w:type="dxa"/>
          <w:right w:w="28" w:type="dxa"/>
        </w:tblCellMar>
      </w:tblPr>
      <w:tblGrid>
        <w:gridCol w:w="1251"/>
        <w:gridCol w:w="1098"/>
        <w:gridCol w:w="1101"/>
        <w:gridCol w:w="226"/>
        <w:gridCol w:w="826"/>
        <w:gridCol w:w="109"/>
        <w:gridCol w:w="109"/>
        <w:gridCol w:w="109"/>
        <w:gridCol w:w="109"/>
        <w:gridCol w:w="226"/>
        <w:gridCol w:w="826"/>
        <w:gridCol w:w="154"/>
      </w:tblGrid>
      <w:tr>
        <w:trPr/>
        <w:tc>
          <w:tcPr>
            <w:tcW w:w="125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As of December 31,</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Deferred tax assets</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Deferred revenue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Accrued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7,088 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Stock-based compensation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operating loss carryforwards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14,918 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Tax credit carryforwards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10,264 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Lease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Interest expense carryforwards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Capital loss carryforwards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Capitalized research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34,957 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deferred tax assets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67,219 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76,642 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Valuation allowance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(16,876)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deferred tax assets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51,278 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59,766 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Deferred tax liabilities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Depreciation and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(19,340)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Right of use asset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State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(3,950)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deferred tax liabilities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(19,394)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(25,070)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deferred tax assets and liabilities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31,884 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34,696 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evaluated the realizability of net deferred tax assets and determined it is more likely than not that separate state net operating losses, the deferred tax assets for Pulse IP, LLC and Pulse Business, LLC,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33350"/>
                <wp:effectExtent l="0" t="0" r="0" b="0"/>
                <wp:wrapNone/>
                <wp:docPr id="100" name="Frame9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val="false"/>
          <w:color w:val="000000"/>
          <w:sz w:val="18"/>
        </w:rPr>
      </w:pPr>
      <w:r>
        <w:rPr>
          <w:rFonts w:ascii="Work Sans;sans-serif" w:hAnsi="Work Sans;sans-serif"/>
          <w:b w:val="false"/>
          <w:color w:val="000000"/>
          <w:sz w:val="18"/>
        </w:rPr>
        <w:t xml:space="preserve">foreign deferred tax assets, excluding Poland, will not be realized based on the available objective evidence and have recorded a valuation allowance on such deferred tax assets.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summarizes the valuation allowance (in thousands):</w:t>
      </w:r>
    </w:p>
    <w:p>
      <w:pPr>
        <w:pStyle w:val="TextBody"/>
        <w:bidi w:val="0"/>
        <w:spacing w:before="120" w:after="120"/>
        <w:ind w:left="0" w:right="0" w:firstLine="450"/>
        <w:jc w:val="left"/>
        <w:rPr/>
      </w:pPr>
      <w:r>
        <w:rPr/>
      </w:r>
    </w:p>
    <w:tbl>
      <w:tblPr>
        <w:tblW w:w="8666" w:type="dxa"/>
        <w:jc w:val="left"/>
        <w:tblInd w:w="0" w:type="dxa"/>
        <w:tblLayout w:type="fixed"/>
        <w:tblCellMar>
          <w:top w:w="28" w:type="dxa"/>
          <w:left w:w="28" w:type="dxa"/>
          <w:bottom w:w="28" w:type="dxa"/>
          <w:right w:w="28" w:type="dxa"/>
        </w:tblCellMar>
      </w:tblPr>
      <w:tblGrid>
        <w:gridCol w:w="1623"/>
        <w:gridCol w:w="1428"/>
        <w:gridCol w:w="1433"/>
        <w:gridCol w:w="226"/>
        <w:gridCol w:w="826"/>
        <w:gridCol w:w="109"/>
        <w:gridCol w:w="109"/>
        <w:gridCol w:w="109"/>
        <w:gridCol w:w="109"/>
        <w:gridCol w:w="226"/>
        <w:gridCol w:w="826"/>
        <w:gridCol w:w="109"/>
        <w:gridCol w:w="109"/>
        <w:gridCol w:w="109"/>
        <w:gridCol w:w="109"/>
        <w:gridCol w:w="226"/>
        <w:gridCol w:w="826"/>
        <w:gridCol w:w="154"/>
      </w:tblGrid>
      <w:tr>
        <w:trPr/>
        <w:tc>
          <w:tcPr>
            <w:tcW w:w="1623"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Beginning balance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14,644 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(decrease) increase in current year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(decrease) increase in valuation prior period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Ending balance</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15,941 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16,876 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16,320 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Net changes in the valuation allowance in the years ended December 31, 2025, 2024, and 2023 include changes recorded through earnings relating to losses primarily from foreign operations and the release in 2024 of the valuation allowance on the capital loss carryover from the acquisition of Earth Class Mail, Inc. and the release of the valuation allowance on one of the foreign entities. </w:t>
      </w:r>
    </w:p>
    <w:p>
      <w:pPr>
        <w:pStyle w:val="TextBody"/>
        <w:bidi w:val="0"/>
        <w:spacing w:lineRule="auto" w:line="288" w:before="120" w:after="120"/>
        <w:ind w:left="0" w:right="0" w:firstLine="450"/>
        <w:jc w:val="left"/>
        <w:rPr/>
      </w:pPr>
      <w:r>
        <w:rPr>
          <w:rFonts w:ascii="Work Sans;sans-serif" w:hAnsi="Work Sans;sans-serif"/>
          <w:b w:val="false"/>
          <w:color w:val="000000"/>
          <w:sz w:val="18"/>
        </w:rPr>
        <w:t>At December 31, 2025 and 2024, we had federal net operating loss, or NOL, carryforwards of $27.5 million and $16.6 million, respectively, which will begin to expire in 2036 on a tax return basis. At December 31, 2025, and 2024, we had state NOL carryforwards of $41.3 million and $28.8 million on a tax return basis, respectively, which will begin to expire in 2026. At December 31, 2025 and 2024, we had foreign NOL carryforwards of $32.8 million and $35.1 million on a tax return basis, respectively, which can be carried forward indefinitely and are not subject to expiration. At December 31, 2025,and 2024, our federal tax credit carryforwards were immaterial. At December 31, 2025 and 2024, we had state tax credit carryforwards of $14.0 million and $13.9 million on a tax return basis, respectively, which carry forward indefinitely. Our domestic entities may be subject to an annual limitation on the utilization of NOL and credit carryforwards based on changes in ownership as defined by Section 382 of the</w:t>
      </w:r>
      <w:r>
        <w:rPr>
          <w:color w:val="000000"/>
        </w:rPr>
        <w:t xml:space="preserve"> </w:t>
      </w:r>
      <w:r>
        <w:rPr>
          <w:rFonts w:ascii="Work Sans;sans-serif" w:hAnsi="Work Sans;sans-serif"/>
          <w:b w:val="false"/>
          <w:i/>
          <w:color w:val="000000"/>
          <w:sz w:val="18"/>
        </w:rPr>
        <w:t>Internal Revenue Code of 1986</w:t>
      </w:r>
      <w:r>
        <w:rPr>
          <w:rFonts w:ascii="Work Sans;sans-serif" w:hAnsi="Work Sans;sans-serif"/>
          <w:b w:val="false"/>
          <w:color w:val="000000"/>
          <w:sz w:val="18"/>
        </w:rPr>
        <w:t>. In 2022 and 2025, we acquired Revvsales Inc. and Formation Nation, respectively, as stock acquisitions, and since there was a change in ownership, the acquired NOL carryforwards are subject to an annual Section 382 limitation on the utilization of the NOL carryforwards.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had foreign operations since 2013. We have not provided for U.S. income taxes on the undistributed earnings and other outside temporary differences of foreign subsidiaries as they are considered indefinitely reinvested outside the U.S. At December 31, 2025, 2024, and 2023, the amount of temporary differences related to undistributed earnings and other outside temporary differences upon which U.S. income taxes are not material to our consolidated financial statements.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summarizes the changes in unrecognized tax benefits for the years ended December 31, 2025, 2024, and 2023 (in thousands):</w:t>
      </w:r>
    </w:p>
    <w:tbl>
      <w:tblPr>
        <w:tblW w:w="6601" w:type="dxa"/>
        <w:jc w:val="left"/>
        <w:tblInd w:w="0" w:type="dxa"/>
        <w:tblLayout w:type="fixed"/>
        <w:tblCellMar>
          <w:top w:w="28" w:type="dxa"/>
          <w:left w:w="28" w:type="dxa"/>
          <w:bottom w:w="28" w:type="dxa"/>
          <w:right w:w="28" w:type="dxa"/>
        </w:tblCellMar>
      </w:tblPr>
      <w:tblGrid>
        <w:gridCol w:w="1789"/>
        <w:gridCol w:w="1571"/>
        <w:gridCol w:w="1575"/>
        <w:gridCol w:w="312"/>
        <w:gridCol w:w="1141"/>
        <w:gridCol w:w="213"/>
      </w:tblGrid>
      <w:tr>
        <w:trPr/>
        <w:tc>
          <w:tcPr>
            <w:tcW w:w="1789"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Gross</w:t>
              <w:br/>
              <w:t>Unrealized Tax</w:t>
              <w:br/>
              <w:t>Benefits</w:t>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Balance at December 31, 2022</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8,920 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Additions for tax positions related to the current year</w:t>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2,181 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Additions for tax positions related to prior years</w:t>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Balance at December 31, 2023</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11,519 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Additions for tax positions related to the current year</w:t>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2,854 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Reductions for tax positions related to prior years</w:t>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(966)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Balance at December 31, 2024</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13,407 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Additions for tax positions related to the current year</w:t>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1,965 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Additions for tax positions related to prior years</w:t>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1,416 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Balance at December 31, 2025</w:t>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16,788 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If recognized, $16.8 million of unrecognized tax benefits, excluding interest and penalties, would reduce our annual effective tax rate. Due to the uncertain and complex application of tax laws and regulations, it is possible that the ultimate resolution of uncertain positions may result in liabilities that could be materially different from these estimates. In such an event, we will record additional tax expense or benefit in the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33350"/>
                <wp:effectExtent l="0" t="0" r="0" b="0"/>
                <wp:wrapNone/>
                <wp:docPr id="101" name="Frame10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val="false"/>
          <w:color w:val="000000"/>
          <w:sz w:val="18"/>
        </w:rPr>
      </w:pPr>
      <w:r>
        <w:rPr>
          <w:rFonts w:ascii="Work Sans;sans-serif" w:hAnsi="Work Sans;sans-serif"/>
          <w:b w:val="false"/>
          <w:color w:val="000000"/>
          <w:sz w:val="18"/>
        </w:rPr>
        <w:t>in which resolution occurs. Our policy is to recognize interest and penalties related to income tax matters in income tax expense. At December 31, 2025 and 2024, accrued interest and penalties related to income tax positions were not material to our consolidated financial statements.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are subject to taxation and file income tax returns in the U.S. federal, state, and foreign jurisdictions. The federal income tax returns for the years 2022 and forward and state income tax returns for the tax years 2008 and forward remain open to examination. We are under examination in two states which are not expected to have an impact on our results of operations, cash flows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19. 401(k) Savings Plan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a defined contribution savings plan under Section 401(k) of the Internal Revenue Code. This plan covers substantially all employees who meet minimum age and service requirements and allows participants to defer a portion of their annual compensation on a pre-tax basis. Under the 401(k) plan, matching contributions are based upon the amount of the employees’ contributions subject to certain limitations. We contributed $3.8 million, $4.0 million, and $4.0 million to the 401(k) plan in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20. Accumulated Other Comprehensive Income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Changes in accumulated other comprehensive income consisted of the following:</w:t>
      </w:r>
    </w:p>
    <w:tbl>
      <w:tblPr>
        <w:tblW w:w="9627" w:type="dxa"/>
        <w:jc w:val="left"/>
        <w:tblInd w:w="0" w:type="dxa"/>
        <w:tblLayout w:type="fixed"/>
        <w:tblCellMar>
          <w:top w:w="28" w:type="dxa"/>
          <w:left w:w="28" w:type="dxa"/>
          <w:bottom w:w="28" w:type="dxa"/>
          <w:right w:w="28" w:type="dxa"/>
        </w:tblCellMar>
      </w:tblPr>
      <w:tblGrid>
        <w:gridCol w:w="1987"/>
        <w:gridCol w:w="1748"/>
        <w:gridCol w:w="1755"/>
        <w:gridCol w:w="311"/>
        <w:gridCol w:w="724"/>
        <w:gridCol w:w="151"/>
        <w:gridCol w:w="109"/>
        <w:gridCol w:w="109"/>
        <w:gridCol w:w="109"/>
        <w:gridCol w:w="286"/>
        <w:gridCol w:w="686"/>
        <w:gridCol w:w="139"/>
        <w:gridCol w:w="109"/>
        <w:gridCol w:w="109"/>
        <w:gridCol w:w="109"/>
        <w:gridCol w:w="295"/>
        <w:gridCol w:w="688"/>
        <w:gridCol w:w="203"/>
      </w:tblGrid>
      <w:tr>
        <w:trPr/>
        <w:tc>
          <w:tcPr>
            <w:tcW w:w="1987"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 2025</w:t>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i/>
                <w:color w:val="000000"/>
                <w:sz w:val="18"/>
              </w:rPr>
            </w:pPr>
            <w:r>
              <w:rPr>
                <w:rFonts w:ascii="Work Sans;sans-serif" w:hAnsi="Work Sans;sans-serif"/>
                <w:b w:val="false"/>
                <w:i/>
                <w:color w:val="000000"/>
                <w:sz w:val="18"/>
              </w:rPr>
              <w:t>(in thousands)</w:t>
            </w:r>
          </w:p>
        </w:tc>
        <w:tc>
          <w:tcPr>
            <w:tcW w:w="1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Before Tax</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Net of Tax</w:t>
              <w:br/>
              <w:t>Amount</w:t>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Foreign currency translation adjustments:</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Beginning balance</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463 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463 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Change during period</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(283)</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180 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180 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Available-for-sale debt security:</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Beginning balance</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530 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398 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Unrealized gains</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Reclassification adjustment for gain included in net income</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Accumulated other comprehensive income:</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Beginning balance</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993 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861 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comprehensive loss</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(680)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181 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181 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696" w:type="dxa"/>
        <w:jc w:val="left"/>
        <w:tblInd w:w="0" w:type="dxa"/>
        <w:tblLayout w:type="fixed"/>
        <w:tblCellMar>
          <w:top w:w="28" w:type="dxa"/>
          <w:left w:w="28" w:type="dxa"/>
          <w:bottom w:w="28" w:type="dxa"/>
          <w:right w:w="28" w:type="dxa"/>
        </w:tblCellMar>
      </w:tblPr>
      <w:tblGrid>
        <w:gridCol w:w="1650"/>
        <w:gridCol w:w="1451"/>
        <w:gridCol w:w="1458"/>
        <w:gridCol w:w="311"/>
        <w:gridCol w:w="724"/>
        <w:gridCol w:w="151"/>
        <w:gridCol w:w="109"/>
        <w:gridCol w:w="109"/>
        <w:gridCol w:w="109"/>
        <w:gridCol w:w="286"/>
        <w:gridCol w:w="686"/>
        <w:gridCol w:w="139"/>
        <w:gridCol w:w="109"/>
        <w:gridCol w:w="109"/>
        <w:gridCol w:w="109"/>
        <w:gridCol w:w="295"/>
        <w:gridCol w:w="688"/>
        <w:gridCol w:w="203"/>
      </w:tblGrid>
      <w:tr>
        <w:trPr/>
        <w:tc>
          <w:tcPr>
            <w:tcW w:w="1650"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 2024</w:t>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i/>
                <w:color w:val="000000"/>
                <w:sz w:val="18"/>
              </w:rPr>
            </w:pPr>
            <w:r>
              <w:rPr>
                <w:rFonts w:ascii="Work Sans;sans-serif" w:hAnsi="Work Sans;sans-serif"/>
                <w:b w:val="false"/>
                <w:i/>
                <w:color w:val="000000"/>
                <w:sz w:val="18"/>
              </w:rPr>
              <w:t>(in thousands)</w:t>
            </w:r>
          </w:p>
        </w:tc>
        <w:tc>
          <w:tcPr>
            <w:tcW w:w="1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Before Tax</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Net of Tax</w:t>
              <w:br/>
              <w:t>Amount</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Foreign currency translation adjustments:</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Beginning balance</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Change during period</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463 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463 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Available-for-sale debt security:</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Beginning balance</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Unrealized gains</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530 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(132)</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398 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Accumulated other comprehensive income:</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Beginning balance</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comprehensive income</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681 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629 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993 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(132)</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861 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33350"/>
                <wp:effectExtent l="0" t="0" r="0" b="0"/>
                <wp:wrapNone/>
                <wp:docPr id="102" name="Frame10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97</w:t>
                      </w:r>
                    </w:p>
                  </w:txbxContent>
                </v:textbox>
                <w10:wrap type="none"/>
              </v:rect>
            </w:pict>
          </mc:Fallback>
        </mc:AlternateContent>
      </w:r>
    </w:p>
    <w:p>
      <w:pPr>
        <w:pStyle w:val="TextBody"/>
        <w:bidi w:val="0"/>
        <w:spacing w:before="0" w:after="0"/>
        <w:jc w:val="center"/>
        <w:rPr/>
      </w:pPr>
      <w:r>
        <w:rPr/>
      </w:r>
    </w:p>
    <w:tbl>
      <w:tblPr>
        <w:tblW w:w="8696" w:type="dxa"/>
        <w:jc w:val="left"/>
        <w:tblInd w:w="0" w:type="dxa"/>
        <w:tblLayout w:type="fixed"/>
        <w:tblCellMar>
          <w:top w:w="28" w:type="dxa"/>
          <w:left w:w="28" w:type="dxa"/>
          <w:bottom w:w="28" w:type="dxa"/>
          <w:right w:w="28" w:type="dxa"/>
        </w:tblCellMar>
      </w:tblPr>
      <w:tblGrid>
        <w:gridCol w:w="1650"/>
        <w:gridCol w:w="1451"/>
        <w:gridCol w:w="1458"/>
        <w:gridCol w:w="257"/>
        <w:gridCol w:w="804"/>
        <w:gridCol w:w="125"/>
        <w:gridCol w:w="109"/>
        <w:gridCol w:w="109"/>
        <w:gridCol w:w="109"/>
        <w:gridCol w:w="332"/>
        <w:gridCol w:w="618"/>
        <w:gridCol w:w="161"/>
        <w:gridCol w:w="109"/>
        <w:gridCol w:w="109"/>
        <w:gridCol w:w="109"/>
        <w:gridCol w:w="246"/>
        <w:gridCol w:w="771"/>
        <w:gridCol w:w="169"/>
      </w:tblGrid>
      <w:tr>
        <w:trPr/>
        <w:tc>
          <w:tcPr>
            <w:tcW w:w="1650"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 2023</w:t>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i/>
                <w:color w:val="000000"/>
                <w:sz w:val="18"/>
              </w:rPr>
            </w:pPr>
            <w:r>
              <w:rPr>
                <w:rFonts w:ascii="Work Sans;sans-serif" w:hAnsi="Work Sans;sans-serif"/>
                <w:b w:val="false"/>
                <w:i/>
                <w:color w:val="000000"/>
                <w:sz w:val="18"/>
              </w:rPr>
              <w:t>(in thousands)</w:t>
            </w:r>
          </w:p>
        </w:tc>
        <w:tc>
          <w:tcPr>
            <w:tcW w:w="1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Before Tax</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Net of Tax</w:t>
              <w:br/>
              <w:t>Amount</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Foreign currency translation adjustments:</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Beginning balance</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1,358 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1,358 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Change during period</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(1,370)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(1,370)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Available-for-sale debt security:</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Beginning balance</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Unrealized gains</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(80)</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244 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Accumulated other comprehensive income:</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Beginning balance</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1,542 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1,497 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comprehensive loss</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(1,230)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(1,265)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312 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(80)</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232 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21. Segment Information</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Our Chief Executive Officer, as the CODM, organizes our company, manages resource allocations, and measures performance on the basis of one operating segment on a consolidated basis. The accounting policies of our operating segment are the same as those described in Note 2, </w:t>
      </w:r>
      <w:r>
        <w:rPr>
          <w:rFonts w:ascii="Work Sans;sans-serif" w:hAnsi="Work Sans;sans-serif"/>
          <w:b w:val="false"/>
          <w:i/>
          <w:color w:val="000000"/>
          <w:sz w:val="18"/>
        </w:rPr>
        <w:t>Summary of Significant Accounting Policies</w:t>
      </w:r>
      <w:r>
        <w:rPr>
          <w:rFonts w:ascii="Work Sans;sans-serif" w:hAnsi="Work Sans;sans-serif"/>
          <w:b/>
          <w:color w:val="000000"/>
          <w:sz w:val="18"/>
        </w:rPr>
        <w:t>.</w:t>
      </w:r>
      <w:r>
        <w:rPr>
          <w:color w:val="000000"/>
        </w:rPr>
        <w:t xml:space="preserve"> </w:t>
      </w:r>
      <w:r>
        <w:rPr>
          <w:rFonts w:ascii="Work Sans;sans-serif" w:hAnsi="Work Sans;sans-serif"/>
          <w:b w:val="false"/>
          <w:color w:val="000000"/>
          <w:sz w:val="18"/>
        </w:rPr>
        <w:t>The CODM assesses performance for the segment and decides how to allocate resources based on net income that also is reported on the accompanying consolidated statements of operations as consolidated net income. The measure of segment assets is reported on the accompanying consolidated balance sheets as total assets.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CODM uses net income to evaluate income generated from segment assets in making key operating and segment resource allocation decisions, such as investments in new product development. Net income is also used to monitor budget versus actual results.</w:t>
      </w:r>
    </w:p>
    <w:p>
      <w:pPr>
        <w:pStyle w:val="TextBody"/>
        <w:bidi w:val="0"/>
        <w:spacing w:lineRule="auto" w:line="288" w:before="240" w:after="120"/>
        <w:ind w:left="0" w:right="0" w:firstLine="450"/>
        <w:jc w:val="left"/>
        <w:rPr/>
      </w:pPr>
      <w:r>
        <w:rPr>
          <w:rFonts w:ascii="Work Sans;sans-serif" w:hAnsi="Work Sans;sans-serif"/>
          <w:b w:val="false"/>
          <w:color w:val="000000"/>
          <w:sz w:val="18"/>
        </w:rPr>
        <w:t xml:space="preserve">Our one reportable segment provides an online platform for business formation in the United States, or U.S., and, as described in Note 2, </w:t>
      </w:r>
      <w:r>
        <w:rPr>
          <w:rFonts w:ascii="Work Sans;sans-serif" w:hAnsi="Work Sans;sans-serif"/>
          <w:b w:val="false"/>
          <w:i/>
          <w:color w:val="000000"/>
          <w:sz w:val="18"/>
        </w:rPr>
        <w:t>Summary of Significant Accounting Policies,</w:t>
      </w:r>
      <w:r>
        <w:rPr>
          <w:color w:val="000000"/>
        </w:rPr>
        <w:t xml:space="preserve"> </w:t>
      </w:r>
      <w:r>
        <w:rPr>
          <w:rFonts w:ascii="Work Sans;sans-serif" w:hAnsi="Work Sans;sans-serif"/>
          <w:b w:val="false"/>
          <w:color w:val="000000"/>
          <w:sz w:val="18"/>
        </w:rPr>
        <w:t>generates revenue from customized legal document services and subscriptions offered to our customers. Revenue outside of the U.S., based on the location of the customer, represented less than 1% of our revenue for the years ended December 31, 2025, 2024 and 2023. Our property and equipment located outside of the U.S. were immaterial as of December 31, 2025 and 2024.</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summarizes financial information by reportable segment regularly provided to the CODM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14"/>
        <w:gridCol w:w="1770"/>
        <w:gridCol w:w="1777"/>
        <w:gridCol w:w="226"/>
        <w:gridCol w:w="946"/>
        <w:gridCol w:w="109"/>
        <w:gridCol w:w="109"/>
        <w:gridCol w:w="109"/>
        <w:gridCol w:w="109"/>
        <w:gridCol w:w="226"/>
        <w:gridCol w:w="946"/>
        <w:gridCol w:w="109"/>
        <w:gridCol w:w="109"/>
        <w:gridCol w:w="109"/>
        <w:gridCol w:w="109"/>
        <w:gridCol w:w="226"/>
        <w:gridCol w:w="946"/>
        <w:gridCol w:w="156"/>
      </w:tblGrid>
      <w:tr>
        <w:trPr/>
        <w:tc>
          <w:tcPr>
            <w:tcW w:w="2114"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15"/>
            <w:tcBorders/>
            <w:tcMar>
              <w:top w:w="0" w:type="dxa"/>
              <w:left w:w="0" w:type="dxa"/>
              <w:bottom w:w="0" w:type="dxa"/>
              <w:right w:w="0" w:type="dxa"/>
            </w:tcMar>
            <w:vAlign w:val="center"/>
          </w:tcPr>
          <w:p>
            <w:pPr>
              <w:pStyle w:val="TableContents"/>
              <w:bidi w:val="0"/>
              <w:spacing w:lineRule="auto" w:line="288" w:before="0" w:after="0"/>
              <w:ind w:left="0" w:right="0" w:hanging="24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5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Transaction 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263,582 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245,692 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247,780 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Subscription Revenue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492,461 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436,189 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412,947 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756,043 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681,881 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660,727 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Less:</w:t>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Filings fees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98,292 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83,269 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88,103 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cost of revenue, excluding depreciation, amortization and stock-based compensation</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133,443 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132,089 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134,070 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Customer acquisition marketing</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175,614 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157,578 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145,338 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sales and marketing, excluding depreciation, amortization and stock-based compensation</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54,152 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Technology and development, excluding depreciation, amortization and stock-based compensation</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58,328 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62,323 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60,098 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33350"/>
                <wp:effectExtent l="0" t="0" r="0" b="0"/>
                <wp:wrapNone/>
                <wp:docPr id="103" name="Frame10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98</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138"/>
        <w:gridCol w:w="1878"/>
        <w:gridCol w:w="1886"/>
        <w:gridCol w:w="226"/>
        <w:gridCol w:w="946"/>
        <w:gridCol w:w="109"/>
        <w:gridCol w:w="109"/>
        <w:gridCol w:w="109"/>
        <w:gridCol w:w="109"/>
        <w:gridCol w:w="226"/>
        <w:gridCol w:w="826"/>
        <w:gridCol w:w="109"/>
        <w:gridCol w:w="109"/>
        <w:gridCol w:w="109"/>
        <w:gridCol w:w="109"/>
        <w:gridCol w:w="226"/>
        <w:gridCol w:w="826"/>
        <w:gridCol w:w="155"/>
      </w:tblGrid>
      <w:tr>
        <w:trPr/>
        <w:tc>
          <w:tcPr>
            <w:tcW w:w="2138"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3" w:type="dxa"/>
            <w:gridSpan w:val="15"/>
            <w:tcBorders/>
            <w:tcMar>
              <w:top w:w="0" w:type="dxa"/>
              <w:left w:w="0" w:type="dxa"/>
              <w:bottom w:w="0" w:type="dxa"/>
              <w:right w:w="0" w:type="dxa"/>
            </w:tcMar>
            <w:vAlign w:val="center"/>
          </w:tcPr>
          <w:p>
            <w:pPr>
              <w:pStyle w:val="TableContents"/>
              <w:bidi w:val="0"/>
              <w:spacing w:lineRule="auto" w:line="288" w:before="0" w:after="0"/>
              <w:ind w:left="0" w:right="0" w:hanging="24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5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5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General and administrative, excluding depreciation, amortization, stock-based compensation, and restructuring</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61,843 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Stock-based compensation</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113,708 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71,510 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66,015 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Depreciation and amortization</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25,383 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Interest income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(9,307)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Interest expense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Restructuring</w:t>
            </w:r>
            <w:r>
              <w:rPr>
                <w:rFonts w:ascii="Work Sans;sans-serif" w:hAnsi="Work Sans;sans-serif"/>
                <w:b w:val="false"/>
                <w:color w:val="000000"/>
                <w:sz w:val="12"/>
              </w:rPr>
              <w:t>(1)</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4,666 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Other segment items</w:t>
            </w:r>
            <w:r>
              <w:rPr>
                <w:rFonts w:ascii="Work Sans;sans-serif" w:hAnsi="Work Sans;sans-serif"/>
                <w:b w:val="false"/>
                <w:color w:val="000000"/>
                <w:sz w:val="12"/>
              </w:rPr>
              <w:t>(2)</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(1,621)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Provision for income taxes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17,541 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5902"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Gain on sale of assets held for sale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Segment net income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13,953 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i/>
                <w:color w:val="000000"/>
                <w:sz w:val="18"/>
              </w:rPr>
            </w:pPr>
            <w:r>
              <w:rPr>
                <w:rFonts w:ascii="Work Sans;sans-serif" w:hAnsi="Work Sans;sans-serif"/>
                <w:b w:val="false"/>
                <w:i/>
                <w:color w:val="000000"/>
                <w:sz w:val="18"/>
              </w:rPr>
              <w:t>Reconciliation of profit or loss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Adjustments and reconciling items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Consolidated net income</w:t>
            </w:r>
          </w:p>
        </w:tc>
        <w:tc>
          <w:tcPr>
            <w:tcW w:w="2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15,427 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29,963 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13,953 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Work Sans;sans-serif" w:hAnsi="Work Sans;sans-serif"/>
          <w:b w:val="false"/>
          <w:color w:val="000000"/>
          <w:sz w:val="18"/>
        </w:rPr>
      </w:pPr>
      <w:r>
        <w:rPr>
          <w:rFonts w:ascii="Work Sans;sans-serif" w:hAnsi="Work Sans;sans-serif"/>
          <w:b w:val="false"/>
          <w:color w:val="000000"/>
          <w:sz w:val="18"/>
        </w:rPr>
        <w:t>(1)     For 2025, 2024 and 2023 restructuring costs related to the reduction of our global workforce. Restructuring expenses include salary and benefits for the impacted employees and are included in general and administrative expenses in the consolidated statements of operations.</w:t>
      </w:r>
    </w:p>
    <w:p>
      <w:pPr>
        <w:pStyle w:val="TextBody"/>
        <w:bidi w:val="0"/>
        <w:spacing w:lineRule="auto" w:line="288" w:before="120" w:after="120"/>
        <w:ind w:left="0" w:right="0" w:hanging="450"/>
        <w:jc w:val="left"/>
        <w:rPr>
          <w:rFonts w:ascii="Work Sans;sans-serif" w:hAnsi="Work Sans;sans-serif"/>
          <w:b w:val="false"/>
          <w:color w:val="000000"/>
          <w:sz w:val="18"/>
        </w:rPr>
      </w:pPr>
      <w:r>
        <w:rPr>
          <w:rFonts w:ascii="Work Sans;sans-serif" w:hAnsi="Work Sans;sans-serif"/>
          <w:b w:val="false"/>
          <w:color w:val="000000"/>
          <w:sz w:val="18"/>
        </w:rPr>
        <w:t>(2)    In 2024 and 2023, other segment items included in segment net income primarily consist of foreign currency gains or losses related to our intercompany loans which were denominated in British Pound Sterling, or GBP, and were written down in 2024. Other segment items included in segment net income for 2025 primarily consist of gain on sale of available-for-sale debt security and change in fair value of other equity security partially offset by the loss on debt extinguishment related to our Amended Revolving Facility and are included in other income, net on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22. Subsequent Events</w:t>
      </w:r>
    </w:p>
    <w:p>
      <w:pPr>
        <w:pStyle w:val="TextBody"/>
        <w:bidi w:val="0"/>
        <w:spacing w:lineRule="auto" w:line="288" w:before="120" w:after="120"/>
        <w:ind w:left="0" w:right="0" w:firstLine="360"/>
        <w:jc w:val="left"/>
        <w:rPr>
          <w:rFonts w:ascii="Work Sans;sans-serif" w:hAnsi="Work Sans;sans-serif"/>
          <w:b w:val="false"/>
          <w:color w:val="000000"/>
          <w:sz w:val="18"/>
        </w:rPr>
      </w:pPr>
      <w:r>
        <w:rPr>
          <w:rFonts w:ascii="Work Sans;sans-serif" w:hAnsi="Work Sans;sans-serif"/>
          <w:b w:val="false"/>
          <w:color w:val="000000"/>
          <w:sz w:val="18"/>
        </w:rPr>
        <w:t>In February 2026, the board of directors approved a $100.0 million increase in our 2023 stock repurchase program, bringing the aggregate amount authorized to $415.0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33350"/>
                <wp:effectExtent l="0" t="0" r="0" b="0"/>
                <wp:wrapNone/>
                <wp:docPr id="104" name="Frame10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9. Changes in and Disagreements With Accountants on Accounting and Financial Disclosures</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9A. Controls and Procedures</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Evaluation of Disclosure Controls and Procedures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management, with the participation of our principal executive officer and principal financial officer, evaluated the effectiveness of our disclosure controls and procedures (as defined in Rules 13a-15(e) and 15d-15(e) under the Exchange Act) as of December 31, 2025. Disclosure controls and procedures include controls and procedures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and principal financial officers as appropriate, to allow timely decisions regarding required disclosure. In designing and evaluating our disclosure controls and procedures,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such evaluation, our principal executive officer and principal financial officer concluded that our disclosure controls and procedures were effective at the reasonable assurance level as of December 31, 2025. </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Management’s Annual Report on Internal Control over Financial Reporting</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management is responsible for establishing and maintaining adequate internal control over financial reporting. Internal control over financial reporting is defined in Rules 13a-15(f) and 15d-15(f) under the Exchange Act as a process designed by, or under the supervision of, our principal executive and principal financial officers and effected by our Board of Directors, our management and other personnel, to provide reasonable assurance regarding the reliability of financial reporting and the preparation of financial statements for external purposes in accordance with GAAP.</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Management assessed the effectiveness of our internal control over financial reporting as of December 31, 2025. In making this assessment, our management used the criteria set forth by the Committee of Sponsoring Organizations of the Treadway Commission (COSO) in Internal Control-Integrated Framework (2013). Based on this assessment, our management concluded that, as of December 31, 2025, our internal control over financial reporting was effective based on those criteria.</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Management excluded Formation Nation from its assessment over internal control over financial reporting as it was acquired in a business combination on February 10, 2025. The assets and revenue of Formation Nation excluded from the assessment represent less than 1 percent of total assets and approximately 7 percent of total revenues as of and for the year ended December 31, 2025.</w:t>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effectiveness of our internal control over financial reporting as of December 31, 2025 has been audited by PricewaterhouseCoopers LLP, an independent registered public accounting firm, as stated in their report which is included in Part II, Item 8 of this Annual Report on Form 10-K.</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Changes in Internal Control over Financial Reporting</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There have been no changes in our internal control over financial reporting during the three months ended December 31,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9B. Other Information</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Rule 10b5-1 Trading Arrangements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On November 9, 2025, Nicole Miller, our Chief Legal Officer, adopted a Rule 10b5-1 trading arrangement providing for the sale of up to an aggregate of 89,461 shares of the Company’s common stock. The actual number of shares sold under the trading arrangement will be net of shares withheld for taxes upon vesting and settlement of the RSUs subject to the trading plan and is not determinable at this time. The trading arrangement is intended to satisfy the affirmative defense in Rule 10b5-1(c). The expiration of the trading arrangement is May 29, 2026, or earlier if all transactions under the trading arrangement are completed.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33350"/>
                <wp:effectExtent l="0" t="0" r="0" b="0"/>
                <wp:wrapNone/>
                <wp:docPr id="105" name="Frame10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100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9C. Disclosure Regarding Foreign Jurisdictions That Prevent Inspections</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33350"/>
                <wp:effectExtent l="0" t="0" r="0" b="0"/>
                <wp:wrapNone/>
                <wp:docPr id="106" name="Frame10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101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Work Sans;sans-serif" w:hAnsi="Work Sans;sans-serif"/>
          <w:b/>
          <w:color w:val="000000"/>
          <w:sz w:val="18"/>
        </w:rPr>
      </w:pPr>
      <w:r>
        <w:rPr>
          <w:rFonts w:ascii="Work Sans;sans-serif" w:hAnsi="Work Sans;sans-serif"/>
          <w:b/>
          <w:color w:val="000000"/>
          <w:sz w:val="18"/>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10. Directors, Executive Officers and Corporate Governance</w:t>
      </w:r>
    </w:p>
    <w:p>
      <w:pPr>
        <w:pStyle w:val="TextBody"/>
        <w:bidi w:val="0"/>
        <w:spacing w:lineRule="auto" w:line="288" w:before="120" w:after="120"/>
        <w:jc w:val="left"/>
        <w:rPr>
          <w:rFonts w:ascii="Work Sans;sans-serif" w:hAnsi="Work Sans;sans-serif"/>
          <w:b/>
          <w:color w:val="000000"/>
          <w:sz w:val="18"/>
        </w:rPr>
      </w:pPr>
      <w:r>
        <w:rPr>
          <w:rFonts w:ascii="Work Sans;sans-serif" w:hAnsi="Work Sans;sans-serif"/>
          <w:b/>
          <w:color w:val="000000"/>
          <w:sz w:val="18"/>
        </w:rPr>
        <w:t>Code of Ethics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maintain a Code of Business Conduct and Ethics that applies to all employees, including all officers, and members of our board of directors. Our Code of Business Conduct and Ethics incorporates guidelines designed to deter wrongdoing and to promote honest and ethical conduct and compliance with applicable laws and regulations. Our Code of Business Conduct and Ethics is published on our Investor Relations website at https://investors.legalzoom.com. To the extent that disclosure is required by rules adopted by the SEC and The Nasdaq Stock Market LLC, we intend to promptly disclose amendments to our Code of Business Conduct and Ethics, or waivers of such provisions granted to executive officers and directors, on our Investor Relations website.</w:t>
      </w:r>
    </w:p>
    <w:p>
      <w:pPr>
        <w:pStyle w:val="TextBody"/>
        <w:bidi w:val="0"/>
        <w:spacing w:lineRule="auto" w:line="288" w:before="120" w:after="120"/>
        <w:jc w:val="left"/>
        <w:rPr>
          <w:rFonts w:ascii="Work Sans;sans-serif" w:hAnsi="Work Sans;sans-serif"/>
          <w:b/>
          <w:color w:val="000000"/>
          <w:sz w:val="18"/>
        </w:rPr>
      </w:pPr>
      <w:r>
        <w:rPr>
          <w:rFonts w:ascii="Work Sans;sans-serif" w:hAnsi="Work Sans;sans-serif"/>
          <w:b/>
          <w:color w:val="000000"/>
          <w:sz w:val="18"/>
        </w:rPr>
        <w:t>Insider Trading Policy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an insider trading policy governing the purchase, sale and other dispositions of the Company’s securities that applies to all Company personnel, including directors, officers, employees, and designated consultants. It is the Company’s policy to comply with applicable laws and regulations when engaging in transactions in Company’s securities. We believe that our insider trading policy is reasonably designed to promote compliance with insider trading laws, rules and regulations, and the listing standards of The Nasdaq Stock Market LLC applicable to the Company. A copy of our insider trading policy is filed as Exhibit 19.1 to this Annual Report on Form 10-K.</w:t>
      </w:r>
    </w:p>
    <w:p>
      <w:pPr>
        <w:pStyle w:val="TextBody"/>
        <w:bidi w:val="0"/>
        <w:spacing w:lineRule="auto" w:line="288" w:before="120" w:after="120"/>
        <w:jc w:val="left"/>
        <w:rPr>
          <w:rFonts w:ascii="Work Sans;sans-serif" w:hAnsi="Work Sans;sans-serif"/>
          <w:b/>
          <w:color w:val="000000"/>
          <w:sz w:val="18"/>
        </w:rPr>
      </w:pPr>
      <w:r>
        <w:rPr>
          <w:rFonts w:ascii="Work Sans;sans-serif" w:hAnsi="Work Sans;sans-serif"/>
          <w:b/>
          <w:color w:val="000000"/>
          <w:sz w:val="18"/>
        </w:rPr>
        <w:t>Other</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All other information required by this Item 10 is incorporated herein by reference from the information contained in our Proxy Statement for our 2026 Annual Meeting of Stockholders, which will be filed with the SEC no later than 120 days after the end of our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11. Executive Compensation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information required by this Item 11 is incorporated herein by reference from the information contained in our Proxy Statement for our 2026 Annual Meeting of Stockholders, which will be filed with the SEC no later than 120 days after the end of our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12. Security Ownership of Certain Beneficial Owners and Management and Related Stockholder Matters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information required by this Item 12 is incorporated herein by reference from the information contained in our Proxy Statement for our 2026 Annual Meeting of Stockholders, which will be filed with the SEC no later than 120 days after the end of our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13. Certain Relationships and Related Transactions, and Director Independence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information required by this Item 13 is incorporated herein by reference from the information contained in our Proxy Statement for our 2026 Annual Meeting of Stockholders, which will be filed with the SEC no later than 120 days after the end of our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14. Principal Accountant Fees and Services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information required by this Item 14 is incorporated herein by reference from the information contained in our Proxy Statement for our 2026 Annual Meeting of Stockholders, which will be filed with the SEC no later than 120 days after the end of our fiscal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33350"/>
                <wp:effectExtent l="0" t="0" r="0" b="0"/>
                <wp:wrapNone/>
                <wp:docPr id="107" name="Frame10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102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Work Sans;sans-serif" w:hAnsi="Work Sans;sans-serif"/>
          <w:b/>
          <w:color w:val="000000"/>
          <w:sz w:val="18"/>
        </w:rPr>
      </w:pPr>
      <w:r>
        <w:rPr>
          <w:rFonts w:ascii="Work Sans;sans-serif" w:hAnsi="Work Sans;sans-serif"/>
          <w:b/>
          <w:color w:val="000000"/>
          <w:sz w:val="18"/>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Work Sans;sans-serif" w:hAnsi="Work Sans;sans-serif"/>
          <w:b/>
          <w:color w:val="000000"/>
          <w:sz w:val="18"/>
        </w:rPr>
      </w:pPr>
      <w:r>
        <w:rPr>
          <w:rFonts w:ascii="Work Sans;sans-serif" w:hAnsi="Work Sans;sans-serif"/>
          <w:b/>
          <w:color w:val="000000"/>
          <w:sz w:val="18"/>
        </w:rPr>
        <w:t>Item 15. Exhibits and Financial Statements Schedules</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 xml:space="preserve">(a) The following documents are filed as a part of this Annual Report on Form 10-K: </w:t>
      </w:r>
    </w:p>
    <w:p>
      <w:pPr>
        <w:pStyle w:val="TextBody"/>
        <w:bidi w:val="0"/>
        <w:spacing w:lineRule="auto" w:line="288" w:before="120" w:after="120"/>
        <w:ind w:left="0" w:right="0" w:firstLine="360"/>
        <w:jc w:val="left"/>
        <w:rPr>
          <w:rFonts w:ascii="Work Sans;sans-serif" w:hAnsi="Work Sans;sans-serif"/>
          <w:b w:val="false"/>
          <w:color w:val="000000"/>
          <w:sz w:val="18"/>
        </w:rPr>
      </w:pPr>
      <w:r>
        <w:rPr>
          <w:rFonts w:ascii="Work Sans;sans-serif" w:hAnsi="Work Sans;sans-serif"/>
          <w:b w:val="false"/>
          <w:color w:val="000000"/>
          <w:sz w:val="18"/>
        </w:rPr>
        <w:t xml:space="preserve">(1) Financial Statements Index </w:t>
      </w:r>
    </w:p>
    <w:p>
      <w:pPr>
        <w:pStyle w:val="TextBody"/>
        <w:bidi w:val="0"/>
        <w:spacing w:lineRule="auto" w:line="288" w:before="120" w:after="120"/>
        <w:ind w:left="0" w:right="0" w:firstLine="630"/>
        <w:jc w:val="left"/>
        <w:rPr>
          <w:rFonts w:ascii="Work Sans;sans-serif" w:hAnsi="Work Sans;sans-serif"/>
          <w:b w:val="false"/>
          <w:color w:val="000000"/>
          <w:sz w:val="18"/>
        </w:rPr>
      </w:pPr>
      <w:r>
        <w:rPr>
          <w:rFonts w:ascii="Work Sans;sans-serif" w:hAnsi="Work Sans;sans-serif"/>
          <w:b w:val="false"/>
          <w:color w:val="000000"/>
          <w:sz w:val="18"/>
        </w:rPr>
        <w:t>See Index to Financial Statements at Item 8 herein.</w:t>
      </w:r>
    </w:p>
    <w:p>
      <w:pPr>
        <w:pStyle w:val="TextBody"/>
        <w:bidi w:val="0"/>
        <w:spacing w:lineRule="auto" w:line="288" w:before="120" w:after="120"/>
        <w:ind w:left="0" w:right="0" w:firstLine="360"/>
        <w:jc w:val="left"/>
        <w:rPr>
          <w:rFonts w:ascii="Work Sans;sans-serif" w:hAnsi="Work Sans;sans-serif"/>
          <w:b w:val="false"/>
          <w:color w:val="000000"/>
          <w:sz w:val="18"/>
        </w:rPr>
      </w:pPr>
      <w:r>
        <w:rPr>
          <w:rFonts w:ascii="Work Sans;sans-serif" w:hAnsi="Work Sans;sans-serif"/>
          <w:b w:val="false"/>
          <w:color w:val="000000"/>
          <w:sz w:val="18"/>
        </w:rPr>
        <w:t xml:space="preserve">(2) Financial Statement Schedules </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 xml:space="preserve">All financial statement schedules have been omitted because the information required to be set forth therein is not applicable or is shown in the consolidated financial statements or notes thereto. </w:t>
      </w:r>
    </w:p>
    <w:p>
      <w:pPr>
        <w:pStyle w:val="TextBody"/>
        <w:bidi w:val="0"/>
        <w:spacing w:lineRule="auto" w:line="288" w:before="120" w:after="120"/>
        <w:ind w:left="0" w:right="0" w:firstLine="360"/>
        <w:jc w:val="left"/>
        <w:rPr>
          <w:rFonts w:ascii="Work Sans;sans-serif" w:hAnsi="Work Sans;sans-serif"/>
          <w:b w:val="false"/>
          <w:color w:val="000000"/>
          <w:sz w:val="18"/>
        </w:rPr>
      </w:pPr>
      <w:r>
        <w:rPr>
          <w:rFonts w:ascii="Work Sans;sans-serif" w:hAnsi="Work Sans;sans-serif"/>
          <w:b w:val="false"/>
          <w:color w:val="000000"/>
          <w:sz w:val="18"/>
        </w:rPr>
        <w:t xml:space="preserve">(3) Index to Exhibits </w:t>
      </w:r>
    </w:p>
    <w:p>
      <w:pPr>
        <w:pStyle w:val="TextBody"/>
        <w:bidi w:val="0"/>
        <w:spacing w:lineRule="auto" w:line="288" w:before="120" w:after="120"/>
        <w:ind w:left="0" w:right="0" w:firstLine="630"/>
        <w:jc w:val="left"/>
        <w:rPr>
          <w:rFonts w:ascii="Work Sans;sans-serif" w:hAnsi="Work Sans;sans-serif"/>
          <w:b w:val="false"/>
          <w:color w:val="000000"/>
          <w:sz w:val="18"/>
        </w:rPr>
      </w:pPr>
      <w:r>
        <w:rPr>
          <w:rFonts w:ascii="Work Sans;sans-serif" w:hAnsi="Work Sans;sans-serif"/>
          <w:b w:val="false"/>
          <w:color w:val="000000"/>
          <w:sz w:val="18"/>
        </w:rPr>
        <w:t xml:space="preserve">See the exhibits listed below under Part (b). </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(b) Exhibits</w:t>
      </w:r>
    </w:p>
    <w:p>
      <w:pPr>
        <w:pStyle w:val="TextBody"/>
        <w:bidi w:val="0"/>
        <w:spacing w:lineRule="auto" w:line="288" w:before="120" w:after="120"/>
        <w:ind w:left="0" w:right="0" w:firstLine="270"/>
        <w:jc w:val="left"/>
        <w:rPr>
          <w:rFonts w:ascii="Work Sans;sans-serif" w:hAnsi="Work Sans;sans-serif"/>
          <w:b w:val="false"/>
          <w:color w:val="000000"/>
          <w:sz w:val="18"/>
        </w:rPr>
      </w:pPr>
      <w:r>
        <w:rPr>
          <w:rFonts w:ascii="Work Sans;sans-serif" w:hAnsi="Work Sans;sans-serif"/>
          <w:b w:val="false"/>
          <w:color w:val="000000"/>
          <w:sz w:val="18"/>
        </w:rPr>
        <w:t>The exhibits listed below are furnished or filed as part of this report.</w:t>
      </w:r>
    </w:p>
    <w:tbl>
      <w:tblPr>
        <w:tblW w:w="10205"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3055"/>
        <w:gridCol w:w="2800"/>
        <w:gridCol w:w="2808"/>
        <w:gridCol w:w="109"/>
        <w:gridCol w:w="109"/>
        <w:gridCol w:w="156"/>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5" w:type="dxa"/>
            <w:tcBorders/>
            <w:vAlign w:val="center"/>
          </w:tcPr>
          <w:p>
            <w:pPr>
              <w:pStyle w:val="TableContents"/>
              <w:bidi w:val="0"/>
              <w:spacing w:before="0" w:after="283"/>
              <w:jc w:val="left"/>
              <w:rPr>
                <w:sz w:val="4"/>
                <w:szCs w:val="4"/>
              </w:rPr>
            </w:pPr>
            <w:r>
              <w:rPr>
                <w:sz w:val="4"/>
                <w:szCs w:val="4"/>
              </w:rPr>
            </w:r>
          </w:p>
        </w:tc>
        <w:tc>
          <w:tcPr>
            <w:tcW w:w="2800"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Work Sans;sans-serif" w:hAnsi="Work Sans;sans-serif"/>
                <w:b/>
                <w:color w:val="000000"/>
                <w:sz w:val="16"/>
              </w:rPr>
            </w:pPr>
            <w:r>
              <w:rPr>
                <w:rFonts w:ascii="Work Sans;sans-serif" w:hAnsi="Work Sans;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Description of Exhibit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firstLine="90"/>
              <w:jc w:val="center"/>
              <w:rPr>
                <w:rFonts w:ascii="Work Sans;sans-serif" w:hAnsi="Work Sans;sans-serif"/>
                <w:b w:val="false"/>
                <w:color w:val="000000"/>
                <w:sz w:val="16"/>
              </w:rPr>
            </w:pPr>
            <w:r>
              <w:rPr>
                <w:rFonts w:ascii="Work Sans;sans-serif" w:hAnsi="Work Sans;sans-serif"/>
                <w:b w:val="false"/>
                <w:color w:val="000000"/>
                <w:sz w:val="16"/>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6"/>
                <w:shd w:fill="FFFFFF" w:val="clear"/>
              </w:rPr>
              <w:t>Stock Purchase Agreement, dated February 10, 2025, by and among LegalZoom.com, Inc., Formation Nation Inc., Cort Christie, in his individual capacity for the purposes of certain sections thereof, and in his capacity as representative of the stockholders, and the stockholders of Formation Nation Inc. included on the signature pages thereto (</w:t>
            </w:r>
            <w:hyperlink r:id="rId3">
              <w:r>
                <w:rPr>
                  <w:rStyle w:val="InternetLink"/>
                  <w:rFonts w:ascii="Work Sans;sans-serif" w:hAnsi="Work Sans;sans-serif"/>
                  <w:b w:val="false"/>
                  <w:color w:val="0000FF"/>
                  <w:sz w:val="16"/>
                  <w:u w:val="single"/>
                  <w:shd w:fill="FFFFFF" w:val="clear"/>
                </w:rPr>
                <w:t>incorporated by reference to Exhibit 2.1 to the Company’s Current Report on Form 8-K filed with the SEC on February 10, 2025</w:t>
              </w:r>
            </w:hyperlink>
            <w:r>
              <w:rPr>
                <w:rFonts w:ascii="Work Sans;sans-serif" w:hAnsi="Work Sans;sans-serif"/>
                <w:b w:val="false"/>
                <w:color w:val="000000"/>
                <w:sz w:val="16"/>
                <w:shd w:fill="FFFFFF" w:val="clear"/>
              </w:rPr>
              <w:t>).</w:t>
            </w:r>
          </w:p>
        </w:tc>
        <w:tc>
          <w:tcPr>
            <w:tcW w:w="374"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Amended and Restated Certificate of Incorporation of LegalZoom.com, Inc. </w:t>
            </w:r>
            <w:hyperlink r:id="rId4">
              <w:r>
                <w:rPr>
                  <w:rStyle w:val="InternetLink"/>
                  <w:rFonts w:ascii="Work Sans;sans-serif" w:hAnsi="Work Sans;sans-serif"/>
                  <w:b w:val="false"/>
                  <w:color w:val="0000FF"/>
                  <w:sz w:val="16"/>
                  <w:u w:val="single"/>
                  <w:shd w:fill="FFFFFF" w:val="clear"/>
                </w:rPr>
                <w:t>(incorporated by reference to Exhibit 3.1 to the Company’s Current Report on Form 8-K filed with the SEC on July 2, 2021)</w:t>
              </w:r>
            </w:hyperlink>
            <w:r>
              <w:rPr>
                <w:rFonts w:ascii="Work Sans;sans-serif" w:hAnsi="Work Sans;sans-serif"/>
                <w:b w:val="false"/>
                <w:color w:val="000000"/>
                <w:sz w:val="16"/>
                <w:shd w:fill="FFFFFF" w:val="clear"/>
              </w:rPr>
              <w:t>.</w:t>
            </w:r>
          </w:p>
        </w:tc>
        <w:tc>
          <w:tcPr>
            <w:tcW w:w="374"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6"/>
              </w:rPr>
              <w:t xml:space="preserve">Amended and Restated Bylaws of LegalZoom.com, Inc. </w:t>
            </w:r>
            <w:hyperlink r:id="rId5">
              <w:r>
                <w:rPr>
                  <w:rStyle w:val="InternetLink"/>
                  <w:rFonts w:ascii="Work Sans;sans-serif" w:hAnsi="Work Sans;sans-serif"/>
                  <w:b w:val="false"/>
                  <w:color w:val="0000FF"/>
                  <w:sz w:val="16"/>
                  <w:u w:val="single"/>
                </w:rPr>
                <w:t>(incorporated by reference to Exhibit 3.1 to the Company’s Current Report on Form 8-K filed with the SEC on November 6, 2024)</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Form of LegalZoom.com, Inc.’s Common Stock Certificate </w:t>
            </w:r>
            <w:hyperlink r:id="rId6">
              <w:r>
                <w:rPr>
                  <w:rStyle w:val="InternetLink"/>
                  <w:rFonts w:ascii="Work Sans;sans-serif" w:hAnsi="Work Sans;sans-serif"/>
                  <w:b w:val="false"/>
                  <w:color w:val="0000FF"/>
                  <w:sz w:val="16"/>
                  <w:u w:val="single"/>
                </w:rPr>
                <w:t>(incorporated by reference to Exhibit 4.1 of Amendment No. 1 to the Company’s Registration Statement on Form S-1 filed with the SEC on June 21, 2021)</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Fourth Amended and Restated Investors’ Rights Agreement, by and among LegalZoom.com, Inc. and certain of its stockholders, dated June 18, 2021 </w:t>
            </w:r>
            <w:hyperlink r:id="rId7">
              <w:r>
                <w:rPr>
                  <w:rStyle w:val="InternetLink"/>
                  <w:rFonts w:ascii="Work Sans;sans-serif" w:hAnsi="Work Sans;sans-serif"/>
                  <w:b w:val="false"/>
                  <w:color w:val="0000FF"/>
                  <w:sz w:val="16"/>
                  <w:u w:val="single"/>
                </w:rPr>
                <w:t>(incorporated by reference to Exhibit 4.2 of Amendment No. 1 to the Company’s Registration Statement on Form S-1 filed with the SEC on June 21, 2021)</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6"/>
              </w:rPr>
              <w:t>Description of our Common Stock (</w:t>
            </w:r>
            <w:hyperlink r:id="rId8">
              <w:r>
                <w:rPr>
                  <w:rStyle w:val="InternetLink"/>
                  <w:rFonts w:ascii="Work Sans;sans-serif" w:hAnsi="Work Sans;sans-serif"/>
                  <w:b w:val="false"/>
                  <w:color w:val="0000FF"/>
                  <w:sz w:val="16"/>
                  <w:u w:val="single"/>
                </w:rPr>
                <w:t>incorporated by reference to Exhibit 4.3 to the Company’s Annual Report on Form 10-K filed with the SEC on March 1, 2023</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2016 Stock Incentive Plan and forms of award agreements </w:t>
            </w:r>
            <w:hyperlink r:id="rId9">
              <w:r>
                <w:rPr>
                  <w:rStyle w:val="InternetLink"/>
                  <w:rFonts w:ascii="Work Sans;sans-serif" w:hAnsi="Work Sans;sans-serif"/>
                  <w:b w:val="false"/>
                  <w:color w:val="0000FF"/>
                  <w:sz w:val="16"/>
                  <w:u w:val="single"/>
                </w:rPr>
                <w:t>(incorporated by reference to Exhibit 10.1 of the Company’s Registration Statement on Form S-1 filed with the SEC on June 4, 2021)</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2021 Equity Incentive Plan and forms of award agreements </w:t>
            </w:r>
            <w:hyperlink r:id="rId10">
              <w:r>
                <w:rPr>
                  <w:rStyle w:val="InternetLink"/>
                  <w:rFonts w:ascii="Work Sans;sans-serif" w:hAnsi="Work Sans;sans-serif"/>
                  <w:b w:val="false"/>
                  <w:color w:val="0000FF"/>
                  <w:sz w:val="16"/>
                  <w:u w:val="single"/>
                </w:rPr>
                <w:t>(incorporated by reference to Exhibit 10.2 of Amendment No. 1 to the Company’s Registration Statement on Form S-1 filed with the SEC on June 21, 2021)</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2021 Employee Stock Purchase Plan </w:t>
            </w:r>
            <w:hyperlink r:id="rId11">
              <w:r>
                <w:rPr>
                  <w:rStyle w:val="InternetLink"/>
                  <w:rFonts w:ascii="Work Sans;sans-serif" w:hAnsi="Work Sans;sans-serif"/>
                  <w:b w:val="false"/>
                  <w:color w:val="0000FF"/>
                  <w:sz w:val="16"/>
                  <w:u w:val="single"/>
                </w:rPr>
                <w:t>(incorporated by reference to Exhibit 10.3 of Amendment No. 1 to the Company’s Registration Statement on Form S-1 filed with the SEC on June 21, 2021)</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6"/>
              </w:rPr>
              <w:t>Form of C-Team RSU Grant Notice (2021 Equity Incentive Plan) (</w:t>
            </w:r>
            <w:hyperlink r:id="rId12">
              <w:r>
                <w:rPr>
                  <w:rStyle w:val="InternetLink"/>
                  <w:rFonts w:ascii="Work Sans;sans-serif" w:hAnsi="Work Sans;sans-serif"/>
                  <w:b w:val="false"/>
                  <w:color w:val="0000FF"/>
                  <w:sz w:val="16"/>
                  <w:u w:val="single"/>
                </w:rPr>
                <w:t>incorporated by reference to Exhibit 10.2 to the Company’s Quarterly Report on Form 10-Q filed with the SEC on May 9, 2023</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Form of C-Team Option Grant Notice (2021 Equity Incentive Plan) (</w:t>
            </w:r>
            <w:hyperlink r:id="rId13">
              <w:r>
                <w:rPr>
                  <w:rStyle w:val="InternetLink"/>
                  <w:rFonts w:ascii="Work Sans;sans-serif" w:hAnsi="Work Sans;sans-serif"/>
                  <w:b w:val="false"/>
                  <w:color w:val="0000FF"/>
                  <w:sz w:val="16"/>
                  <w:u w:val="single"/>
                </w:rPr>
                <w:t>incorporated by reference to Exhibit 10.3 to the Company’s Quarterly Report on Form 10-Q filed with the SEC on May 9, 2023</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6"/>
              </w:rPr>
            </w:pPr>
            <w:r>
              <w:rPr>
                <w:rFonts w:ascii="Work Sans;sans-serif" w:hAnsi="Work Sans;sans-serif"/>
                <w:b w:val="false"/>
                <w:color w:val="000000"/>
                <w:sz w:val="16"/>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6"/>
              </w:rPr>
              <w:t>Form of 2025 C-Team PSU Grant Notice (2021 Equity Incentive Plan) (</w:t>
            </w:r>
            <w:hyperlink r:id="rId14">
              <w:r>
                <w:rPr>
                  <w:rStyle w:val="InternetLink"/>
                  <w:rFonts w:ascii="Work Sans;sans-serif" w:hAnsi="Work Sans;sans-serif"/>
                  <w:b w:val="false"/>
                  <w:color w:val="000080"/>
                  <w:sz w:val="16"/>
                  <w:u w:val="single"/>
                </w:rPr>
                <w:t>incorporated by reference to Ex</w:t>
              </w:r>
            </w:hyperlink>
            <w:hyperlink r:id="rId15">
              <w:r>
                <w:rPr>
                  <w:rStyle w:val="InternetLink"/>
                  <w:rFonts w:ascii="Work Sans;sans-serif" w:hAnsi="Work Sans;sans-serif"/>
                  <w:b w:val="false"/>
                  <w:color w:val="000080"/>
                  <w:sz w:val="16"/>
                  <w:u w:val="single"/>
                </w:rPr>
                <w:t>hibit 1</w:t>
              </w:r>
            </w:hyperlink>
            <w:hyperlink r:id="rId16">
              <w:r>
                <w:rPr>
                  <w:rStyle w:val="InternetLink"/>
                  <w:rFonts w:ascii="Work Sans;sans-serif" w:hAnsi="Work Sans;sans-serif"/>
                  <w:b w:val="false"/>
                  <w:color w:val="000080"/>
                  <w:sz w:val="16"/>
                  <w:u w:val="single"/>
                </w:rPr>
                <w:t>0.</w:t>
              </w:r>
            </w:hyperlink>
            <w:hyperlink r:id="rId17">
              <w:r>
                <w:rPr>
                  <w:rStyle w:val="InternetLink"/>
                  <w:rFonts w:ascii="Work Sans;sans-serif" w:hAnsi="Work Sans;sans-serif"/>
                  <w:b w:val="false"/>
                  <w:color w:val="000080"/>
                  <w:sz w:val="16"/>
                  <w:u w:val="single"/>
                </w:rPr>
                <w:t>6 to the Company</w:t>
              </w:r>
            </w:hyperlink>
            <w:hyperlink r:id="rId18">
              <w:r>
                <w:rPr>
                  <w:rStyle w:val="InternetLink"/>
                  <w:rFonts w:ascii="Work Sans;sans-serif" w:hAnsi="Work Sans;sans-serif"/>
                  <w:b w:val="false"/>
                  <w:color w:val="000080"/>
                  <w:sz w:val="16"/>
                  <w:u w:val="single"/>
                </w:rPr>
                <w:t>’</w:t>
              </w:r>
            </w:hyperlink>
            <w:hyperlink r:id="rId19">
              <w:r>
                <w:rPr>
                  <w:rStyle w:val="InternetLink"/>
                  <w:rFonts w:ascii="Work Sans;sans-serif" w:hAnsi="Work Sans;sans-serif"/>
                  <w:b w:val="false"/>
                  <w:color w:val="000080"/>
                  <w:sz w:val="16"/>
                  <w:u w:val="single"/>
                </w:rPr>
                <w:t>s Annua</w:t>
              </w:r>
            </w:hyperlink>
            <w:hyperlink r:id="rId20">
              <w:r>
                <w:rPr>
                  <w:rStyle w:val="InternetLink"/>
                  <w:rFonts w:ascii="Work Sans;sans-serif" w:hAnsi="Work Sans;sans-serif"/>
                  <w:b w:val="false"/>
                  <w:color w:val="000080"/>
                  <w:sz w:val="16"/>
                  <w:u w:val="single"/>
                </w:rPr>
                <w:t>l Report on Form 10</w:t>
              </w:r>
            </w:hyperlink>
            <w:hyperlink r:id="rId21">
              <w:r>
                <w:rPr>
                  <w:rStyle w:val="InternetLink"/>
                  <w:rFonts w:ascii="Work Sans;sans-serif" w:hAnsi="Work Sans;sans-serif"/>
                  <w:b w:val="false"/>
                  <w:color w:val="000080"/>
                  <w:sz w:val="16"/>
                  <w:u w:val="single"/>
                </w:rPr>
                <w:t>-K filed with the SEC on February 26, 2025</w:t>
              </w:r>
            </w:hyperlink>
            <w:r>
              <w:rPr>
                <w:rFonts w:ascii="Work Sans;sans-serif" w:hAnsi="Work Sans;sans-serif"/>
                <w:b w:val="false"/>
                <w:color w:val="000000"/>
                <w:sz w:val="16"/>
              </w:rPr>
              <w:t xml:space="preserve">).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6"/>
              </w:rPr>
            </w:pPr>
            <w:r>
              <w:rPr>
                <w:rFonts w:ascii="Work Sans;sans-serif" w:hAnsi="Work Sans;sans-serif"/>
                <w:b w:val="false"/>
                <w:color w:val="000000"/>
                <w:sz w:val="16"/>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Form of Indemnification Agreement, by and between LegalZoom.com, Inc. and each of its directors and executive officers </w:t>
            </w:r>
            <w:hyperlink r:id="rId22">
              <w:r>
                <w:rPr>
                  <w:rStyle w:val="InternetLink"/>
                  <w:rFonts w:ascii="Work Sans;sans-serif" w:hAnsi="Work Sans;sans-serif"/>
                  <w:b w:val="false"/>
                  <w:color w:val="0000FF"/>
                  <w:sz w:val="16"/>
                  <w:u w:val="single"/>
                </w:rPr>
                <w:t>(incorporated by reference to Exhibit 10.4 to the Company’s Registration Statement on Form S-1 filed with the SEC on June 4, 2021)</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6"/>
              </w:rPr>
            </w:pPr>
            <w:r>
              <w:rPr>
                <w:rFonts w:ascii="Work Sans;sans-serif" w:hAnsi="Work Sans;sans-serif"/>
                <w:b w:val="false"/>
                <w:color w:val="000000"/>
                <w:sz w:val="16"/>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Employment Agreement, by and between LegalZoom.com, Inc. and Jeffrey Stibel, dated July 9, 2024 (</w:t>
            </w:r>
            <w:hyperlink r:id="rId23">
              <w:r>
                <w:rPr>
                  <w:rStyle w:val="InternetLink"/>
                  <w:rFonts w:ascii="Work Sans;sans-serif" w:hAnsi="Work Sans;sans-serif"/>
                  <w:b w:val="false"/>
                  <w:color w:val="0000FF"/>
                  <w:sz w:val="16"/>
                  <w:u w:val="single"/>
                </w:rPr>
                <w:t>incorporated by reference to Exhibit 10.1 to the Company’s Current Report on Form 8-K filed with the SEC on July 10, 2024</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6"/>
              </w:rPr>
            </w:pPr>
            <w:r>
              <w:rPr>
                <w:rFonts w:ascii="Work Sans;sans-serif" w:hAnsi="Work Sans;sans-serif"/>
                <w:b w:val="false"/>
                <w:color w:val="000000"/>
                <w:sz w:val="16"/>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Amended and Restated Employment Agreement, by and between LegalZoom.com, Inc. and Noel B. Watson, dated June 16, 2021 </w:t>
            </w:r>
            <w:hyperlink r:id="rId24">
              <w:r>
                <w:rPr>
                  <w:rStyle w:val="InternetLink"/>
                  <w:rFonts w:ascii="Work Sans;sans-serif" w:hAnsi="Work Sans;sans-serif"/>
                  <w:b w:val="false"/>
                  <w:color w:val="0000FF"/>
                  <w:sz w:val="16"/>
                  <w:u w:val="single"/>
                </w:rPr>
                <w:t>(incorporated by reference to Exhibit 10.7 of Amendment No. 1 to the Company’s Registration Statement on Form S-1 filed with the SEC on June 21, 2021)</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6"/>
              </w:rPr>
            </w:pPr>
            <w:r>
              <w:rPr>
                <w:rFonts w:ascii="Work Sans;sans-serif" w:hAnsi="Work Sans;sans-serif"/>
                <w:b w:val="false"/>
                <w:color w:val="000000"/>
                <w:sz w:val="16"/>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Amendment to Employment Agreement, by and between LegalZoom.com, Inc. and Noel Watson dated March 12, 2022 </w:t>
            </w:r>
            <w:hyperlink r:id="rId25">
              <w:r>
                <w:rPr>
                  <w:rStyle w:val="InternetLink"/>
                  <w:rFonts w:ascii="Work Sans;sans-serif" w:hAnsi="Work Sans;sans-serif"/>
                  <w:b w:val="false"/>
                  <w:color w:val="0000FF"/>
                  <w:sz w:val="16"/>
                  <w:u w:val="single"/>
                </w:rPr>
                <w:t>(incorporated by reference to Exhibit 10.9 to the Company’s Annual Report on Form 10-K filed with the SEC on March 24, 2022)</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6"/>
              </w:rPr>
            </w:pPr>
            <w:r>
              <w:rPr>
                <w:rFonts w:ascii="Work Sans;sans-serif" w:hAnsi="Work Sans;sans-serif"/>
                <w:b w:val="false"/>
                <w:color w:val="000000"/>
                <w:sz w:val="16"/>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6"/>
              </w:rPr>
              <w:t>Employment Agreement, by and between LegalZoom.com, Inc. and Nicole Miller dated June 16, 2021 (</w:t>
            </w:r>
            <w:hyperlink r:id="rId26">
              <w:r>
                <w:rPr>
                  <w:rStyle w:val="InternetLink"/>
                  <w:rFonts w:ascii="Work Sans;sans-serif" w:hAnsi="Work Sans;sans-serif"/>
                  <w:b w:val="false"/>
                  <w:color w:val="0000FF"/>
                  <w:sz w:val="16"/>
                  <w:u w:val="single"/>
                </w:rPr>
                <w:t>incorporated by reference to Exhibit 10.15 to the Company’s Annual Report on Form 10-K filed with the SEC on March 1, 2023</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33350"/>
                <wp:effectExtent l="0" t="0" r="0" b="0"/>
                <wp:wrapNone/>
                <wp:docPr id="108" name="Frame10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103</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3479"/>
        <w:gridCol w:w="2588"/>
        <w:gridCol w:w="2596"/>
        <w:gridCol w:w="109"/>
        <w:gridCol w:w="109"/>
        <w:gridCol w:w="156"/>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9" w:type="dxa"/>
            <w:tcBorders/>
            <w:vAlign w:val="center"/>
          </w:tcPr>
          <w:p>
            <w:pPr>
              <w:pStyle w:val="TableContents"/>
              <w:bidi w:val="0"/>
              <w:spacing w:before="0" w:after="283"/>
              <w:jc w:val="left"/>
              <w:rPr>
                <w:sz w:val="4"/>
                <w:szCs w:val="4"/>
              </w:rPr>
            </w:pPr>
            <w:r>
              <w:rPr>
                <w:sz w:val="4"/>
                <w:szCs w:val="4"/>
              </w:rPr>
            </w:r>
          </w:p>
        </w:tc>
        <w:tc>
          <w:tcPr>
            <w:tcW w:w="2588"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Work Sans;sans-serif" w:hAnsi="Work Sans;sans-serif"/>
                <w:b/>
                <w:color w:val="000000"/>
                <w:sz w:val="16"/>
              </w:rPr>
            </w:pPr>
            <w:r>
              <w:rPr>
                <w:rFonts w:ascii="Work Sans;sans-serif" w:hAnsi="Work Sans;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Description of Exhibit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6"/>
              </w:rPr>
            </w:pPr>
            <w:r>
              <w:rPr>
                <w:rFonts w:ascii="Work Sans;sans-serif" w:hAnsi="Work Sans;sans-serif"/>
                <w:b w:val="false"/>
                <w:color w:val="000000"/>
                <w:sz w:val="16"/>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6"/>
              </w:rPr>
              <w:t>Amendment to Employment Agreement, by and between LegalZoom.com, Inc. and Nicole Miller dated December 13, 2024 (</w:t>
            </w:r>
            <w:hyperlink r:id="rId27">
              <w:r>
                <w:rPr>
                  <w:rStyle w:val="InternetLink"/>
                  <w:rFonts w:ascii="Work Sans;sans-serif" w:hAnsi="Work Sans;sans-serif"/>
                  <w:b w:val="false"/>
                  <w:color w:val="000080"/>
                  <w:sz w:val="16"/>
                  <w:u w:val="single"/>
                </w:rPr>
                <w:t>incorporated by reference to Exhibit 10.</w:t>
              </w:r>
            </w:hyperlink>
            <w:hyperlink r:id="rId28">
              <w:r>
                <w:rPr>
                  <w:rStyle w:val="InternetLink"/>
                  <w:rFonts w:ascii="Work Sans;sans-serif" w:hAnsi="Work Sans;sans-serif"/>
                  <w:b w:val="false"/>
                  <w:color w:val="000080"/>
                  <w:sz w:val="16"/>
                  <w:u w:val="single"/>
                </w:rPr>
                <w:t>17</w:t>
              </w:r>
            </w:hyperlink>
            <w:hyperlink r:id="rId29">
              <w:r>
                <w:rPr>
                  <w:rStyle w:val="InternetLink"/>
                  <w:rFonts w:ascii="Work Sans;sans-serif" w:hAnsi="Work Sans;sans-serif"/>
                  <w:b w:val="false"/>
                  <w:color w:val="000080"/>
                  <w:sz w:val="16"/>
                  <w:u w:val="single"/>
                </w:rPr>
                <w:t xml:space="preserve"> to the Company’s Annual Report on Form 10-K filed with the SEC on February 26, 2025</w:t>
              </w:r>
            </w:hyperlink>
            <w:r>
              <w:rPr>
                <w:rFonts w:ascii="Work Sans;sans-serif" w:hAnsi="Work Sans;sans-serif"/>
                <w:b w:val="false"/>
                <w:color w:val="000000"/>
                <w:sz w:val="16"/>
              </w:rPr>
              <w:t xml:space="preserve">).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6"/>
              </w:rPr>
            </w:pPr>
            <w:r>
              <w:rPr>
                <w:rFonts w:ascii="Work Sans;sans-serif" w:hAnsi="Work Sans;sans-serif"/>
                <w:b w:val="false"/>
                <w:color w:val="000000"/>
                <w:sz w:val="16"/>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Non-Employee Director Compensation Policy </w:t>
            </w:r>
            <w:hyperlink r:id="rId30">
              <w:r>
                <w:rPr>
                  <w:rStyle w:val="InternetLink"/>
                  <w:rFonts w:ascii="Work Sans;sans-serif" w:hAnsi="Work Sans;sans-serif"/>
                  <w:b w:val="false"/>
                  <w:color w:val="0000FF"/>
                  <w:sz w:val="16"/>
                  <w:u w:val="single"/>
                </w:rPr>
                <w:t>(incorporated by reference to Exhibit 10.1 of the Company’s Quarterly Report on Form 10-Q filed with the SEC on November 10, 2022)</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6"/>
              </w:rPr>
            </w:pPr>
            <w:r>
              <w:rPr>
                <w:rFonts w:ascii="Work Sans;sans-serif" w:hAnsi="Work Sans;sans-serif"/>
                <w:b w:val="false"/>
                <w:color w:val="000000"/>
                <w:sz w:val="16"/>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6"/>
              </w:rPr>
              <w:t xml:space="preserve">Director Nomination Agreement, by and between LegalZoom.com, Inc. and certain of its stockholders dated June 18, 2021 </w:t>
            </w:r>
            <w:hyperlink r:id="rId31">
              <w:r>
                <w:rPr>
                  <w:rStyle w:val="InternetLink"/>
                  <w:rFonts w:ascii="Work Sans;sans-serif" w:hAnsi="Work Sans;sans-serif"/>
                  <w:b w:val="false"/>
                  <w:color w:val="0000FF"/>
                  <w:sz w:val="16"/>
                  <w:u w:val="single"/>
                </w:rPr>
                <w:t>(incorporated by reference to Exhibit 10.16 of Amendment No. 1 to the Company’s Registration Statement on Form S-1 filed with the SEC on June 21, 2021)</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6"/>
              </w:rPr>
            </w:pPr>
            <w:r>
              <w:rPr>
                <w:rFonts w:ascii="Work Sans;sans-serif" w:hAnsi="Work Sans;sans-serif"/>
                <w:b w:val="false"/>
                <w:color w:val="000000"/>
                <w:sz w:val="16"/>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Amended and Restated Credit and Guaranty Agreement, by and between LegalZoom.com, Inc., the other parties thereto and JPMorgan Chase Bank N.A., as administrative agent, dated July 2, 2021</w:t>
            </w:r>
            <w:hyperlink r:id="rId32">
              <w:r>
                <w:rPr>
                  <w:rStyle w:val="InternetLink"/>
                  <w:color w:val="0000FF"/>
                  <w:u w:val="single"/>
                </w:rPr>
                <w:t xml:space="preserve"> </w:t>
              </w:r>
            </w:hyperlink>
            <w:hyperlink r:id="rId33">
              <w:r>
                <w:rPr>
                  <w:rStyle w:val="InternetLink"/>
                  <w:rFonts w:ascii="Work Sans;sans-serif" w:hAnsi="Work Sans;sans-serif"/>
                  <w:b w:val="false"/>
                  <w:color w:val="0000FF"/>
                  <w:sz w:val="16"/>
                  <w:u w:val="single"/>
                </w:rPr>
                <w:t>(incorporated by reference to Exhibit 10.1 of the Company’s Quarterly Report on Form 10-Q filed with the SEC on November 10, 2021).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6"/>
              </w:rPr>
            </w:pPr>
            <w:r>
              <w:rPr>
                <w:rFonts w:ascii="Work Sans;sans-serif" w:hAnsi="Work Sans;sans-serif"/>
                <w:b w:val="false"/>
                <w:color w:val="000000"/>
                <w:sz w:val="16"/>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6"/>
              </w:rPr>
              <w:t>Amendment No. 1, dated as of May 5, 2023, by and between LegalZoom.com, Inc., as borrower, the guarantors party thereto and JPMorgan Chase Bank, N.A., as administrative agent, relating to the Amended and Restated Credit and Guaranty Agreement, dated as of July 2, 2021, among LegalZoom.com, Inc., the guarantors party thereto, the lenders and issuing lenders party thereto, and JPMorgan Chase Bank, N.A., as administrative agent (</w:t>
            </w:r>
            <w:hyperlink r:id="rId34">
              <w:r>
                <w:rPr>
                  <w:rStyle w:val="InternetLink"/>
                  <w:rFonts w:ascii="Work Sans;sans-serif" w:hAnsi="Work Sans;sans-serif"/>
                  <w:b w:val="false"/>
                  <w:color w:val="0000FF"/>
                  <w:sz w:val="16"/>
                  <w:u w:val="single"/>
                </w:rPr>
                <w:t>incorporated by reference to Exhibit 10.1 to the Company’s Quarterly Report on Form 10-Q filed with the SEC on May 9, 2023</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6"/>
              </w:rPr>
            </w:pPr>
            <w:r>
              <w:rPr>
                <w:rFonts w:ascii="Work Sans;sans-serif" w:hAnsi="Work Sans;sans-serif"/>
                <w:b w:val="false"/>
                <w:color w:val="000000"/>
                <w:sz w:val="16"/>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6"/>
              </w:rPr>
              <w:t>Amendment No. 2, dated as of July 14, 2025, by and among LegalZoom.com, Inc., as borrower, the guarantors party thereto, the lenders party thereto and JPMorgan Chase Bank, N.A., as administrative agent, to the Amended and Restated Credit and Guaranty Agreement, dated as of July 2, 2021, among LegalZoom.com, Inc., the guarantors party thereto, the lenders and issuing lenders party thereto, and JPMorgan Chase Bank, N.A., as administrative agent (</w:t>
            </w:r>
            <w:hyperlink r:id="rId35">
              <w:r>
                <w:rPr>
                  <w:rStyle w:val="InternetLink"/>
                  <w:rFonts w:ascii="Work Sans;sans-serif" w:hAnsi="Work Sans;sans-serif"/>
                  <w:b w:val="false"/>
                  <w:color w:val="000080"/>
                  <w:sz w:val="16"/>
                  <w:u w:val="single"/>
                </w:rPr>
                <w:t>incorporated by reference to Exhibit 10.1 to the Company</w:t>
              </w:r>
            </w:hyperlink>
            <w:hyperlink r:id="rId36">
              <w:r>
                <w:rPr>
                  <w:rStyle w:val="InternetLink"/>
                  <w:rFonts w:ascii="Work Sans;sans-serif" w:hAnsi="Work Sans;sans-serif"/>
                  <w:b w:val="false"/>
                  <w:color w:val="000080"/>
                  <w:sz w:val="16"/>
                  <w:u w:val="single"/>
                </w:rPr>
                <w:t>’</w:t>
              </w:r>
            </w:hyperlink>
            <w:hyperlink r:id="rId37">
              <w:r>
                <w:rPr>
                  <w:rStyle w:val="InternetLink"/>
                  <w:rFonts w:ascii="Work Sans;sans-serif" w:hAnsi="Work Sans;sans-serif"/>
                  <w:b w:val="false"/>
                  <w:color w:val="000080"/>
                  <w:sz w:val="16"/>
                  <w:u w:val="single"/>
                </w:rPr>
                <w:t xml:space="preserve">s Current Report on Form 8-K filed with </w:t>
              </w:r>
            </w:hyperlink>
            <w:hyperlink r:id="rId38">
              <w:r>
                <w:rPr>
                  <w:rStyle w:val="InternetLink"/>
                  <w:rFonts w:ascii="Work Sans;sans-serif" w:hAnsi="Work Sans;sans-serif"/>
                  <w:b w:val="false"/>
                  <w:color w:val="000080"/>
                  <w:sz w:val="16"/>
                  <w:u w:val="single"/>
                </w:rPr>
                <w:t>the SEC on July 17, 2025</w:t>
              </w:r>
            </w:hyperlink>
            <w:r>
              <w:rPr>
                <w:rFonts w:ascii="Work Sans;sans-serif" w:hAnsi="Work Sans;sans-serif"/>
                <w:b w:val="false"/>
                <w:color w:val="000000"/>
                <w:sz w:val="16"/>
              </w:rPr>
              <w:t xml:space="preserve">).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legalzoominsidertradingpol.htm">
              <w:r>
                <w:rPr>
                  <w:rStyle w:val="InternetLink"/>
                  <w:rFonts w:ascii="Work Sans;sans-serif" w:hAnsi="Work Sans;sans-serif"/>
                  <w:b w:val="false"/>
                  <w:color w:val="0000FF"/>
                  <w:sz w:val="16"/>
                  <w:u w:val="single"/>
                </w:rPr>
                <w:t>19.1</w:t>
              </w:r>
            </w:hyperlink>
            <w:r>
              <w:rPr>
                <w:rFonts w:ascii="Work Sans;sans-serif" w:hAnsi="Work Sans;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egalzoominsidertradingpol.htm">
              <w:r>
                <w:rPr>
                  <w:rStyle w:val="InternetLink"/>
                  <w:rFonts w:ascii="Work Sans;sans-serif" w:hAnsi="Work Sans;sans-serif"/>
                  <w:b w:val="false"/>
                  <w:color w:val="000080"/>
                  <w:sz w:val="16"/>
                  <w:u w:val="single"/>
                </w:rPr>
                <w:t>Insider Trading Policy of LegalZoom.com, Inc</w:t>
              </w:r>
            </w:hyperlink>
            <w:hyperlink w:anchor="legalzoominsidertradingpol.htm">
              <w:r>
                <w:rPr>
                  <w:rStyle w:val="InternetLink"/>
                  <w:rFonts w:ascii="Work Sans;sans-serif" w:hAnsi="Work Sans;sans-serif"/>
                  <w:b w:val="false"/>
                  <w:color w:val="000080"/>
                  <w:sz w:val="16"/>
                  <w:u w:val="single"/>
                </w:rPr>
                <w:t>.</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211lz-2025123110xk.htm">
              <w:r>
                <w:rPr>
                  <w:rStyle w:val="InternetLink"/>
                  <w:rFonts w:ascii="Work Sans;sans-serif" w:hAnsi="Work Sans;sans-serif"/>
                  <w:b w:val="false"/>
                  <w:color w:val="0000FF"/>
                  <w:sz w:val="16"/>
                  <w:u w:val="single"/>
                </w:rPr>
                <w:t>21.1</w:t>
              </w:r>
            </w:hyperlink>
            <w:r>
              <w:rPr>
                <w:rFonts w:ascii="Work Sans;sans-serif" w:hAnsi="Work Sans;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11lz-2025123110xk.htm">
              <w:r>
                <w:rPr>
                  <w:rStyle w:val="InternetLink"/>
                  <w:rFonts w:ascii="Work Sans;sans-serif" w:hAnsi="Work Sans;sans-serif"/>
                  <w:b w:val="false"/>
                  <w:color w:val="0000FF"/>
                  <w:sz w:val="16"/>
                  <w:u w:val="single"/>
                </w:rPr>
                <w:t>Subsidiaries of LegalZoom.com, Inc.</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231consent202510-k.htm">
              <w:r>
                <w:rPr>
                  <w:rStyle w:val="InternetLink"/>
                  <w:rFonts w:ascii="Work Sans;sans-serif" w:hAnsi="Work Sans;sans-serif"/>
                  <w:b w:val="false"/>
                  <w:color w:val="0000FF"/>
                  <w:sz w:val="16"/>
                  <w:u w:val="single"/>
                </w:rPr>
                <w:t>23.1</w:t>
              </w:r>
            </w:hyperlink>
            <w:r>
              <w:rPr>
                <w:rFonts w:ascii="Work Sans;sans-serif" w:hAnsi="Work Sans;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31consent202510-k.htm">
              <w:r>
                <w:rPr>
                  <w:rStyle w:val="InternetLink"/>
                  <w:rFonts w:ascii="Work Sans;sans-serif" w:hAnsi="Work Sans;sans-serif"/>
                  <w:b w:val="false"/>
                  <w:color w:val="0000FF"/>
                  <w:sz w:val="16"/>
                  <w:u w:val="single"/>
                </w:rPr>
                <w:t>Consent of PricewaterhouseCoopers LLP, independent registered public accounting firm.</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11lzx2025123110xk.htm">
              <w:r>
                <w:rPr>
                  <w:rStyle w:val="InternetLink"/>
                  <w:rFonts w:ascii="Work Sans;sans-serif" w:hAnsi="Work Sans;sans-serif"/>
                  <w:b w:val="false"/>
                  <w:color w:val="0000FF"/>
                  <w:sz w:val="16"/>
                  <w:u w:val="single"/>
                </w:rPr>
                <w:t>31.1</w:t>
              </w:r>
            </w:hyperlink>
            <w:r>
              <w:rPr>
                <w:rFonts w:ascii="Work Sans;sans-serif" w:hAnsi="Work Sans;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311lzx2025123110xk.htm">
              <w:r>
                <w:rPr>
                  <w:rStyle w:val="InternetLink"/>
                  <w:rFonts w:ascii="Work Sans;sans-serif" w:hAnsi="Work Sans;sans-serif"/>
                  <w:b w:val="false"/>
                  <w:color w:val="0000FF"/>
                  <w:sz w:val="16"/>
                  <w:u w:val="single"/>
                </w:rPr>
                <w:t>Certification of Chief Executive Officer pursuant to Rule 13a-14(a)/15d-14(a)</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12lzx2025123110xk.htm">
              <w:r>
                <w:rPr>
                  <w:rStyle w:val="InternetLink"/>
                  <w:rFonts w:ascii="Work Sans;sans-serif" w:hAnsi="Work Sans;sans-serif"/>
                  <w:b w:val="false"/>
                  <w:color w:val="0000FF"/>
                  <w:sz w:val="16"/>
                  <w:u w:val="single"/>
                </w:rPr>
                <w:t>31.2</w:t>
              </w:r>
            </w:hyperlink>
            <w:r>
              <w:rPr>
                <w:rFonts w:ascii="Work Sans;sans-serif" w:hAnsi="Work Sans;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312lzx2025123110xk.htm">
              <w:r>
                <w:rPr>
                  <w:rStyle w:val="InternetLink"/>
                  <w:rFonts w:ascii="Work Sans;sans-serif" w:hAnsi="Work Sans;sans-serif"/>
                  <w:b w:val="false"/>
                  <w:color w:val="0000FF"/>
                  <w:sz w:val="16"/>
                  <w:u w:val="single"/>
                </w:rPr>
                <w:t>Certification of Chief Financial Officer pursuant to Rule 13a-14(a)/15d-14(a)</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21lzx2025123110xk.htm">
              <w:r>
                <w:rPr>
                  <w:rStyle w:val="InternetLink"/>
                  <w:rFonts w:ascii="Work Sans;sans-serif" w:hAnsi="Work Sans;sans-serif"/>
                  <w:b w:val="false"/>
                  <w:color w:val="0000FF"/>
                  <w:sz w:val="16"/>
                  <w:u w:val="single"/>
                </w:rPr>
                <w:t>32.1</w:t>
              </w:r>
            </w:hyperlink>
            <w:r>
              <w:rPr>
                <w:rFonts w:ascii="Work Sans;sans-serif" w:hAnsi="Work Sans;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321lzx2025123110xk.htm">
              <w:r>
                <w:rPr>
                  <w:rStyle w:val="InternetLink"/>
                  <w:rFonts w:ascii="Work Sans;sans-serif" w:hAnsi="Work Sans;sans-serif"/>
                  <w:b w:val="false"/>
                  <w:color w:val="0000FF"/>
                  <w:sz w:val="16"/>
                  <w:u w:val="single"/>
                </w:rPr>
                <w:t>Certification of Chief Executive Officer and Chief Financial Officer pursuant to Section 906 of the Sarbanes-Oxley Act of 2002</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6"/>
              </w:rPr>
              <w:t>LegalZoom.com, Inc. Mandatory Clawback Policy (i</w:t>
            </w:r>
            <w:hyperlink r:id="rId39">
              <w:r>
                <w:rPr>
                  <w:rStyle w:val="InternetLink"/>
                  <w:rFonts w:ascii="Work Sans;sans-serif" w:hAnsi="Work Sans;sans-serif"/>
                  <w:b w:val="false"/>
                  <w:color w:val="000000"/>
                  <w:sz w:val="16"/>
                  <w:u w:val="single"/>
                </w:rPr>
                <w:t>ncorporated by reference to Exhibit 97.1 to the Company’s Annual Report on Form 10-K filed with the SEC on February 29, 2024</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Work Sans;sans-serif" w:hAnsi="Work Sans;sans-serif"/>
                <w:b w:val="false"/>
                <w:color w:val="000000"/>
                <w:sz w:val="16"/>
              </w:rPr>
            </w:pPr>
            <w:r>
              <w:rPr>
                <w:rFonts w:ascii="Work Sans;sans-serif" w:hAnsi="Work Sans;sans-serif"/>
                <w:b w:val="false"/>
                <w:color w:val="000000"/>
                <w:sz w:val="16"/>
              </w:rPr>
              <w:t>The following financial statements from the Company’s Annual Report on Form 10-K for the year ended December 31, 2025 were formatted in Inline XBRL: (i) Consolidated Balance Sheets, (ii) Consolidated Statements of Operations, (iii) Consolidated Statements of Comprehensive Income, (iv) Consolidated Statement of Redeemable Convertible Preferred Stock and Stockholders’ Equity, (v) Consolidated Statements of Cash Flows.</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Work Sans;sans-serif" w:hAnsi="Work Sans;sans-serif"/>
                <w:b w:val="false"/>
                <w:color w:val="000000"/>
                <w:sz w:val="16"/>
              </w:rPr>
            </w:pPr>
            <w:r>
              <w:rPr>
                <w:rFonts w:ascii="Work Sans;sans-serif" w:hAnsi="Work Sans;sans-serif"/>
                <w:b w:val="false"/>
                <w:color w:val="000000"/>
                <w:sz w:val="16"/>
              </w:rPr>
              <w:t>Cover Page Interactive Data File (formatted in Inline XBRL and contained in Exhibit 101).</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______________</w:t>
      </w:r>
    </w:p>
    <w:p>
      <w:pPr>
        <w:pStyle w:val="TextBody"/>
        <w:bidi w:val="0"/>
        <w:spacing w:lineRule="auto" w:line="288" w:before="0" w:after="0"/>
        <w:ind w:left="0" w:right="0" w:hanging="360"/>
        <w:jc w:val="left"/>
        <w:rPr>
          <w:rFonts w:ascii="Work Sans;sans-serif" w:hAnsi="Work Sans;sans-serif"/>
          <w:b w:val="false"/>
          <w:color w:val="000000"/>
          <w:sz w:val="18"/>
        </w:rPr>
      </w:pPr>
      <w:r>
        <w:rPr>
          <w:rFonts w:ascii="Work Sans;sans-serif" w:hAnsi="Work Sans;sans-serif"/>
          <w:b w:val="false"/>
          <w:color w:val="000000"/>
          <w:sz w:val="18"/>
        </w:rPr>
        <w:t>*    Filed herewith.</w:t>
      </w:r>
    </w:p>
    <w:p>
      <w:pPr>
        <w:pStyle w:val="TextBody"/>
        <w:bidi w:val="0"/>
        <w:spacing w:lineRule="auto" w:line="288" w:before="0" w:after="0"/>
        <w:ind w:left="0" w:right="0" w:hanging="360"/>
        <w:jc w:val="left"/>
        <w:rPr>
          <w:rFonts w:ascii="Work Sans;sans-serif" w:hAnsi="Work Sans;sans-serif"/>
          <w:b w:val="false"/>
          <w:color w:val="000000"/>
          <w:sz w:val="18"/>
        </w:rPr>
      </w:pPr>
      <w:r>
        <w:rPr>
          <w:rFonts w:ascii="Work Sans;sans-serif" w:hAnsi="Work Sans;sans-serif"/>
          <w:b w:val="false"/>
          <w:color w:val="000000"/>
          <w:sz w:val="18"/>
        </w:rPr>
        <w:t>** Furnished herewith.</w:t>
      </w:r>
    </w:p>
    <w:p>
      <w:pPr>
        <w:pStyle w:val="TextBody"/>
        <w:bidi w:val="0"/>
        <w:spacing w:lineRule="auto" w:line="288" w:before="0" w:after="0"/>
        <w:ind w:left="0" w:right="0" w:hanging="360"/>
        <w:jc w:val="left"/>
        <w:rPr>
          <w:rFonts w:ascii="Work Sans;sans-serif" w:hAnsi="Work Sans;sans-serif"/>
          <w:b w:val="false"/>
          <w:color w:val="000000"/>
          <w:sz w:val="18"/>
        </w:rPr>
      </w:pPr>
      <w:r>
        <w:rPr>
          <w:rFonts w:ascii="Work Sans;sans-serif" w:hAnsi="Work Sans;sans-serif"/>
          <w:b w:val="false"/>
          <w:color w:val="000000"/>
          <w:sz w:val="18"/>
        </w:rPr>
        <w:t>+    Indicates a management contract or compensatory plan.</w:t>
      </w:r>
    </w:p>
    <w:p>
      <w:pPr>
        <w:pStyle w:val="TextBody"/>
        <w:bidi w:val="0"/>
        <w:spacing w:lineRule="auto" w:line="288" w:before="120" w:after="283"/>
        <w:ind w:left="0" w:right="0" w:hanging="360"/>
        <w:jc w:val="left"/>
        <w:rPr>
          <w:rFonts w:ascii="Work Sans;sans-serif" w:hAnsi="Work Sans;sans-serif"/>
          <w:b w:val="false"/>
          <w:color w:val="000000"/>
          <w:sz w:val="18"/>
        </w:rPr>
      </w:pPr>
      <w:r>
        <w:rPr>
          <w:rFonts w:ascii="Work Sans;sans-serif" w:hAnsi="Work Sans;sans-serif"/>
          <w:b w:val="false"/>
          <w:color w:val="000000"/>
          <w:sz w:val="18"/>
        </w:rPr>
        <w:t>(c) Financial Statement Schedules</w:t>
      </w:r>
    </w:p>
    <w:p>
      <w:pPr>
        <w:pStyle w:val="TextBody"/>
        <w:bidi w:val="0"/>
        <w:spacing w:lineRule="auto" w:line="288" w:before="120" w:after="283"/>
        <w:ind w:left="0" w:right="0" w:firstLine="450"/>
        <w:jc w:val="left"/>
        <w:rPr>
          <w:rFonts w:ascii="Work Sans;sans-serif" w:hAnsi="Work Sans;sans-serif"/>
          <w:b w:val="false"/>
          <w:color w:val="000000"/>
          <w:sz w:val="18"/>
        </w:rPr>
      </w:pPr>
      <w:r>
        <w:rPr>
          <w:rFonts w:ascii="Work Sans;sans-serif" w:hAnsi="Work Sans;sans-serif"/>
          <w:b w:val="false"/>
          <w:color w:val="000000"/>
          <w:sz w:val="18"/>
        </w:rPr>
        <w:t>All financial statement schedules have been omitted because the information required to be set forth therein is not applicable or is shown in the consolidated financial statements or notes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16. Form 10-K Summary</w:t>
      </w:r>
    </w:p>
    <w:p>
      <w:pPr>
        <w:pStyle w:val="TextBody"/>
        <w:bidi w:val="0"/>
        <w:spacing w:lineRule="auto" w:line="288" w:before="120" w:after="283"/>
        <w:jc w:val="left"/>
        <w:rPr>
          <w:rFonts w:ascii="Work Sans;sans-serif" w:hAnsi="Work Sans;sans-serif"/>
          <w:b w:val="false"/>
          <w:color w:val="000000"/>
          <w:sz w:val="18"/>
        </w:rPr>
      </w:pPr>
      <w:r>
        <w:rPr>
          <w:rFonts w:ascii="Work Sans;sans-serif" w:hAnsi="Work Sans;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33350"/>
                <wp:effectExtent l="0" t="0" r="0" b="0"/>
                <wp:wrapNone/>
                <wp:docPr id="109" name="Frame10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104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center"/>
        <w:rPr>
          <w:rFonts w:ascii="Work Sans;sans-serif" w:hAnsi="Work Sans;sans-serif"/>
          <w:b/>
          <w:color w:val="000000"/>
          <w:sz w:val="18"/>
        </w:rPr>
      </w:pPr>
      <w:r>
        <w:rPr>
          <w:rFonts w:ascii="Work Sans;sans-serif" w:hAnsi="Work Sans;sans-serif"/>
          <w:b/>
          <w:color w:val="000000"/>
          <w:sz w:val="18"/>
        </w:rPr>
        <w:t>SIGNATURES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Pursuant to the requirements of Section 13 or 15(d) of the Securities Exchange Act of 1934, the registrant has duly caused this report to be signed on its behalf by the undersigned, thereunto duly authorized. </w:t>
      </w:r>
    </w:p>
    <w:tbl>
      <w:tblPr>
        <w:tblW w:w="3999" w:type="dxa"/>
        <w:jc w:val="left"/>
        <w:tblInd w:w="0" w:type="dxa"/>
        <w:tblLayout w:type="fixed"/>
        <w:tblCellMar>
          <w:top w:w="28" w:type="dxa"/>
          <w:left w:w="28" w:type="dxa"/>
          <w:bottom w:w="28" w:type="dxa"/>
          <w:right w:w="28" w:type="dxa"/>
        </w:tblCellMar>
      </w:tblPr>
      <w:tblGrid>
        <w:gridCol w:w="124"/>
        <w:gridCol w:w="109"/>
        <w:gridCol w:w="109"/>
        <w:gridCol w:w="242"/>
        <w:gridCol w:w="242"/>
        <w:gridCol w:w="242"/>
        <w:gridCol w:w="242"/>
        <w:gridCol w:w="242"/>
        <w:gridCol w:w="242"/>
        <w:gridCol w:w="645"/>
        <w:gridCol w:w="645"/>
        <w:gridCol w:w="9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LegalZoom.com,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By:</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 Jeffrey Stibel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Jeffrey Stibel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Chief Executive Officer</w:t>
            </w:r>
          </w:p>
        </w:tc>
      </w:tr>
    </w:tbl>
    <w:p>
      <w:pPr>
        <w:pStyle w:val="TextBody"/>
        <w:bidi w:val="0"/>
        <w:spacing w:before="0" w:after="120"/>
        <w:ind w:left="0" w:right="0" w:firstLine="450"/>
        <w:jc w:val="both"/>
        <w:rPr/>
      </w:pPr>
      <w:r>
        <w:rPr/>
      </w:r>
    </w:p>
    <w:p>
      <w:pPr>
        <w:pStyle w:val="TextBody"/>
        <w:bidi w:val="0"/>
        <w:spacing w:lineRule="auto" w:line="256" w:before="0" w:after="120"/>
        <w:ind w:left="0" w:right="0" w:firstLine="450"/>
        <w:jc w:val="both"/>
        <w:rPr>
          <w:rFonts w:ascii="Work Sans;sans-serif" w:hAnsi="Work Sans;sans-serif"/>
          <w:b w:val="false"/>
          <w:color w:val="000000"/>
          <w:sz w:val="18"/>
        </w:rPr>
      </w:pPr>
      <w:r>
        <w:rPr>
          <w:rFonts w:ascii="Work Sans;sans-serif" w:hAnsi="Work Sans;sans-serif"/>
          <w:b w:val="false"/>
          <w:color w:val="000000"/>
          <w:sz w:val="18"/>
        </w:rPr>
        <w:t>Pursuant to the requirements of the Securities Exchange Act of 1934, this report has been signed below by the following persons on behalf of the registrant in the capacities and on the dates indicated.</w:t>
      </w:r>
    </w:p>
    <w:tbl>
      <w:tblPr>
        <w:tblW w:w="7854" w:type="dxa"/>
        <w:jc w:val="left"/>
        <w:tblInd w:w="0" w:type="dxa"/>
        <w:tblLayout w:type="fixed"/>
        <w:tblCellMar>
          <w:top w:w="28" w:type="dxa"/>
          <w:left w:w="28" w:type="dxa"/>
          <w:bottom w:w="28" w:type="dxa"/>
          <w:right w:w="28" w:type="dxa"/>
        </w:tblCellMar>
      </w:tblPr>
      <w:tblGrid>
        <w:gridCol w:w="721"/>
        <w:gridCol w:w="635"/>
        <w:gridCol w:w="638"/>
        <w:gridCol w:w="109"/>
        <w:gridCol w:w="109"/>
        <w:gridCol w:w="109"/>
        <w:gridCol w:w="1113"/>
        <w:gridCol w:w="1113"/>
        <w:gridCol w:w="1120"/>
        <w:gridCol w:w="109"/>
        <w:gridCol w:w="109"/>
        <w:gridCol w:w="109"/>
        <w:gridCol w:w="542"/>
        <w:gridCol w:w="542"/>
        <w:gridCol w:w="776"/>
      </w:tblGrid>
      <w:tr>
        <w:trPr/>
        <w:tc>
          <w:tcPr>
            <w:tcW w:w="72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Date</w:t>
            </w:r>
          </w:p>
        </w:tc>
      </w:tr>
      <w:tr>
        <w:trPr/>
        <w:tc>
          <w:tcPr>
            <w:tcW w:w="1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/s/   Jeffrey Stibel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February 23, 2026</w:t>
            </w:r>
          </w:p>
        </w:tc>
      </w:tr>
      <w:tr>
        <w:trPr/>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Jeffrey Stibel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/s/   Noel Watson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Chief Operating &amp;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February 23, 2026</w:t>
            </w:r>
          </w:p>
        </w:tc>
      </w:tr>
      <w:tr>
        <w:trPr/>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ork Sans;sans-serif" w:hAnsi="Work Sans;sans-serif"/>
                <w:b w:val="false"/>
                <w:color w:val="000000"/>
                <w:sz w:val="18"/>
              </w:rPr>
              <w:t>Noel Watson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i/>
                <w:color w:val="000000"/>
                <w:sz w:val="18"/>
              </w:rPr>
            </w:pPr>
            <w:r>
              <w:rPr>
                <w:rFonts w:ascii="Work Sans;sans-serif" w:hAnsi="Work Sans;sans-serif"/>
                <w:b w:val="false"/>
                <w:i/>
                <w:color w:val="000000"/>
                <w:sz w:val="18"/>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/s/   Charles Thomas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February 23, 2026</w:t>
            </w:r>
          </w:p>
        </w:tc>
      </w:tr>
      <w:tr>
        <w:trPr/>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Charles Thomas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Work Sans;sans-serif" w:hAnsi="Work Sans;sans-serif"/>
                <w:b w:val="false"/>
                <w:i/>
                <w:color w:val="000000"/>
                <w:sz w:val="18"/>
              </w:rPr>
              <w:t>(Principal Accounting Officer</w:t>
            </w:r>
            <w:r>
              <w:rPr>
                <w:rFonts w:ascii="Work Sans;sans-serif" w:hAnsi="Work Sa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/s/ Nathan Gooden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February 23, 2026</w:t>
            </w:r>
          </w:p>
        </w:tc>
      </w:tr>
      <w:tr>
        <w:trPr/>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Nathan Gooden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/s/ Elizabeth Hamren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February 23, 2026</w:t>
            </w:r>
          </w:p>
        </w:tc>
      </w:tr>
      <w:tr>
        <w:trPr/>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Elizabeth Hamren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/s/ John Murphy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February 23, 2026</w:t>
            </w:r>
          </w:p>
        </w:tc>
      </w:tr>
      <w:tr>
        <w:trPr/>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John Murphy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/s/ Neil Tolaney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February 23, 2026</w:t>
            </w:r>
          </w:p>
        </w:tc>
      </w:tr>
      <w:tr>
        <w:trPr/>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Neil Tolaney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/s/ Sivan Whiteley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February 23, 2026</w:t>
            </w:r>
          </w:p>
        </w:tc>
      </w:tr>
      <w:tr>
        <w:trPr/>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Sivan Whiteley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45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33350"/>
                <wp:effectExtent l="0" t="0" r="0" b="0"/>
                <wp:wrapNone/>
                <wp:docPr id="110" name="Frame10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105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LegalZoom.com,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Insider Trading Policy</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rFonts w:ascii="Times New Roman;serif" w:hAnsi="Times New Roman;serif"/>
          <w:b/>
          <w:color w:val="000000"/>
          <w:sz w:val="22"/>
        </w:rPr>
      </w:pPr>
      <w:r>
        <w:rPr>
          <w:rFonts w:ascii="Times New Roman;serif" w:hAnsi="Times New Roman;serif"/>
          <w:b/>
          <w:color w:val="000000"/>
          <w:sz w:val="22"/>
        </w:rPr>
        <w:t>Policy Principles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This Insider Trading Policy (this “</w:t>
      </w:r>
      <w:r>
        <w:rPr>
          <w:rFonts w:ascii="Times New Roman;serif" w:hAnsi="Times New Roman;serif"/>
          <w:b/>
          <w:i/>
          <w:color w:val="000000"/>
          <w:sz w:val="22"/>
        </w:rPr>
        <w:t>Policy</w:t>
      </w:r>
      <w:r>
        <w:rPr>
          <w:color w:val="000000"/>
        </w:rPr>
        <w:t>”</w:t>
      </w:r>
      <w:r>
        <w:rPr>
          <w:rFonts w:ascii="Times New Roman;serif" w:hAnsi="Times New Roman;serif"/>
          <w:b w:val="false"/>
          <w:color w:val="000000"/>
          <w:sz w:val="22"/>
        </w:rPr>
        <w:t>) applies to all employees, directors and designated consultants (each a “</w:t>
      </w:r>
      <w:r>
        <w:rPr>
          <w:rFonts w:ascii="Times New Roman;serif" w:hAnsi="Times New Roman;serif"/>
          <w:b/>
          <w:i/>
          <w:color w:val="000000"/>
          <w:sz w:val="22"/>
        </w:rPr>
        <w:t>Covered Person</w:t>
      </w:r>
      <w:r>
        <w:rPr>
          <w:rFonts w:ascii="Times New Roman;serif" w:hAnsi="Times New Roman;serif"/>
          <w:b w:val="false"/>
          <w:color w:val="000000"/>
          <w:sz w:val="22"/>
        </w:rPr>
        <w:t>,” and collectively, “</w:t>
      </w:r>
      <w:r>
        <w:rPr>
          <w:rFonts w:ascii="Times New Roman;serif" w:hAnsi="Times New Roman;serif"/>
          <w:b/>
          <w:i/>
          <w:color w:val="000000"/>
          <w:sz w:val="22"/>
        </w:rPr>
        <w:t>Covered Persons</w:t>
      </w:r>
      <w:r>
        <w:rPr>
          <w:color w:val="000000"/>
        </w:rPr>
        <w:t>”</w:t>
      </w:r>
      <w:r>
        <w:rPr>
          <w:rFonts w:ascii="Times New Roman;serif" w:hAnsi="Times New Roman;serif"/>
          <w:b w:val="false"/>
          <w:color w:val="000000"/>
          <w:sz w:val="22"/>
        </w:rPr>
        <w:t>) of LegalZoom.com, Inc. and its subsidiaries (together,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and such individuals are responsible for understanding the obligations that come with having access to material nonpublic information and wanting to transact in the Company’s securities. This policy also applies to Related Persons (as defined below).</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Federal and state laws, as well as this Policy, prohibit individuals who are in possession of material nonpublic information relating to a company to engage in transactions in the securities of such company. “</w:t>
      </w:r>
      <w:r>
        <w:rPr>
          <w:rFonts w:ascii="Times New Roman;serif" w:hAnsi="Times New Roman;serif"/>
          <w:b/>
          <w:i/>
          <w:color w:val="000000"/>
          <w:sz w:val="22"/>
        </w:rPr>
        <w:t>Material Nonpublic Information</w:t>
      </w:r>
      <w:r>
        <w:rPr>
          <w:color w:val="000000"/>
        </w:rPr>
        <w:t xml:space="preserve">” </w:t>
      </w:r>
      <w:r>
        <w:rPr>
          <w:rFonts w:ascii="Times New Roman;serif" w:hAnsi="Times New Roman;serif"/>
          <w:b w:val="false"/>
          <w:color w:val="000000"/>
          <w:sz w:val="22"/>
        </w:rPr>
        <w:t>is material information related to the Company or material information related to another company that was obtained as a result of your employment or relationship with the Company, such as information regarding customers, suppliers, strategic partners, or competitors of the Company, or information that could be expected to affect the market price of the Company’s or such other company’s securities or be considered important by investors who are considering trading in the Company’s or such other company’s securities, that is not yet publicly available. Please refer to the FAQs below for further information and examples.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 xml:space="preserve">Covered Persons may not disclose Material Nonpublic Information outside of the Company unless the disclosure is made in accordance with a specific Company policy that authorizes such disclosure.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Covered Persons may not disclose Material Nonpublic Information to persons within the Company whose jobs do not require them to have that information.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Covered Persons may not recommend to others the purchase or sale of any Company’s securities.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Generally speaking, insider trading is the buying, selling, gifting or making other transfers of securities or derivatives by someone who possesses or is otherwise aware of Material Nonpublic Information about the securities or the issuer of the securities. If you or any of your Related Persons (as defined below) are aware of Material Nonpublic Information regarding a company (including the Company), such as information regarding customers, suppliers, strategic partners, or competitors of the Company, and you or any of your Related Persons trade in the Company’s or such other company’s securities, you and/or any applicable Related Person have broken the law. Please refer to the FAQs below for further information.</w:t>
      </w:r>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 xml:space="preserve">Officers, directors and other employees who have been notified that they are subject to pre-clearance requirements are also required to pre-clear and provide advance notice of transactions in the Company’s securities as described further below. In addition, if you are those individuals </w:t>
      </w:r>
      <w:r>
        <w:rPr>
          <w:rFonts w:ascii="Times New Roman;serif" w:hAnsi="Times New Roman;serif"/>
          <w:b/>
          <w:color w:val="000000"/>
          <w:sz w:val="22"/>
        </w:rPr>
        <w:t xml:space="preserve">listed on Appendix A </w:t>
      </w:r>
      <w:r>
        <w:rPr>
          <w:rFonts w:ascii="Times New Roman;serif" w:hAnsi="Times New Roman;serif"/>
          <w:b w:val="false"/>
          <w:color w:val="000000"/>
          <w:sz w:val="22"/>
        </w:rPr>
        <w:t>(together, “</w:t>
      </w:r>
      <w:r>
        <w:rPr>
          <w:rFonts w:ascii="Times New Roman;serif" w:hAnsi="Times New Roman;serif"/>
          <w:b/>
          <w:i/>
          <w:color w:val="000000"/>
          <w:sz w:val="22"/>
        </w:rPr>
        <w:t>Specified Personnel</w:t>
      </w:r>
      <w:r>
        <w:rPr>
          <w:color w:val="000000"/>
        </w:rPr>
        <w:t>”</w:t>
      </w:r>
      <w:r>
        <w:rPr>
          <w:rFonts w:ascii="Times New Roman;serif" w:hAnsi="Times New Roman;serif"/>
          <w:b w:val="false"/>
          <w:color w:val="000000"/>
          <w:sz w:val="22"/>
        </w:rPr>
        <w:t>), then you and your Related Persons are subject to the quarterly and other trading blackout periods described below. The Chief Legal Officer or the Chief Legal Officer’s designee (the “</w:t>
      </w:r>
      <w:r>
        <w:rPr>
          <w:rFonts w:ascii="Times New Roman;serif" w:hAnsi="Times New Roman;serif"/>
          <w:b/>
          <w:i/>
          <w:color w:val="000000"/>
          <w:sz w:val="22"/>
        </w:rPr>
        <w:t>Compliance Officer</w:t>
      </w:r>
      <w:r>
        <w:rPr>
          <w:color w:val="000000"/>
        </w:rPr>
        <w:t>”</w:t>
      </w:r>
      <w:r>
        <w:rPr>
          <w:rFonts w:ascii="Times New Roman;serif" w:hAnsi="Times New Roman;serif"/>
          <w:b w:val="false"/>
          <w:i/>
          <w:color w:val="000000"/>
          <w:sz w:val="22"/>
        </w:rPr>
        <w:t xml:space="preserve">) </w:t>
      </w:r>
      <w:r>
        <w:rPr>
          <w:rFonts w:ascii="Times New Roman;serif" w:hAnsi="Times New Roman;serif"/>
          <w:b w:val="false"/>
          <w:color w:val="000000"/>
          <w:sz w:val="22"/>
        </w:rPr>
        <w:t xml:space="preserve">is responsible for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85445"/>
                <wp:effectExtent l="0" t="0" r="0" b="0"/>
                <wp:wrapNone/>
                <wp:docPr id="111" name="Frame1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maintaining and updating the list of individuals subject to the pre-clearance requirements, as well as those individuals designed as Specified Personnel.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Violating the Company’s policies may result in disciplinary action, which may include termination of your employment or other relationship with the Company.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Significant changes to this Policy require approval by the Company’s Board of Directors (the “</w:t>
      </w:r>
      <w:r>
        <w:rPr>
          <w:rFonts w:ascii="Times New Roman;serif" w:hAnsi="Times New Roman;serif"/>
          <w:b/>
          <w:i/>
          <w:color w:val="000000"/>
          <w:sz w:val="22"/>
        </w:rPr>
        <w:t>Board</w:t>
      </w:r>
      <w:r>
        <w:rPr>
          <w:color w:val="000000"/>
        </w:rPr>
        <w:t>”</w:t>
      </w:r>
      <w:r>
        <w:rPr>
          <w:rFonts w:ascii="Times New Roman;serif" w:hAnsi="Times New Roman;serif"/>
          <w:b w:val="false"/>
          <w:color w:val="000000"/>
          <w:sz w:val="22"/>
        </w:rPr>
        <w:t>) or a duly appointed committee of the Board.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 xml:space="preserve">After carefully reviewing this Policy, you must sign the acknowledgment attached as </w:t>
      </w:r>
      <w:r>
        <w:rPr>
          <w:rFonts w:ascii="Times New Roman;serif" w:hAnsi="Times New Roman;serif"/>
          <w:b/>
          <w:color w:val="000000"/>
          <w:sz w:val="22"/>
        </w:rPr>
        <w:t>Appendix B</w:t>
      </w:r>
      <w:r>
        <w:rPr>
          <w:color w:val="000000"/>
        </w:rPr>
        <w:t xml:space="preserve"> </w:t>
      </w:r>
      <w:r>
        <w:rPr>
          <w:rFonts w:ascii="Times New Roman;serif" w:hAnsi="Times New Roman;serif"/>
          <w:b w:val="false"/>
          <w:color w:val="000000"/>
          <w:sz w:val="22"/>
        </w:rPr>
        <w:t>hereto, indicating that you have received, read, understand and agree to comply with this Policy. The acknowledgment must be returned either electronically in a manner provided for by the Company to the Compliance Officer within ten (10) business days of your receipt of this Policy and on an annual or other basis as the Company may require.</w:t>
      </w:r>
      <w:r>
        <w:rPr/>
        <w:drawing>
          <wp:inline distT="0" distB="0" distL="0" distR="0">
            <wp:extent cx="6305550" cy="495300"/>
            <wp:effectExtent l="0" t="0" r="0" b="0"/>
            <wp:docPr id="1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2" descr=""/>
                    <pic:cNvPicPr>
                      <a:picLocks noChangeAspect="1" noChangeArrowheads="1"/>
                    </pic:cNvPicPr>
                  </pic:nvPicPr>
                  <pic:blipFill>
                    <a:blip r:embed="rId40"/>
                    <a:stretch>
                      <a:fillRect/>
                    </a:stretch>
                  </pic:blipFill>
                  <pic:spPr bwMode="auto">
                    <a:xfrm>
                      <a:off x="0" y="0"/>
                      <a:ext cx="6305550" cy="495300"/>
                    </a:xfrm>
                    <a:prstGeom prst="rect">
                      <a:avLst/>
                    </a:prstGeom>
                  </pic:spPr>
                </pic:pic>
              </a:graphicData>
            </a:graphic>
          </wp:inline>
        </w:drawing>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Policy Q&amp;A</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 xml:space="preserve">Policy Scope and Purpose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Why do we have an insider trading policy?</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During the course of your relationship with the Company, you may receive Material Nonpublic Information about the Company or other companies. Material Nonpublic Information may give you, or someone to whom you pass that information, a leg up over others when deciding whether to buy, sell or otherwise transact in the Company’s securities or the securities of another company. This Policy sets forth guidelines with respect to transactions in Company securities, as well as transactions in securities of certain other companies, by persons subject to this Policy.</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Who is subject to this Policy?</w:t>
      </w:r>
    </w:p>
    <w:p>
      <w:pPr>
        <w:pStyle w:val="TextBody"/>
        <w:bidi w:val="0"/>
        <w:spacing w:lineRule="auto" w:line="288" w:before="0" w:after="240"/>
        <w:ind w:left="0" w:right="0" w:hanging="720"/>
        <w:jc w:val="both"/>
        <w:rPr/>
      </w:pPr>
      <w:r>
        <w:rPr>
          <w:rFonts w:ascii="Times New Roman;serif" w:hAnsi="Times New Roman;serif"/>
          <w:b w:val="false"/>
          <w:color w:val="000000"/>
          <w:sz w:val="22"/>
        </w:rPr>
        <w:t>A:     This Policy applies to all Covered Persons. This Policy also applies to members of your immediate family, persons with whom you share a household, persons who are your economic dependents, and, unless otherwise determined by the Company, any other individuals or entities whose transactions in securities you influence, direct, or control (including, e.g., a trust, venture or other investment fund, if you influence, direct, or control transactions of such entity). The foregoing persons who are deemed subject to this Policy are referred to in this Policy as “</w:t>
      </w:r>
      <w:r>
        <w:rPr>
          <w:rFonts w:ascii="Times New Roman;serif" w:hAnsi="Times New Roman;serif"/>
          <w:b/>
          <w:i/>
          <w:color w:val="000000"/>
          <w:sz w:val="22"/>
        </w:rPr>
        <w:t>Related Persons</w:t>
      </w:r>
      <w:r>
        <w:rPr>
          <w:rFonts w:ascii="Times New Roman;serif" w:hAnsi="Times New Roman;serif"/>
          <w:b w:val="false"/>
          <w:color w:val="000000"/>
          <w:sz w:val="22"/>
        </w:rPr>
        <w:t xml:space="preserve">.” You are responsible for making sure that your Related Persons understand and comply with this Policy. </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2"/>
        </w:rPr>
        <w:t xml:space="preserve">In addition, Specified Personnel and their Related Persons are subject to the quarterly and other trading blackout periods described below. Officers, directors and other employees or designated consultants who have been notified by the Compliance Officer or his or her designee that they are subject to pre-clearance requirements are also subject to pre-clear and provide advance notice of transactions in the Company’s securities as described further below. </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559435"/>
                <wp:effectExtent l="0" t="0" r="0" b="0"/>
                <wp:wrapNone/>
                <wp:docPr id="113" name="Frame111"/>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w:t>
                            </w:r>
                            <w:r>
                              <w:br w:type="page"/>
                            </w:r>
                          </w:p>
                          <w:p>
                            <w:pPr>
                              <w:pStyle w:val="TextBody"/>
                              <w:bidi w:val="0"/>
                              <w:spacing w:before="0" w:after="0"/>
                              <w:jc w:val="both"/>
                              <w:rPr/>
                            </w:pPr>
                            <w:r>
                              <w:rPr/>
                              <w:drawing>
                                <wp:inline distT="0" distB="0" distL="0" distR="0">
                                  <wp:extent cx="2590800" cy="285750"/>
                                  <wp:effectExtent l="0" t="0" r="0" b="0"/>
                                  <wp:docPr id="11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3" descr=""/>
                                          <pic:cNvPicPr>
                                            <a:picLocks noChangeAspect="1" noChangeArrowheads="1"/>
                                          </pic:cNvPicPr>
                                        </pic:nvPicPr>
                                        <pic:blipFill>
                                          <a:blip r:embed="rId41"/>
                                          <a:stretch>
                                            <a:fillRect/>
                                          </a:stretch>
                                        </pic:blipFill>
                                        <pic:spPr bwMode="auto">
                                          <a:xfrm>
                                            <a:off x="0" y="0"/>
                                            <a:ext cx="2590800" cy="28575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w:t>
                      </w:r>
                    </w:p>
                    <w:p>
                      <w:pPr>
                        <w:pStyle w:val="TextBody"/>
                        <w:bidi w:val="0"/>
                        <w:spacing w:before="0" w:after="0"/>
                        <w:jc w:val="both"/>
                        <w:rPr/>
                      </w:pPr>
                      <w:r>
                        <w:rPr/>
                        <w:drawing>
                          <wp:inline distT="0" distB="0" distL="0" distR="0">
                            <wp:extent cx="2590800" cy="285750"/>
                            <wp:effectExtent l="0" t="0" r="0" b="0"/>
                            <wp:docPr id="11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3" descr=""/>
                                    <pic:cNvPicPr>
                                      <a:picLocks noChangeAspect="1" noChangeArrowheads="1"/>
                                    </pic:cNvPicPr>
                                  </pic:nvPicPr>
                                  <pic:blipFill>
                                    <a:blip r:embed="rId42"/>
                                    <a:stretch>
                                      <a:fillRect/>
                                    </a:stretch>
                                  </pic:blipFill>
                                  <pic:spPr bwMode="auto">
                                    <a:xfrm>
                                      <a:off x="0" y="0"/>
                                      <a:ext cx="2590800" cy="28575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Whose responsibility is it to comply with this Policy?</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     Covered Persons subject to this Policy have ethical and legal obligations to maintain the confidentiality of information about the Company and to not engage in transactions in the Company’s securities or the securities of another company while aware of Material Nonpublic Information relating to the Company or such other company . Each individual is responsible for making sure that he or she and his or her Related Persons comply with this Policy. In all cases, the responsibility for determining whether an individual is aware of Material Nonpublic Information rests with that individual, and any action on the part of the Company or any Covered Persons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What transactions are subject to this Policy?</w:t>
      </w:r>
    </w:p>
    <w:p>
      <w:pPr>
        <w:pStyle w:val="TextBody"/>
        <w:bidi w:val="0"/>
        <w:spacing w:lineRule="auto" w:line="288" w:before="0" w:after="240"/>
        <w:ind w:left="0" w:right="0" w:hanging="72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This Policy applies to all transactions in securities issued by the Company, as well as derivative securities that are not issued by the Company, such as exchange-traded put or call options or swaps relating to the Company’s securities, and securities of other companies where information about such securities or such issuers was obtained as a result of your employment or relationship with the Company, such as information regarding customers, suppliers, strategic partners, or competitors of the Company. Accordingly, for purposes of this Policy, the terms “</w:t>
      </w:r>
      <w:r>
        <w:rPr>
          <w:rFonts w:ascii="Times New Roman;serif" w:hAnsi="Times New Roman;serif"/>
          <w:b/>
          <w:i/>
          <w:color w:val="000000"/>
          <w:sz w:val="22"/>
        </w:rPr>
        <w:t>trade</w:t>
      </w:r>
      <w:r>
        <w:rPr>
          <w:rFonts w:ascii="Times New Roman;serif" w:hAnsi="Times New Roman;serif"/>
          <w:b w:val="false"/>
          <w:color w:val="000000"/>
          <w:sz w:val="22"/>
        </w:rPr>
        <w:t>,” “</w:t>
      </w:r>
      <w:r>
        <w:rPr>
          <w:rFonts w:ascii="Times New Roman;serif" w:hAnsi="Times New Roman;serif"/>
          <w:b/>
          <w:i/>
          <w:color w:val="000000"/>
          <w:sz w:val="22"/>
        </w:rPr>
        <w:t>trading</w:t>
      </w:r>
      <w:r>
        <w:rPr>
          <w:rFonts w:ascii="Times New Roman;serif" w:hAnsi="Times New Roman;serif"/>
          <w:b w:val="false"/>
          <w:color w:val="000000"/>
          <w:sz w:val="22"/>
        </w:rPr>
        <w:t>,” and “</w:t>
      </w:r>
      <w:r>
        <w:rPr>
          <w:rFonts w:ascii="Times New Roman;serif" w:hAnsi="Times New Roman;serif"/>
          <w:b/>
          <w:i/>
          <w:color w:val="000000"/>
          <w:sz w:val="22"/>
        </w:rPr>
        <w:t>transactions</w:t>
      </w:r>
      <w:r>
        <w:rPr>
          <w:color w:val="000000"/>
        </w:rPr>
        <w:t xml:space="preserve">” </w:t>
      </w:r>
      <w:r>
        <w:rPr>
          <w:rFonts w:ascii="Times New Roman;serif" w:hAnsi="Times New Roman;serif"/>
          <w:b w:val="false"/>
          <w:color w:val="000000"/>
          <w:sz w:val="22"/>
        </w:rPr>
        <w:t xml:space="preserve">include not only purchases and sales in the public markets or otherwise of the Company’s securities and securities of other companies where information about such securities or such issuers was obtained as a result of your employment or relationship with the Company but also </w:t>
      </w:r>
      <w:r>
        <w:rPr>
          <w:rFonts w:ascii="Times New Roman;serif" w:hAnsi="Times New Roman;serif"/>
          <w:b w:val="false"/>
          <w:i/>
          <w:color w:val="000000"/>
          <w:sz w:val="22"/>
        </w:rPr>
        <w:t xml:space="preserve">bona fide </w:t>
      </w:r>
      <w:r>
        <w:rPr>
          <w:rFonts w:ascii="Times New Roman;serif" w:hAnsi="Times New Roman;serif"/>
          <w:b w:val="false"/>
          <w:color w:val="000000"/>
          <w:sz w:val="22"/>
        </w:rPr>
        <w:t>gifts of Company securities or securities of such other companies, as well as any other purchases, sales, transfers or other acquisitions and dispositions of common or preferred equity, options, warrants and other securities (including debt securities) and other arrangements or transactions that affect economic exposure to changes in the prices of these securities. For transactions that are exempt from this Policy, see “</w:t>
      </w:r>
      <w:r>
        <w:rPr>
          <w:rFonts w:ascii="Times New Roman;serif" w:hAnsi="Times New Roman;serif"/>
          <w:b/>
          <w:color w:val="000000"/>
          <w:sz w:val="22"/>
        </w:rPr>
        <w:t>Exceptions to this Policy</w:t>
      </w:r>
      <w:r>
        <w:rPr>
          <w:color w:val="000000"/>
        </w:rPr>
        <w:t xml:space="preserve">” </w:t>
      </w:r>
      <w:r>
        <w:rPr>
          <w:rFonts w:ascii="Times New Roman;serif" w:hAnsi="Times New Roman;serif"/>
          <w:b w:val="false"/>
          <w:color w:val="000000"/>
          <w:sz w:val="22"/>
        </w:rPr>
        <w:t>below.</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Insider Trading and Material Nonpublic Information</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What is insider trading?</w:t>
      </w:r>
    </w:p>
    <w:p>
      <w:pPr>
        <w:pStyle w:val="TextBody"/>
        <w:bidi w:val="0"/>
        <w:spacing w:lineRule="auto" w:line="288" w:before="0" w:after="240"/>
        <w:ind w:left="0" w:right="0" w:hanging="72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Generally speaking, insider trading is the buying, selling, gifting or making other transfers of stocks, bonds, futures or other securities by someone who possesses or is otherwise aware of Material Nonpublic Information about the securities or the issuer of the securities. Insider trading also includes trading in derivatives (such as put or call options) where the price is linked to the underlying price of a company’s securities. It does not matter whether the decision to buy or sell was influenced by the Material Nonpublic Information, how many shares you buy or sell, or whether it has an effect on the stock price. Bottom line: If you or any of your Related Persons are aware of Material Nonpublic Information about the Company or another company that was obtained as a result of your employment or relationship with the Company, and you or any of your Related Persons trade in the Company’s or such other company’s securities, you and/or any applicable Related Person have broken the law.</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2"/>
        </w:rPr>
        <w:t xml:space="preserve">From time to time, the Company may engage in transactions in its own securities. It is the Company’s policy to comply with all applicable securities and state laws (including appropriate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559435"/>
                <wp:effectExtent l="0" t="0" r="0" b="0"/>
                <wp:wrapNone/>
                <wp:docPr id="116" name="Frame112"/>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w:t>
                            </w:r>
                            <w:r>
                              <w:br w:type="page"/>
                            </w:r>
                          </w:p>
                          <w:p>
                            <w:pPr>
                              <w:pStyle w:val="TextBody"/>
                              <w:bidi w:val="0"/>
                              <w:spacing w:before="0" w:after="0"/>
                              <w:jc w:val="both"/>
                              <w:rPr/>
                            </w:pPr>
                            <w:r>
                              <w:rPr/>
                              <w:drawing>
                                <wp:inline distT="0" distB="0" distL="0" distR="0">
                                  <wp:extent cx="2590800" cy="285750"/>
                                  <wp:effectExtent l="0" t="0" r="0" b="0"/>
                                  <wp:docPr id="11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4" descr=""/>
                                          <pic:cNvPicPr>
                                            <a:picLocks noChangeAspect="1" noChangeArrowheads="1"/>
                                          </pic:cNvPicPr>
                                        </pic:nvPicPr>
                                        <pic:blipFill>
                                          <a:blip r:embed="rId43"/>
                                          <a:stretch>
                                            <a:fillRect/>
                                          </a:stretch>
                                        </pic:blipFill>
                                        <pic:spPr bwMode="auto">
                                          <a:xfrm>
                                            <a:off x="0" y="0"/>
                                            <a:ext cx="2590800" cy="28575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w:t>
                      </w:r>
                    </w:p>
                    <w:p>
                      <w:pPr>
                        <w:pStyle w:val="TextBody"/>
                        <w:bidi w:val="0"/>
                        <w:spacing w:before="0" w:after="0"/>
                        <w:jc w:val="both"/>
                        <w:rPr/>
                      </w:pPr>
                      <w:r>
                        <w:rPr/>
                        <w:drawing>
                          <wp:inline distT="0" distB="0" distL="0" distR="0">
                            <wp:extent cx="2590800" cy="285750"/>
                            <wp:effectExtent l="0" t="0" r="0" b="0"/>
                            <wp:docPr id="11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4" descr=""/>
                                    <pic:cNvPicPr>
                                      <a:picLocks noChangeAspect="1" noChangeArrowheads="1"/>
                                    </pic:cNvPicPr>
                                  </pic:nvPicPr>
                                  <pic:blipFill>
                                    <a:blip r:embed="rId44"/>
                                    <a:stretch>
                                      <a:fillRect/>
                                    </a:stretch>
                                  </pic:blipFill>
                                  <pic:spPr bwMode="auto">
                                    <a:xfrm>
                                      <a:off x="0" y="0"/>
                                      <a:ext cx="2590800" cy="28575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approvals by the Board of Directors or appropriate committee, if required) when engaging in transactions in Company securities.</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Why is insider trading illegal?</w:t>
      </w:r>
    </w:p>
    <w:p>
      <w:pPr>
        <w:pStyle w:val="TextBody"/>
        <w:bidi w:val="0"/>
        <w:spacing w:lineRule="auto" w:line="288" w:before="0" w:after="240"/>
        <w:ind w:left="0" w:right="0" w:hanging="72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If company insiders are able to use their confidential knowledge to their financial advantage, other investors would not have confidence in the fairness and integrity of the market. This ensures that there is an even playing field by requiring those who are aware of Material Nonpublic Information to refrain from trading.</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What is material information?</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     It is not always easy to figure out whether you are aware of Material Nonpublic Information, but there is one important factor to determine whether nonpublic information you know about a company is material: whether the information could be expected to affect the market price of that company’s securities or to be considered important by investors who are considering trading that company’s securities. If the information makes you want to trade, it would probably have the same effect on others. Keep in mind that both positive and negative information can be material. </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2"/>
        </w:rPr>
        <w:t xml:space="preserve">There is no bright-line standard for assessing materiality; rather, materiality is based on an assessment of all of the facts and circumstances, and is often evaluated by relevant enforcement authorities with the benefit of hindsight. Depending on the specific details, the following items may be considered Material Nonpublic Information until publicly disclosed within the meaning of this policy. </w:t>
      </w:r>
    </w:p>
    <w:p>
      <w:pPr>
        <w:pStyle w:val="TextBody"/>
        <w:bidi w:val="0"/>
        <w:spacing w:lineRule="auto" w:line="288" w:before="0" w:after="240"/>
        <w:ind w:left="0" w:right="0" w:hanging="720"/>
        <w:jc w:val="both"/>
        <w:rPr/>
      </w:pPr>
      <w:r>
        <w:rPr>
          <w:rFonts w:ascii="Times New Roman;serif" w:hAnsi="Times New Roman;serif"/>
          <w:b w:val="false"/>
          <w:color w:val="000000"/>
          <w:sz w:val="22"/>
        </w:rPr>
        <w:t>Q:    </w:t>
      </w:r>
      <w:r>
        <w:rPr>
          <w:rFonts w:ascii="Times New Roman;serif" w:hAnsi="Times New Roman;serif"/>
          <w:b/>
          <w:color w:val="000000"/>
          <w:sz w:val="22"/>
        </w:rPr>
        <w:t>What are examples of material informatio</w:t>
      </w:r>
      <w:r>
        <w:rPr>
          <w:rFonts w:ascii="Times New Roman;serif" w:hAnsi="Times New Roman;serif"/>
          <w:b w:val="false"/>
          <w:color w:val="000000"/>
          <w:sz w:val="22"/>
        </w:rPr>
        <w:t>n?</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    There may be other types of information that would qualify as material information as well; use this list merely as a non-exhaustive guide: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financial results or forecasts;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acquisitions, dispositions or other strategic transactions;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events regarding the Company’s securities (e.g., repurchase plans, stock splits, public or private equity or debt offerings, or changes in the Company’s dividend policies or amounts);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major contracts or contract cancellations;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gain or loss of a significant customer;</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pricing changes;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new product releases;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 xml:space="preserve">significant product problems;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management or control changes;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financial restatements or significant writeoffs;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 xml:space="preserve">employee layoffs;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 xml:space="preserve">a disruption in the Company’s operations, supply chain or distribution channel;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59435"/>
                <wp:effectExtent l="0" t="0" r="0" b="0"/>
                <wp:wrapNone/>
                <wp:docPr id="119" name="Frame113"/>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w:t>
                            </w:r>
                            <w:r>
                              <w:br w:type="page"/>
                            </w:r>
                          </w:p>
                          <w:p>
                            <w:pPr>
                              <w:pStyle w:val="TextBody"/>
                              <w:bidi w:val="0"/>
                              <w:spacing w:before="0" w:after="0"/>
                              <w:jc w:val="both"/>
                              <w:rPr/>
                            </w:pPr>
                            <w:r>
                              <w:rPr/>
                              <w:drawing>
                                <wp:inline distT="0" distB="0" distL="0" distR="0">
                                  <wp:extent cx="2590800" cy="285750"/>
                                  <wp:effectExtent l="0" t="0" r="0" b="0"/>
                                  <wp:docPr id="12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5" descr=""/>
                                          <pic:cNvPicPr>
                                            <a:picLocks noChangeAspect="1" noChangeArrowheads="1"/>
                                          </pic:cNvPicPr>
                                        </pic:nvPicPr>
                                        <pic:blipFill>
                                          <a:blip r:embed="rId45"/>
                                          <a:stretch>
                                            <a:fillRect/>
                                          </a:stretch>
                                        </pic:blipFill>
                                        <pic:spPr bwMode="auto">
                                          <a:xfrm>
                                            <a:off x="0" y="0"/>
                                            <a:ext cx="2590800" cy="28575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w:t>
                      </w:r>
                    </w:p>
                    <w:p>
                      <w:pPr>
                        <w:pStyle w:val="TextBody"/>
                        <w:bidi w:val="0"/>
                        <w:spacing w:before="0" w:after="0"/>
                        <w:jc w:val="both"/>
                        <w:rPr/>
                      </w:pPr>
                      <w:r>
                        <w:rPr/>
                        <w:drawing>
                          <wp:inline distT="0" distB="0" distL="0" distR="0">
                            <wp:extent cx="2590800" cy="285750"/>
                            <wp:effectExtent l="0" t="0" r="0" b="0"/>
                            <wp:docPr id="12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5" descr=""/>
                                    <pic:cNvPicPr>
                                      <a:picLocks noChangeAspect="1" noChangeArrowheads="1"/>
                                    </pic:cNvPicPr>
                                  </pic:nvPicPr>
                                  <pic:blipFill>
                                    <a:blip r:embed="rId46"/>
                                    <a:stretch>
                                      <a:fillRect/>
                                    </a:stretch>
                                  </pic:blipFill>
                                  <pic:spPr bwMode="auto">
                                    <a:xfrm>
                                      <a:off x="0" y="0"/>
                                      <a:ext cx="2590800" cy="28575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 xml:space="preserve">a breach or unauthorized access of the Company’s property or assets, including its facilities or information technology infrastructure;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 xml:space="preserve">proxy fights;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actual or threatened major litigation, Securities and Exchange Commission (“</w:t>
      </w:r>
      <w:r>
        <w:rPr>
          <w:rFonts w:ascii="Times New Roman;serif" w:hAnsi="Times New Roman;serif"/>
          <w:b/>
          <w:i/>
          <w:color w:val="000000"/>
          <w:sz w:val="22"/>
        </w:rPr>
        <w:t>SEC</w:t>
      </w:r>
      <w:r>
        <w:rPr>
          <w:color w:val="000000"/>
        </w:rPr>
        <w:t>”</w:t>
      </w:r>
      <w:r>
        <w:rPr>
          <w:rFonts w:ascii="Times New Roman;serif" w:hAnsi="Times New Roman;serif"/>
          <w:b w:val="false"/>
          <w:color w:val="000000"/>
          <w:sz w:val="22"/>
        </w:rPr>
        <w:t xml:space="preserve">) or other investigations, or a major development in or the resolution of any such litigation or investigation;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impending bankruptcy;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 xml:space="preserve">communications with government agencies; and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changes in patents, trademarks or other intellectual property rights.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you have questions regarding specific information, please contact the Compliance Officer.</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When is information considered public?</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The prohibition on trading when you have Material Nonpublic Information lifts once that information becomes publicly disseminated. For information to be considered publicly disseminated, it must be widely disseminated through a press release, a filing with the SEC or other widely disseminated announcement. Once information is publicly disseminated, it is still necessary to afford the investing public with sufficient time to absorb the information. Generally speaking, information will be considered publicly disseminated for purposes of this policy only after one full trading day has elapsed since the information was publicly disclosed. For example, if we announce Material Nonpublic Information before trading begins on Wednesday, then that information would be considered to be publicly disseminated by the time trading begins on Thursday; if we announce Material Nonpublic Information after trading ends on Wednesday, then that information would be considered to be publicly disseminated by the time trading ends on Thursday. Depending on the particular circumstances, the Company may determine that a longer or shorter waiting period should apply to the release of specific Material Nonpublic Information. The fact that rumors, speculation, or statements attributed to unidentified sources are public is insufficient to be considered publicly disseminated even when the information is accurate.</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Who can be guilty of insider trading?</w:t>
      </w:r>
    </w:p>
    <w:p>
      <w:pPr>
        <w:pStyle w:val="TextBody"/>
        <w:bidi w:val="0"/>
        <w:spacing w:lineRule="auto" w:line="288" w:before="0" w:after="240"/>
        <w:ind w:left="0" w:right="0" w:hanging="72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 xml:space="preserve">Anyone who buys or sells a security while aware of Material Nonpublic Information, or provides Material Nonpublic Information that someone else uses to buy or sell a security, may be guilty of insider trading. This applies to all individuals, including officers, directors, and others who don’t even work at the Company. Regardless of who you are, if you know something material about the value of a security that not everyone knows and you trade (or convince someone else to trade) in that security, you may be found guilty of insider trading. </w:t>
      </w:r>
    </w:p>
    <w:p>
      <w:pPr>
        <w:pStyle w:val="TextBody"/>
        <w:bidi w:val="0"/>
        <w:spacing w:lineRule="auto" w:line="288" w:before="0" w:after="240"/>
        <w:ind w:left="0" w:right="0" w:hanging="720"/>
        <w:jc w:val="both"/>
        <w:rPr/>
      </w:pPr>
      <w:r>
        <w:rPr>
          <w:rFonts w:ascii="Times New Roman;serif" w:hAnsi="Times New Roman;serif"/>
          <w:b/>
          <w:color w:val="000000"/>
          <w:sz w:val="22"/>
        </w:rPr>
        <w:t>Q:     What if I am aware of Material Nonpublic Information</w:t>
      </w:r>
      <w:r>
        <w:rPr>
          <w:color w:val="000000"/>
        </w:rPr>
        <w:t xml:space="preserve"> </w:t>
      </w:r>
      <w:r>
        <w:rPr>
          <w:rFonts w:ascii="Times New Roman;serif" w:hAnsi="Times New Roman;serif"/>
          <w:b/>
          <w:color w:val="000000"/>
          <w:sz w:val="22"/>
        </w:rPr>
        <w:t>when I trade, but the reason I trade is because of something else, like to pay medical bills?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     The prohibition against insider trading is absolute. It applies even if the decision to trade is not based on such Material Nonpublic Information. It also applies to transactions that may be necessary or justifiable for independent reasons (such as the need to raise money for an emergency expenditure) and also to very small transactions. All that matters is whether you are aware of any Material Nonpublic Information relating to the Company at the time of the transaction.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59435"/>
                <wp:effectExtent l="0" t="0" r="0" b="0"/>
                <wp:wrapNone/>
                <wp:docPr id="122" name="Frame114"/>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w:t>
                            </w:r>
                            <w:r>
                              <w:br w:type="page"/>
                            </w:r>
                          </w:p>
                          <w:p>
                            <w:pPr>
                              <w:pStyle w:val="TextBody"/>
                              <w:bidi w:val="0"/>
                              <w:spacing w:before="0" w:after="0"/>
                              <w:jc w:val="both"/>
                              <w:rPr/>
                            </w:pPr>
                            <w:r>
                              <w:rPr/>
                              <w:drawing>
                                <wp:inline distT="0" distB="0" distL="0" distR="0">
                                  <wp:extent cx="2590800" cy="285750"/>
                                  <wp:effectExtent l="0" t="0" r="0" b="0"/>
                                  <wp:docPr id="12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6" descr=""/>
                                          <pic:cNvPicPr>
                                            <a:picLocks noChangeAspect="1" noChangeArrowheads="1"/>
                                          </pic:cNvPicPr>
                                        </pic:nvPicPr>
                                        <pic:blipFill>
                                          <a:blip r:embed="rId47"/>
                                          <a:stretch>
                                            <a:fillRect/>
                                          </a:stretch>
                                        </pic:blipFill>
                                        <pic:spPr bwMode="auto">
                                          <a:xfrm>
                                            <a:off x="0" y="0"/>
                                            <a:ext cx="2590800" cy="28575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w:t>
                      </w:r>
                    </w:p>
                    <w:p>
                      <w:pPr>
                        <w:pStyle w:val="TextBody"/>
                        <w:bidi w:val="0"/>
                        <w:spacing w:before="0" w:after="0"/>
                        <w:jc w:val="both"/>
                        <w:rPr/>
                      </w:pPr>
                      <w:r>
                        <w:rPr/>
                        <w:drawing>
                          <wp:inline distT="0" distB="0" distL="0" distR="0">
                            <wp:extent cx="2590800" cy="285750"/>
                            <wp:effectExtent l="0" t="0" r="0" b="0"/>
                            <wp:docPr id="12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6" descr=""/>
                                    <pic:cNvPicPr>
                                      <a:picLocks noChangeAspect="1" noChangeArrowheads="1"/>
                                    </pic:cNvPicPr>
                                  </pic:nvPicPr>
                                  <pic:blipFill>
                                    <a:blip r:embed="rId48"/>
                                    <a:stretch>
                                      <a:fillRect/>
                                    </a:stretch>
                                  </pic:blipFill>
                                  <pic:spPr bwMode="auto">
                                    <a:xfrm>
                                      <a:off x="0" y="0"/>
                                      <a:ext cx="2590800" cy="28575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Do the U.S. securities laws take into account mitigating circumstance, like avoiding a loss or planning a transaction before I had Material Nonpublic Information?</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     No. The U.S. federal securities laws do not recognize any mitigating circumstances to insider trading. In addition, even the appearance of an improper transaction must be avoided to preserve the Company’s reputation for adhering to the highest standards of conduct. In some circumstances, you may need to forgo a planned transaction even if you planned it before becoming aware of the Material Nonpublic Information. So, even if you believe you may suffer an economic loss or sacrifice an anticipated profit by waiting to trade, you must wait.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What if I don’t buy or sell anything, but I tell someone else Material Nonpublic Information and he or she buys or sells?</w:t>
      </w:r>
    </w:p>
    <w:p>
      <w:pPr>
        <w:pStyle w:val="TextBody"/>
        <w:bidi w:val="0"/>
        <w:spacing w:lineRule="auto" w:line="288" w:before="0" w:after="240"/>
        <w:ind w:left="0" w:right="0" w:hanging="72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That is called “tipping.” You are the “tipper” and the other person is called the “tippee.” If the tippee buys or sells securities based on that Material Nonpublic Information, both you and the “tippee” could be found guilty of insider trading. In fact, if you tell family members who tell others and those people then trade on the information, both you as the “tippee” and those family members might be found guilty of insider trading. To prevent this, you may not discuss Material Nonpublic Information about the Company or any other company that you obtain information about as a result of your employment or relationship with the Company (i) with persons within the Company whose jobs do not require them to have that Material Nonpublic Information, or (ii) with anyone outside the Company, including spouses, family members, friends, or business associates (unless the disclosure is made in accordance with the Company’s policies regarding the protection or authorized external disclosure of information regarding the Company). This includes anonymous discussions on the internet about the Company or companies with which the Company does business.</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2"/>
        </w:rPr>
        <w:t>In addition, you may never recommend to another person that they buy, hold or sell the Company’s securities or any derivative security related to the Company’s common stock, or any securities of any other company for which you obtain information as a result of your employment or relationship with the Company since that could be a form of tipping.</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Does this Policy or the insider trading laws apply to me if I work outside the U.S.?</w:t>
      </w:r>
    </w:p>
    <w:p>
      <w:pPr>
        <w:pStyle w:val="TextBody"/>
        <w:bidi w:val="0"/>
        <w:spacing w:lineRule="auto" w:line="288" w:before="0" w:after="240"/>
        <w:ind w:left="0" w:right="0" w:hanging="72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Yes.</w:t>
      </w:r>
      <w:r>
        <w:rPr>
          <w:color w:val="000000"/>
        </w:rPr>
        <w:t xml:space="preserve"> </w:t>
      </w:r>
      <w:r>
        <w:rPr>
          <w:rFonts w:ascii="Times New Roman;serif" w:hAnsi="Times New Roman;serif"/>
          <w:b w:val="false"/>
          <w:color w:val="000000"/>
          <w:sz w:val="22"/>
        </w:rPr>
        <w:t>The same rules apply to U.S. and foreign employees and consultants. The SEC (the U.S. government agency in charge of investor protection) and the Financial Industry Regulatory Authority (a private regulator that oversees U.S. securities exchanges) routinely investigate trading in a company’s securities conducted by individuals and firms based abroad. In addition, as a Covered Person, our policies apply to you no matter where you work.</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Am I restricted from trading securities of any companies other than the Company, for example a customer or competitor of the Company?</w:t>
      </w:r>
    </w:p>
    <w:p>
      <w:pPr>
        <w:pStyle w:val="TextBody"/>
        <w:bidi w:val="0"/>
        <w:spacing w:lineRule="auto" w:line="288" w:before="0" w:after="240"/>
        <w:ind w:left="0" w:right="0" w:hanging="72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U.S. insider trading laws generally restrict everyone aware of Material Nonpublic Information about a company from trading in that company’s securities, regardless of whether the person is directly connected with that company, except in limited circumstances. Therefore, if you have Material Nonpublic Information about another company that was obtained as a result of your employment or relationship with the Company, you should not trade in that other company’s securities.</w:t>
      </w: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59435"/>
                <wp:effectExtent l="0" t="0" r="0" b="0"/>
                <wp:wrapNone/>
                <wp:docPr id="125" name="Frame115"/>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w:t>
                            </w:r>
                            <w:r>
                              <w:br w:type="page"/>
                            </w:r>
                          </w:p>
                          <w:p>
                            <w:pPr>
                              <w:pStyle w:val="TextBody"/>
                              <w:bidi w:val="0"/>
                              <w:spacing w:before="0" w:after="0"/>
                              <w:jc w:val="both"/>
                              <w:rPr/>
                            </w:pPr>
                            <w:r>
                              <w:rPr/>
                              <w:drawing>
                                <wp:inline distT="0" distB="0" distL="0" distR="0">
                                  <wp:extent cx="2590800" cy="285750"/>
                                  <wp:effectExtent l="0" t="0" r="0" b="0"/>
                                  <wp:docPr id="12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7" descr=""/>
                                          <pic:cNvPicPr>
                                            <a:picLocks noChangeAspect="1" noChangeArrowheads="1"/>
                                          </pic:cNvPicPr>
                                        </pic:nvPicPr>
                                        <pic:blipFill>
                                          <a:blip r:embed="rId49"/>
                                          <a:stretch>
                                            <a:fillRect/>
                                          </a:stretch>
                                        </pic:blipFill>
                                        <pic:spPr bwMode="auto">
                                          <a:xfrm>
                                            <a:off x="0" y="0"/>
                                            <a:ext cx="2590800" cy="28575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w:t>
                      </w:r>
                    </w:p>
                    <w:p>
                      <w:pPr>
                        <w:pStyle w:val="TextBody"/>
                        <w:bidi w:val="0"/>
                        <w:spacing w:before="0" w:after="0"/>
                        <w:jc w:val="both"/>
                        <w:rPr/>
                      </w:pPr>
                      <w:r>
                        <w:rPr/>
                        <w:drawing>
                          <wp:inline distT="0" distB="0" distL="0" distR="0">
                            <wp:extent cx="2590800" cy="285750"/>
                            <wp:effectExtent l="0" t="0" r="0" b="0"/>
                            <wp:docPr id="12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7" descr=""/>
                                    <pic:cNvPicPr>
                                      <a:picLocks noChangeAspect="1" noChangeArrowheads="1"/>
                                    </pic:cNvPicPr>
                                  </pic:nvPicPr>
                                  <pic:blipFill>
                                    <a:blip r:embed="rId50"/>
                                    <a:stretch>
                                      <a:fillRect/>
                                    </a:stretch>
                                  </pic:blipFill>
                                  <pic:spPr bwMode="auto">
                                    <a:xfrm>
                                      <a:off x="0" y="0"/>
                                      <a:ext cx="2590800" cy="28575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So when can I trade my Company securities?</w:t>
      </w:r>
    </w:p>
    <w:p>
      <w:pPr>
        <w:pStyle w:val="TextBody"/>
        <w:bidi w:val="0"/>
        <w:spacing w:lineRule="auto" w:line="288" w:before="0" w:after="240"/>
        <w:ind w:left="0" w:right="0" w:hanging="72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 xml:space="preserve">If you are aware of Material Nonpublic Information, you may not trade Company securities until one (1) full trading day has elapsed since the information was publicly disclosed. See above under “When is information considered public?” for additional information. </w:t>
      </w:r>
      <w:r>
        <w:rPr>
          <w:rFonts w:ascii="Times New Roman;serif" w:hAnsi="Times New Roman;serif"/>
          <w:b/>
          <w:color w:val="000000"/>
          <w:sz w:val="22"/>
        </w:rPr>
        <w:t>In addition, as discussed further below, even if you are not aware of any Material Nonpublic Information, you may not transact in the Company’s securities during any trading blackout period that applies to you</w:t>
      </w:r>
      <w:r>
        <w:rPr>
          <w:rFonts w:ascii="Times New Roman;serif" w:hAnsi="Times New Roman;serif"/>
          <w:b w:val="false"/>
          <w:color w:val="000000"/>
          <w:sz w:val="22"/>
        </w:rPr>
        <w:t>. This Policy describes the quarterly trading blackout period, and additional event-driven trading blackout periods (which may apply to you even if the quarterly trading blackout periods do not) that may be implemented and announced by the Compliance Officer under “</w:t>
      </w:r>
      <w:r>
        <w:rPr>
          <w:rFonts w:ascii="Times New Roman;serif" w:hAnsi="Times New Roman;serif"/>
          <w:b/>
          <w:color w:val="000000"/>
          <w:sz w:val="22"/>
        </w:rPr>
        <w:t>Blackout Periods</w:t>
      </w:r>
      <w:r>
        <w:rPr>
          <w:color w:val="000000"/>
        </w:rPr>
        <w:t xml:space="preserve">” </w:t>
      </w:r>
      <w:r>
        <w:rPr>
          <w:rFonts w:ascii="Times New Roman;serif" w:hAnsi="Times New Roman;serif"/>
          <w:b w:val="false"/>
          <w:color w:val="000000"/>
          <w:sz w:val="22"/>
        </w:rPr>
        <w:t xml:space="preserve">below.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What if my relationship with the Company ends?</w:t>
      </w:r>
    </w:p>
    <w:p>
      <w:pPr>
        <w:pStyle w:val="TextBody"/>
        <w:bidi w:val="0"/>
        <w:spacing w:lineRule="auto" w:line="288" w:before="0" w:after="240"/>
        <w:ind w:left="0" w:right="0" w:hanging="72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This Policy continues to apply to your transactions in the Company’s securities and the securities of other public companies even after your relationship with the Company has ended. If you are aware of Material Nonpublic Information when your relationship with the Company ends, you may not trade the Company’s securities or the securities of other applicable companies until the Material Nonpublic Information has been publicly disseminated or is no longer material. Further, if you leave the Company during a quarterly trading blackout period (as discussed below), then you may not trade the Company’s securities or the securities of other applicable companies until the quarterly trading blackout period has ended.</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Blackout Periods</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What is a quarterly trading blackout period and when do they occur?</w:t>
      </w:r>
    </w:p>
    <w:p>
      <w:pPr>
        <w:pStyle w:val="TextBody"/>
        <w:bidi w:val="0"/>
        <w:spacing w:lineRule="auto" w:line="288" w:before="0" w:after="240"/>
        <w:ind w:left="0" w:right="0" w:hanging="720"/>
        <w:jc w:val="both"/>
        <w:rPr/>
      </w:pPr>
      <w:r>
        <w:rPr>
          <w:rFonts w:ascii="Times New Roman;serif" w:hAnsi="Times New Roman;serif"/>
          <w:b w:val="false"/>
          <w:color w:val="000000"/>
          <w:sz w:val="22"/>
        </w:rPr>
        <w:t>A:</w:t>
      </w:r>
      <w:r>
        <w:rPr>
          <w:color w:val="000000"/>
        </w:rPr>
        <w:t>    </w:t>
      </w:r>
      <w:r>
        <w:rPr>
          <w:rFonts w:ascii="Times New Roman;serif" w:hAnsi="Times New Roman;serif"/>
          <w:b w:val="false"/>
          <w:color w:val="000000"/>
          <w:sz w:val="22"/>
        </w:rPr>
        <w:t xml:space="preserve">To minimize even the appearance of insider trading by Specified Personnel and their respective Related Persons, we have established “quarterly trading blackout periods” during which such individuals—regardless of whether they are aware of Material Nonpublic Information—may not conduct any trades in Company securities. One significant piece of information about the Company’s overall condition and performance is the Company’s quarterly financial results. As a quarter progresses, more financial information about the quarter is available internally and the Company’s overall performance for the quarter becomes easier to predict. Persons who have access to this information have an advantage not enjoyed by the general investing public. </w:t>
      </w:r>
    </w:p>
    <w:p>
      <w:pPr>
        <w:pStyle w:val="TextBody"/>
        <w:bidi w:val="0"/>
        <w:spacing w:lineRule="auto" w:line="288" w:before="0" w:after="240"/>
        <w:jc w:val="both"/>
        <w:rPr/>
      </w:pPr>
      <w:r>
        <w:rPr>
          <w:rFonts w:ascii="Times New Roman;serif" w:hAnsi="Times New Roman;serif"/>
          <w:b w:val="false"/>
          <w:color w:val="000000"/>
          <w:sz w:val="22"/>
        </w:rPr>
        <w:t>As a result, except as described in this Policy, all Specified Personnel and their respective Related Persons will be prohibited from trading in Company securities during quarterly trading blackout periods, which begin at the end of the 20th day of the third month of each fiscal quarter (</w:t>
      </w:r>
      <w:r>
        <w:rPr>
          <w:rFonts w:ascii="Times New Roman;serif" w:hAnsi="Times New Roman;serif"/>
          <w:b w:val="false"/>
          <w:i/>
          <w:color w:val="000000"/>
          <w:sz w:val="22"/>
        </w:rPr>
        <w:t xml:space="preserve">i.e., </w:t>
      </w:r>
      <w:r>
        <w:rPr>
          <w:rFonts w:ascii="Times New Roman;serif" w:hAnsi="Times New Roman;serif"/>
          <w:b w:val="false"/>
          <w:color w:val="000000"/>
          <w:sz w:val="22"/>
        </w:rPr>
        <w:t xml:space="preserve">March, June, September and December) and end after one (1) full trading day has elapsed since the public dissemination of the Company’s financial results for that quarter. Of course, even during an open trading window period, you may not conduct any trades in Company securities if you are otherwise in possession of Material Nonpublic Information.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Can the Company’s quarterly trading blackout periods change?</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     The quarterly trading blackout period may commence early or may be extended if, in the judgment of the Chief Executive Officer, Chief Financial Officer or Compliance Officer, there exists undisclosed information that would make trades by Specified Personnel or their respective Related Persons inappropriate. It is important to note that the fact that the quarterly trading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59435"/>
                <wp:effectExtent l="0" t="0" r="0" b="0"/>
                <wp:wrapNone/>
                <wp:docPr id="128" name="Frame116"/>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w:t>
                            </w:r>
                            <w:r>
                              <w:br w:type="page"/>
                            </w:r>
                          </w:p>
                          <w:p>
                            <w:pPr>
                              <w:pStyle w:val="TextBody"/>
                              <w:bidi w:val="0"/>
                              <w:spacing w:before="0" w:after="0"/>
                              <w:jc w:val="both"/>
                              <w:rPr/>
                            </w:pPr>
                            <w:r>
                              <w:rPr/>
                              <w:drawing>
                                <wp:inline distT="0" distB="0" distL="0" distR="0">
                                  <wp:extent cx="2590800" cy="285750"/>
                                  <wp:effectExtent l="0" t="0" r="0" b="0"/>
                                  <wp:docPr id="12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8" descr=""/>
                                          <pic:cNvPicPr>
                                            <a:picLocks noChangeAspect="1" noChangeArrowheads="1"/>
                                          </pic:cNvPicPr>
                                        </pic:nvPicPr>
                                        <pic:blipFill>
                                          <a:blip r:embed="rId51"/>
                                          <a:stretch>
                                            <a:fillRect/>
                                          </a:stretch>
                                        </pic:blipFill>
                                        <pic:spPr bwMode="auto">
                                          <a:xfrm>
                                            <a:off x="0" y="0"/>
                                            <a:ext cx="2590800" cy="28575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w:t>
                      </w:r>
                    </w:p>
                    <w:p>
                      <w:pPr>
                        <w:pStyle w:val="TextBody"/>
                        <w:bidi w:val="0"/>
                        <w:spacing w:before="0" w:after="0"/>
                        <w:jc w:val="both"/>
                        <w:rPr/>
                      </w:pPr>
                      <w:r>
                        <w:rPr/>
                        <w:drawing>
                          <wp:inline distT="0" distB="0" distL="0" distR="0">
                            <wp:extent cx="2590800" cy="285750"/>
                            <wp:effectExtent l="0" t="0" r="0" b="0"/>
                            <wp:docPr id="13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8" descr=""/>
                                    <pic:cNvPicPr>
                                      <a:picLocks noChangeAspect="1" noChangeArrowheads="1"/>
                                    </pic:cNvPicPr>
                                  </pic:nvPicPr>
                                  <pic:blipFill>
                                    <a:blip r:embed="rId52"/>
                                    <a:stretch>
                                      <a:fillRect/>
                                    </a:stretch>
                                  </pic:blipFill>
                                  <pic:spPr bwMode="auto">
                                    <a:xfrm>
                                      <a:off x="0" y="0"/>
                                      <a:ext cx="2590800" cy="28575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blackout period has commenced early or has been extended should be considered Material Nonpublic Information that should not be communicated to any other person.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Does the Company have blackout periods other than quarterly trading blackout periods?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     Yes. From time to time, an event may occur that is material to the Company and is known by only a few officers, directors and/or other employees. So long as the event remains material and nonpublic, the Chief Executive Officer, Chief Financial Officer or Chief Compliance Officer may impose a special blackout period. In that situation, the Compliance Officer will notify the designated individuals that neither they nor their Related Persons may trade in the Company’s securities. The existence of a special blackout period should also be considered Material Nonpublic Information and should not be communicated to any other person.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If I am subject to a blackout period and I have an open order to buy or sell Company securities on the date a blackout period commences, can I leave it to my broker to cancel the open order and avoid executing the trade?</w:t>
      </w:r>
    </w:p>
    <w:p>
      <w:pPr>
        <w:pStyle w:val="TextBody"/>
        <w:bidi w:val="0"/>
        <w:spacing w:lineRule="auto" w:line="288" w:before="0" w:after="240"/>
        <w:ind w:left="0" w:right="0" w:hanging="72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 xml:space="preserve">No, unless it is in connection with a Trading Plan (as defined below). If you have any open orders when a blackout period commences other than in connection with a Trading Plan, it is your responsibility to cancel these orders with your broker. If you have an open order and it executes after a blackout period commences not in connection with a Trading Plan, you will have violated this Policy and may also have violated insider trading laws. </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Exceptions to this Policy</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Are there any exceptions to this policy?</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    There are no exceptions to this Policy, except as specifically noted below.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Can I exercise options granted to me by the Company during a blackout period or when I possess Material Nonpublic Information?</w:t>
      </w:r>
    </w:p>
    <w:p>
      <w:pPr>
        <w:pStyle w:val="TextBody"/>
        <w:bidi w:val="0"/>
        <w:spacing w:lineRule="auto" w:line="288" w:before="0" w:after="240"/>
        <w:ind w:left="0" w:right="0" w:hanging="72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 xml:space="preserve">Yes. You may exercise your options, but you may </w:t>
      </w:r>
      <w:r>
        <w:rPr>
          <w:rFonts w:ascii="Times New Roman;serif" w:hAnsi="Times New Roman;serif"/>
          <w:b/>
          <w:color w:val="000000"/>
          <w:sz w:val="22"/>
        </w:rPr>
        <w:t>not</w:t>
      </w:r>
      <w:r>
        <w:rPr>
          <w:color w:val="000000"/>
        </w:rPr>
        <w:t xml:space="preserve"> </w:t>
      </w:r>
      <w:r>
        <w:rPr>
          <w:rFonts w:ascii="Times New Roman;serif" w:hAnsi="Times New Roman;serif"/>
          <w:b w:val="false"/>
          <w:color w:val="000000"/>
          <w:sz w:val="22"/>
        </w:rPr>
        <w:t xml:space="preserve">sell the underlying shares (even to pay the exercise price or any taxes due upon exercise) during a blackout period or any time that you are aware of Material Nonpublic Information. To be clear, you may </w:t>
      </w:r>
      <w:r>
        <w:rPr>
          <w:rFonts w:ascii="Times New Roman;serif" w:hAnsi="Times New Roman;serif"/>
          <w:b w:val="false"/>
          <w:color w:val="000000"/>
          <w:sz w:val="22"/>
          <w:u w:val="single"/>
        </w:rPr>
        <w:t>not</w:t>
      </w:r>
      <w:r>
        <w:rPr>
          <w:color w:val="000000"/>
        </w:rPr>
        <w:t xml:space="preserve"> </w:t>
      </w:r>
      <w:r>
        <w:rPr>
          <w:rFonts w:ascii="Times New Roman;serif" w:hAnsi="Times New Roman;serif"/>
          <w:b w:val="false"/>
          <w:color w:val="000000"/>
          <w:sz w:val="22"/>
        </w:rPr>
        <w:t>effect a broker-assisted cashless exercise of options (because these cashless exercise transactions include a market sale) during a blackout period or any time that you are aware of material nonpublic information.</w:t>
      </w:r>
    </w:p>
    <w:p>
      <w:pPr>
        <w:pStyle w:val="TextBody"/>
        <w:bidi w:val="0"/>
        <w:spacing w:lineRule="auto" w:line="288" w:before="0" w:after="240"/>
        <w:ind w:left="0" w:right="0" w:hanging="720"/>
        <w:jc w:val="both"/>
        <w:rPr/>
      </w:pPr>
      <w:r>
        <w:rPr>
          <w:rFonts w:ascii="Times New Roman;serif" w:hAnsi="Times New Roman;serif"/>
          <w:b/>
          <w:color w:val="000000"/>
          <w:sz w:val="22"/>
        </w:rPr>
        <w:t>Q:    What tax withholding transactions are not restricted by this Policy</w:t>
      </w:r>
      <w:r>
        <w:rPr>
          <w:rFonts w:ascii="Times New Roman;serif" w:hAnsi="Times New Roman;serif"/>
          <w:b w:val="false"/>
          <w:color w:val="000000"/>
          <w:sz w:val="22"/>
        </w:rPr>
        <w:t xml:space="preserve">? </w:t>
      </w:r>
    </w:p>
    <w:p>
      <w:pPr>
        <w:pStyle w:val="TextBody"/>
        <w:bidi w:val="0"/>
        <w:spacing w:lineRule="auto" w:line="288" w:before="0" w:after="240"/>
        <w:ind w:left="0" w:right="0" w:hanging="720"/>
        <w:jc w:val="both"/>
        <w:rPr/>
      </w:pPr>
      <w:r>
        <w:rPr>
          <w:rFonts w:ascii="Times New Roman;serif" w:hAnsi="Times New Roman;serif"/>
          <w:b w:val="false"/>
          <w:color w:val="000000"/>
          <w:sz w:val="22"/>
        </w:rPr>
        <w:t>A:     This Policy does not apply to the surrender of shares directly to the Company to satisfy tax withholding obligations as a result of the issuance of shares upon exercise of options or settlement of restricted stock units (“</w:t>
      </w:r>
      <w:r>
        <w:rPr>
          <w:rFonts w:ascii="Times New Roman;serif" w:hAnsi="Times New Roman;serif"/>
          <w:b/>
          <w:i/>
          <w:color w:val="000000"/>
          <w:sz w:val="22"/>
        </w:rPr>
        <w:t>RSUs</w:t>
      </w:r>
      <w:r>
        <w:rPr>
          <w:color w:val="000000"/>
        </w:rPr>
        <w:t>”</w:t>
      </w:r>
      <w:r>
        <w:rPr>
          <w:rFonts w:ascii="Times New Roman;serif" w:hAnsi="Times New Roman;serif"/>
          <w:b w:val="false"/>
          <w:color w:val="000000"/>
          <w:sz w:val="22"/>
        </w:rPr>
        <w:t xml:space="preserve">) issued by the Company. Of course, any market sale of the underlying shares received upon exercise or settlement of any such equity awards remains subject to all provisions of this Policy whether or not for the purpose of generating the cash needed to pay the exercise price or pay taxes; provided, that employees may sell-to-cover that number of shares of the Company’s common stock necessary to satisfy the tax withholding obligations upon the settlement of RSUs granted under the Company’s equity incentive plans if such sell-to-cover arrangement is effected pursuant to either (i) a program implemented by the Board or a duly appointed committee of the Board or (ii) a written election by the individual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59435"/>
                <wp:effectExtent l="0" t="0" r="0" b="0"/>
                <wp:wrapNone/>
                <wp:docPr id="131" name="Frame117"/>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8</w:t>
                            </w:r>
                            <w:r>
                              <w:br w:type="page"/>
                            </w:r>
                          </w:p>
                          <w:p>
                            <w:pPr>
                              <w:pStyle w:val="TextBody"/>
                              <w:bidi w:val="0"/>
                              <w:spacing w:before="0" w:after="0"/>
                              <w:jc w:val="both"/>
                              <w:rPr/>
                            </w:pPr>
                            <w:r>
                              <w:rPr/>
                              <w:drawing>
                                <wp:inline distT="0" distB="0" distL="0" distR="0">
                                  <wp:extent cx="2590800" cy="285750"/>
                                  <wp:effectExtent l="0" t="0" r="0" b="0"/>
                                  <wp:docPr id="13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9" descr=""/>
                                          <pic:cNvPicPr>
                                            <a:picLocks noChangeAspect="1" noChangeArrowheads="1"/>
                                          </pic:cNvPicPr>
                                        </pic:nvPicPr>
                                        <pic:blipFill>
                                          <a:blip r:embed="rId53"/>
                                          <a:stretch>
                                            <a:fillRect/>
                                          </a:stretch>
                                        </pic:blipFill>
                                        <pic:spPr bwMode="auto">
                                          <a:xfrm>
                                            <a:off x="0" y="0"/>
                                            <a:ext cx="2590800" cy="28575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8</w:t>
                      </w:r>
                    </w:p>
                    <w:p>
                      <w:pPr>
                        <w:pStyle w:val="TextBody"/>
                        <w:bidi w:val="0"/>
                        <w:spacing w:before="0" w:after="0"/>
                        <w:jc w:val="both"/>
                        <w:rPr/>
                      </w:pPr>
                      <w:r>
                        <w:rPr/>
                        <w:drawing>
                          <wp:inline distT="0" distB="0" distL="0" distR="0">
                            <wp:extent cx="2590800" cy="285750"/>
                            <wp:effectExtent l="0" t="0" r="0" b="0"/>
                            <wp:docPr id="13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9" descr=""/>
                                    <pic:cNvPicPr>
                                      <a:picLocks noChangeAspect="1" noChangeArrowheads="1"/>
                                    </pic:cNvPicPr>
                                  </pic:nvPicPr>
                                  <pic:blipFill>
                                    <a:blip r:embed="rId54"/>
                                    <a:stretch>
                                      <a:fillRect/>
                                    </a:stretch>
                                  </pic:blipFill>
                                  <pic:spPr bwMode="auto">
                                    <a:xfrm>
                                      <a:off x="0" y="0"/>
                                      <a:ext cx="2590800" cy="28575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employee, provided that in the case of an individual election (a) the election (including any changes to or termination of any election) is made during an open trading window period prior to the settlement of such RSUs and (b) at the time of such election, change or termination, as applicable, such individual was not in possession of Material Nonpublic Information about the Company.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Q:     Are mutual funds and exchange-trade funds (ETFs) holding Company common stock subject to the blackout periods? </w:t>
      </w:r>
    </w:p>
    <w:p>
      <w:pPr>
        <w:pStyle w:val="TextBody"/>
        <w:bidi w:val="0"/>
        <w:spacing w:lineRule="auto" w:line="288" w:before="0" w:after="240"/>
        <w:ind w:left="0" w:right="0" w:hanging="72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No. You may trade in mutual funds and ETFs holding Company stock at any time, as long as you do not control the investment decisions on individual stocks within the fund and the Company represents no greater than 10% of the fund’s value.</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What are the rules that apply to Rule 10b5-1 trading plans?</w:t>
      </w:r>
    </w:p>
    <w:p>
      <w:pPr>
        <w:pStyle w:val="TextBody"/>
        <w:bidi w:val="0"/>
        <w:spacing w:lineRule="auto" w:line="288" w:before="0" w:after="240"/>
        <w:ind w:left="0" w:right="0" w:hanging="720"/>
        <w:jc w:val="both"/>
        <w:rPr/>
      </w:pPr>
      <w:r>
        <w:rPr>
          <w:rFonts w:ascii="Times New Roman;serif" w:hAnsi="Times New Roman;serif"/>
          <w:b w:val="false"/>
          <w:color w:val="000000"/>
          <w:sz w:val="22"/>
        </w:rPr>
        <w:t>A:    Under Rule 10b5-1 of the Securities Exchange Act of 1934, as amended (the “</w:t>
      </w:r>
      <w:r>
        <w:rPr>
          <w:rFonts w:ascii="Times New Roman;serif" w:hAnsi="Times New Roman;serif"/>
          <w:b/>
          <w:i/>
          <w:color w:val="000000"/>
          <w:sz w:val="22"/>
        </w:rPr>
        <w:t>Exchange Act</w:t>
      </w:r>
      <w:r>
        <w:rPr>
          <w:color w:val="000000"/>
        </w:rPr>
        <w:t>”</w:t>
      </w:r>
      <w:r>
        <w:rPr>
          <w:rFonts w:ascii="Times New Roman;serif" w:hAnsi="Times New Roman;serif"/>
          <w:b w:val="false"/>
          <w:color w:val="000000"/>
          <w:sz w:val="22"/>
        </w:rPr>
        <w:t>), individuals may establish a trading plan under which a broker is instructed to buy and sell Company securities based on pre-determined criteria (a “</w:t>
      </w:r>
      <w:r>
        <w:rPr>
          <w:rFonts w:ascii="Times New Roman;serif" w:hAnsi="Times New Roman;serif"/>
          <w:b/>
          <w:i/>
          <w:color w:val="000000"/>
          <w:sz w:val="22"/>
        </w:rPr>
        <w:t>Trading Plan</w:t>
      </w:r>
      <w:r>
        <w:rPr>
          <w:color w:val="000000"/>
        </w:rPr>
        <w:t>”</w:t>
      </w:r>
      <w:r>
        <w:rPr>
          <w:rFonts w:ascii="Times New Roman;serif" w:hAnsi="Times New Roman;serif"/>
          <w:b w:val="false"/>
          <w:color w:val="000000"/>
          <w:sz w:val="22"/>
        </w:rPr>
        <w:t>). So long as a Trading Plan is properly established, purchases and sales of Company securities pursuant to that Trading Plan are not subject to this Policy. To be properly established, a person’s Trading Plan must be established in compliance with the requirements of Rule 10b5-1 of the Exchange Act and any applicable 10b5-1 trading plan guidelines of the Company at a time when they were unaware of any Material Nonpublic Information relating to the Company and when they were not otherwise subject to a trading blackout period. Moreover, the adoption, amendment or termination of a Trading Plan must be approved by the Company and meet the requirements set forth in the Company’s Guidelines for 10b5-1 Trading Plans, including all applicable pre-clearance procedures.</w:t>
      </w:r>
    </w:p>
    <w:p>
      <w:pPr>
        <w:pStyle w:val="TextBody"/>
        <w:bidi w:val="0"/>
        <w:spacing w:lineRule="auto" w:line="288" w:before="0" w:after="240"/>
        <w:ind w:left="0" w:right="0" w:hanging="720"/>
        <w:jc w:val="both"/>
        <w:rPr/>
      </w:pPr>
      <w:r>
        <w:rPr>
          <w:rFonts w:ascii="Times New Roman;serif" w:hAnsi="Times New Roman;serif"/>
          <w:b/>
          <w:color w:val="000000"/>
          <w:sz w:val="22"/>
        </w:rPr>
        <w:t>Q:     Are purchases of Company stock through an Employee Stock Purchase Plan allowed by this Policy?</w:t>
      </w:r>
      <w:r>
        <w:rPr>
          <w:color w:val="000000"/>
          <w:u w:val="single"/>
        </w:rPr>
        <w:t xml:space="preserve"> </w:t>
      </w:r>
    </w:p>
    <w:p>
      <w:pPr>
        <w:pStyle w:val="TextBody"/>
        <w:bidi w:val="0"/>
        <w:spacing w:lineRule="auto" w:line="288" w:before="0" w:after="240"/>
        <w:ind w:left="0" w:right="0" w:hanging="720"/>
        <w:jc w:val="both"/>
        <w:rPr/>
      </w:pPr>
      <w:r>
        <w:rPr>
          <w:rFonts w:ascii="Times New Roman;serif" w:hAnsi="Times New Roman;serif"/>
          <w:b/>
          <w:color w:val="000000"/>
          <w:sz w:val="22"/>
        </w:rPr>
        <w:t>A</w:t>
      </w:r>
      <w:r>
        <w:rPr>
          <w:rFonts w:ascii="Times New Roman;serif" w:hAnsi="Times New Roman;serif"/>
          <w:b w:val="false"/>
          <w:color w:val="000000"/>
          <w:sz w:val="22"/>
        </w:rPr>
        <w:t>:     This Policy does not apply to purchases of Company securities in the Company’s Employee Stock Purchase Plan (“</w:t>
      </w:r>
      <w:r>
        <w:rPr>
          <w:rFonts w:ascii="Times New Roman;serif" w:hAnsi="Times New Roman;serif"/>
          <w:b/>
          <w:i/>
          <w:color w:val="000000"/>
          <w:sz w:val="22"/>
        </w:rPr>
        <w:t>ESPP</w:t>
      </w:r>
      <w:r>
        <w:rPr>
          <w:color w:val="000000"/>
        </w:rPr>
        <w:t>”</w:t>
      </w:r>
      <w:r>
        <w:rPr>
          <w:rFonts w:ascii="Times New Roman;serif" w:hAnsi="Times New Roman;serif"/>
          <w:b w:val="false"/>
          <w:color w:val="000000"/>
          <w:sz w:val="22"/>
        </w:rPr>
        <w:t xml:space="preserve">) resulting from your periodic contribution of money to the ESPP pursuant to the election you made at the time of your enrollment in the ESPP. This Policy also does not apply to purchases of Company securities resulting from lump sum contributions to the ESPP, provided that you elected to participate by lump sum payment at the beginning of the applicable enrollment period. </w:t>
      </w:r>
    </w:p>
    <w:p>
      <w:pPr>
        <w:pStyle w:val="TextBody"/>
        <w:bidi w:val="0"/>
        <w:spacing w:lineRule="auto" w:line="288" w:before="0" w:after="240"/>
        <w:ind w:left="0" w:right="0" w:hanging="720"/>
        <w:jc w:val="both"/>
        <w:rPr/>
      </w:pPr>
      <w:r>
        <w:rPr>
          <w:rFonts w:ascii="Times New Roman;serif" w:hAnsi="Times New Roman;serif"/>
          <w:b/>
          <w:color w:val="000000"/>
          <w:sz w:val="22"/>
        </w:rPr>
        <w:t>Q:     Are purchases of Company stock in a 401(k) plan allowed by this Policy?</w:t>
      </w:r>
      <w:r>
        <w:rPr>
          <w:color w:val="000000"/>
          <w:u w:val="single"/>
        </w:rPr>
        <w:t xml:space="preserve"> </w:t>
      </w:r>
    </w:p>
    <w:p>
      <w:pPr>
        <w:pStyle w:val="TextBody"/>
        <w:bidi w:val="0"/>
        <w:spacing w:lineRule="auto" w:line="288" w:before="0" w:after="240"/>
        <w:ind w:left="0" w:right="0" w:hanging="720"/>
        <w:jc w:val="both"/>
        <w:rPr/>
      </w:pPr>
      <w:r>
        <w:rPr>
          <w:rFonts w:ascii="Times New Roman;serif" w:hAnsi="Times New Roman;serif"/>
          <w:b/>
          <w:color w:val="000000"/>
          <w:sz w:val="22"/>
        </w:rPr>
        <w:t>A</w:t>
      </w:r>
      <w:r>
        <w:rPr>
          <w:rFonts w:ascii="Times New Roman;serif" w:hAnsi="Times New Roman;serif"/>
          <w:b w:val="false"/>
          <w:color w:val="000000"/>
          <w:sz w:val="22"/>
        </w:rPr>
        <w:t xml:space="preserve">:     This Policy does not apply to purchases of the Company’s securities in the Company’s 401(k) plan resulting from your periodic contribution of money to the plan pursuant to your payroll deduction election. This Policy does apply, however, to certain elections you may make under the 401(k) plan, including: (a) an election to increase or decrease the percentage of your periodic contributions that will be allocated to any Company stock fund that may be in place from time to time; (b) an election to make an intra-plan transfer of an existing account balance into or out of any Company stock fund that may be in place from time to time; (c) an election to borrow money against your 401(k) plan account if the loan will result in a liquidation of some or all of the balance of any Company stock fund that may be in place from time to time; and (d) an election to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59435"/>
                <wp:effectExtent l="0" t="0" r="0" b="0"/>
                <wp:wrapNone/>
                <wp:docPr id="134" name="Frame118"/>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9</w:t>
                            </w:r>
                            <w:r>
                              <w:br w:type="page"/>
                            </w:r>
                          </w:p>
                          <w:p>
                            <w:pPr>
                              <w:pStyle w:val="TextBody"/>
                              <w:bidi w:val="0"/>
                              <w:spacing w:before="0" w:after="0"/>
                              <w:jc w:val="both"/>
                              <w:rPr/>
                            </w:pPr>
                            <w:r>
                              <w:rPr/>
                              <w:drawing>
                                <wp:inline distT="0" distB="0" distL="0" distR="0">
                                  <wp:extent cx="2590800" cy="285750"/>
                                  <wp:effectExtent l="0" t="0" r="0" b="0"/>
                                  <wp:docPr id="13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0" descr=""/>
                                          <pic:cNvPicPr>
                                            <a:picLocks noChangeAspect="1" noChangeArrowheads="1"/>
                                          </pic:cNvPicPr>
                                        </pic:nvPicPr>
                                        <pic:blipFill>
                                          <a:blip r:embed="rId55"/>
                                          <a:stretch>
                                            <a:fillRect/>
                                          </a:stretch>
                                        </pic:blipFill>
                                        <pic:spPr bwMode="auto">
                                          <a:xfrm>
                                            <a:off x="0" y="0"/>
                                            <a:ext cx="2590800" cy="28575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9</w:t>
                      </w:r>
                    </w:p>
                    <w:p>
                      <w:pPr>
                        <w:pStyle w:val="TextBody"/>
                        <w:bidi w:val="0"/>
                        <w:spacing w:before="0" w:after="0"/>
                        <w:jc w:val="both"/>
                        <w:rPr/>
                      </w:pPr>
                      <w:r>
                        <w:rPr/>
                        <w:drawing>
                          <wp:inline distT="0" distB="0" distL="0" distR="0">
                            <wp:extent cx="2590800" cy="285750"/>
                            <wp:effectExtent l="0" t="0" r="0" b="0"/>
                            <wp:docPr id="13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0" descr=""/>
                                    <pic:cNvPicPr>
                                      <a:picLocks noChangeAspect="1" noChangeArrowheads="1"/>
                                    </pic:cNvPicPr>
                                  </pic:nvPicPr>
                                  <pic:blipFill>
                                    <a:blip r:embed="rId56"/>
                                    <a:stretch>
                                      <a:fillRect/>
                                    </a:stretch>
                                  </pic:blipFill>
                                  <pic:spPr bwMode="auto">
                                    <a:xfrm>
                                      <a:off x="0" y="0"/>
                                      <a:ext cx="2590800" cy="28575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pre-pay a plan loan if the pre-payment will result in allocation of loan proceeds to the Company stock fund.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Margin Accounts, Pledging Shares, Hedging and Other Speculation in Company Stock</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Can I purchase Company securities on margin or hold them in a margin account?</w:t>
      </w:r>
    </w:p>
    <w:p>
      <w:pPr>
        <w:pStyle w:val="TextBody"/>
        <w:bidi w:val="0"/>
        <w:spacing w:lineRule="auto" w:line="288" w:before="0" w:after="240"/>
        <w:ind w:left="0" w:right="0" w:hanging="72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No. “Purchasing on margin” is the use of borrowed money from a brokerage firm to purchase Company securities. Holding the Company’s securities in a margin account includes holding the securities in an account in which the shares can be sold to pay a loan to the brokerage firm. You may not purchase Company securities on margin or hold it in a margin account at any time.</w:t>
      </w:r>
    </w:p>
    <w:p>
      <w:pPr>
        <w:pStyle w:val="TextBody"/>
        <w:bidi w:val="0"/>
        <w:spacing w:lineRule="auto" w:line="288" w:before="0" w:after="240"/>
        <w:ind w:left="0" w:right="0" w:hanging="720"/>
        <w:jc w:val="both"/>
        <w:rPr/>
      </w:pPr>
      <w:r>
        <w:rPr>
          <w:rFonts w:ascii="Times New Roman;serif" w:hAnsi="Times New Roman;serif"/>
          <w:b/>
          <w:color w:val="000000"/>
          <w:sz w:val="22"/>
        </w:rPr>
        <w:t>Q:     Can I pledge my Company</w:t>
      </w:r>
      <w:r>
        <w:rPr>
          <w:color w:val="000000"/>
        </w:rPr>
        <w:t xml:space="preserve"> </w:t>
      </w:r>
      <w:r>
        <w:rPr>
          <w:rFonts w:ascii="Times New Roman;serif" w:hAnsi="Times New Roman;serif"/>
          <w:b/>
          <w:color w:val="000000"/>
          <w:sz w:val="22"/>
        </w:rPr>
        <w:t>securities as collateral for a loan?</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     No. Pledging your Company securities as collateral for a loan could cause the pledgee to transfer your securities during a trading blackout period or when you are otherwise aware of Material Nonpublic Information. As a result, you may not pledge your Company securities as collateral for a loan.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What is problematic about margin accounts and pledged securities?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     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the Company’s securities, Covered Persons are prohibited from holding Company securities in a margin account or otherwise pledging Company securities as collateral for a loan.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Q:     Can I hedge my ownership position in the Company?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     No. Hedging or monetization transactions, including through the use of financial instruments such as prepaid variable forwards, equity swaps, collars and exchange funds are prohibited by this Policy.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Such transactions may permit a person subject to this Policy to continue to own Company securities obtained through employee benefit plans or otherwise, but without the full risks and rewards of ownership. When that occurs, the person may no longer have the same objectives as the Company’s other stockholders. Therefore, all persons subject to this Policy are prohibited from engaging in any such transactions.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Am I allowed to trade derivative securities of Company common stock?</w:t>
      </w:r>
    </w:p>
    <w:p>
      <w:pPr>
        <w:pStyle w:val="TextBody"/>
        <w:bidi w:val="0"/>
        <w:spacing w:lineRule="auto" w:line="288" w:before="0" w:after="240"/>
        <w:ind w:left="0" w:right="0" w:hanging="72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 xml:space="preserve">No. You may not trade in derivative securities related to Company common stock, which include publicly traded call and put options. In addition, you may not engage in short selling of Company common stock at any time.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What are derivative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59435"/>
                <wp:effectExtent l="0" t="0" r="0" b="0"/>
                <wp:wrapNone/>
                <wp:docPr id="137" name="Frame119"/>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10</w:t>
                            </w:r>
                            <w:r>
                              <w:br w:type="page"/>
                            </w:r>
                          </w:p>
                          <w:p>
                            <w:pPr>
                              <w:pStyle w:val="TextBody"/>
                              <w:bidi w:val="0"/>
                              <w:spacing w:before="0" w:after="0"/>
                              <w:jc w:val="both"/>
                              <w:rPr/>
                            </w:pPr>
                            <w:r>
                              <w:rPr/>
                              <w:drawing>
                                <wp:inline distT="0" distB="0" distL="0" distR="0">
                                  <wp:extent cx="2590800" cy="285750"/>
                                  <wp:effectExtent l="0" t="0" r="0" b="0"/>
                                  <wp:docPr id="13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1" descr=""/>
                                          <pic:cNvPicPr>
                                            <a:picLocks noChangeAspect="1" noChangeArrowheads="1"/>
                                          </pic:cNvPicPr>
                                        </pic:nvPicPr>
                                        <pic:blipFill>
                                          <a:blip r:embed="rId57"/>
                                          <a:stretch>
                                            <a:fillRect/>
                                          </a:stretch>
                                        </pic:blipFill>
                                        <pic:spPr bwMode="auto">
                                          <a:xfrm>
                                            <a:off x="0" y="0"/>
                                            <a:ext cx="2590800" cy="28575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10</w:t>
                      </w:r>
                    </w:p>
                    <w:p>
                      <w:pPr>
                        <w:pStyle w:val="TextBody"/>
                        <w:bidi w:val="0"/>
                        <w:spacing w:before="0" w:after="0"/>
                        <w:jc w:val="both"/>
                        <w:rPr/>
                      </w:pPr>
                      <w:r>
                        <w:rPr/>
                        <w:drawing>
                          <wp:inline distT="0" distB="0" distL="0" distR="0">
                            <wp:extent cx="2590800" cy="285750"/>
                            <wp:effectExtent l="0" t="0" r="0" b="0"/>
                            <wp:docPr id="13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1" descr=""/>
                                    <pic:cNvPicPr>
                                      <a:picLocks noChangeAspect="1" noChangeArrowheads="1"/>
                                    </pic:cNvPicPr>
                                  </pic:nvPicPr>
                                  <pic:blipFill>
                                    <a:blip r:embed="rId58"/>
                                    <a:stretch>
                                      <a:fillRect/>
                                    </a:stretch>
                                  </pic:blipFill>
                                  <pic:spPr bwMode="auto">
                                    <a:xfrm>
                                      <a:off x="0" y="0"/>
                                      <a:ext cx="2590800" cy="28575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     “Derivative securities” are securities other than common stock that are speculative in nature because they permit a person to leverage their investment using a relatively small amount of money. Examples of derivative securities include “put options” and “call options.” These are different from employee options and other equity awards granted under the Company’s equity compensation plans, which are not derivative securities for purposes of this Policy.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What is short selling?</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    “Short selling” is profiting when you expect the price of the stock to decline, and includes transactions in which you borrow stock from a broker, sell it, and eventually buy it back on the market to return the borrowed shares to the broker. Profit is realized if the stock price decreases during the period of borrowing.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Why does the Company prohibit trading in derivative securities and short selling?</w:t>
      </w:r>
    </w:p>
    <w:p>
      <w:pPr>
        <w:pStyle w:val="TextBody"/>
        <w:bidi w:val="0"/>
        <w:spacing w:lineRule="auto" w:line="288" w:before="0" w:after="240"/>
        <w:ind w:left="0" w:right="0" w:hanging="72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Many companies with volatile stock prices have adopted similar policies because of the temptation it represents to try to benefit from a relatively low-cost method of trading on short-term swings in stock prices, without actually holding the underlying common stock, and encourages speculative trading. The Company is dedicated to building stockholder value; short selling the Company’s common stock conflicts with its values and would not be well-received by its stockholders.</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What if I purchased publicly traded options or other derivative securities before I became subject to this Policy?</w:t>
      </w:r>
    </w:p>
    <w:p>
      <w:pPr>
        <w:pStyle w:val="TextBody"/>
        <w:bidi w:val="0"/>
        <w:spacing w:lineRule="auto" w:line="288" w:before="0" w:after="240"/>
        <w:ind w:left="0" w:right="0" w:hanging="72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 xml:space="preserve">The same rules apply as for employee stock options. You may exercise the publicly traded options at any time, but you may not sell the securities during a trading blackout period or at any time that you are aware of Material Nonpublic Information. </w:t>
      </w:r>
    </w:p>
    <w:p>
      <w:pPr>
        <w:pStyle w:val="TextBody"/>
        <w:bidi w:val="0"/>
        <w:spacing w:lineRule="auto" w:line="288" w:before="0" w:after="0"/>
        <w:jc w:val="both"/>
        <w:rPr/>
      </w:pPr>
      <w:r>
        <w:rPr>
          <w:rFonts w:ascii="Times New Roman;serif" w:hAnsi="Times New Roman;serif"/>
          <w:b/>
          <w:color w:val="000000"/>
          <w:sz w:val="22"/>
        </w:rPr>
        <w:t>Q:     What are the concerns about standing and limit order</w:t>
      </w:r>
      <w:r>
        <w:rPr>
          <w:rFonts w:ascii="Times New Roman;serif" w:hAnsi="Times New Roman;serif"/>
          <w:b w:val="false"/>
          <w:color w:val="000000"/>
          <w:sz w:val="22"/>
        </w:rPr>
        <w:t xml:space="preserve">s? </w:t>
      </w:r>
    </w:p>
    <w:p>
      <w:pPr>
        <w:pStyle w:val="TextBody"/>
        <w:bidi w:val="0"/>
        <w:spacing w:before="0" w:after="0"/>
        <w:jc w:val="both"/>
        <w:rPr/>
      </w:pPr>
      <w:r>
        <w:rPr/>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     Standing and limit orders (except standing and limit orders under approved Trading Plans, as discussed above) create heightened risks for insider trading violations similar to the use of margin accounts. There is no control over the timing of purchases or sales that result from standing instructions to a broker, and as a result the broker could execute a transaction when a Covered Person is in possession of Material Nonpublic Information. The Company therefore discourages placing standing or limit orders on the Company’s securities. If a person subject to this Policy determines that they must use a standing order or limit order (other than under an approved Trading Plan as discussed above), the order should be limited to short duration and the person using such standing order or limit order is required to cancel such instructions immediately in the event restrictions are imposed on their ability to trade pursuant to the quarterly trading blackout period and other blackout periods described above.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Pre-Clearance of Transactions in Company Stock</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Who is required to pre-clear and provide advance notice of transactions?</w:t>
      </w:r>
    </w:p>
    <w:p>
      <w:pPr>
        <w:pStyle w:val="TextBody"/>
        <w:bidi w:val="0"/>
        <w:spacing w:lineRule="auto" w:line="288" w:before="0" w:after="240"/>
        <w:ind w:left="0" w:right="0" w:hanging="720"/>
        <w:jc w:val="both"/>
        <w:rPr/>
      </w:pPr>
      <w:r>
        <w:rPr>
          <w:rFonts w:ascii="Times New Roman;serif" w:hAnsi="Times New Roman;serif"/>
          <w:b w:val="false"/>
          <w:color w:val="000000"/>
          <w:sz w:val="22"/>
        </w:rPr>
        <w:t>A:</w:t>
      </w:r>
      <w:r>
        <w:rPr>
          <w:color w:val="000000"/>
        </w:rPr>
        <w:t>    </w:t>
      </w:r>
      <w:r>
        <w:rPr>
          <w:rFonts w:ascii="Times New Roman;serif" w:hAnsi="Times New Roman;serif"/>
          <w:b w:val="false"/>
          <w:color w:val="000000"/>
          <w:sz w:val="22"/>
        </w:rPr>
        <w:t xml:space="preserve">In addition to the requirements above, officers, directors and other employees who have been notified that they are subject to pre-clearance requirements face a further restriction: Even during an open trading window, such individuals may not engage in any transaction in the Company’s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559435"/>
                <wp:effectExtent l="0" t="0" r="0" b="0"/>
                <wp:wrapNone/>
                <wp:docPr id="140" name="Frame120"/>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11</w:t>
                            </w:r>
                            <w:r>
                              <w:br w:type="page"/>
                            </w:r>
                          </w:p>
                          <w:p>
                            <w:pPr>
                              <w:pStyle w:val="TextBody"/>
                              <w:bidi w:val="0"/>
                              <w:spacing w:before="0" w:after="0"/>
                              <w:jc w:val="both"/>
                              <w:rPr/>
                            </w:pPr>
                            <w:r>
                              <w:rPr/>
                              <w:drawing>
                                <wp:inline distT="0" distB="0" distL="0" distR="0">
                                  <wp:extent cx="2590800" cy="285750"/>
                                  <wp:effectExtent l="0" t="0" r="0" b="0"/>
                                  <wp:docPr id="14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2" descr=""/>
                                          <pic:cNvPicPr>
                                            <a:picLocks noChangeAspect="1" noChangeArrowheads="1"/>
                                          </pic:cNvPicPr>
                                        </pic:nvPicPr>
                                        <pic:blipFill>
                                          <a:blip r:embed="rId59"/>
                                          <a:stretch>
                                            <a:fillRect/>
                                          </a:stretch>
                                        </pic:blipFill>
                                        <pic:spPr bwMode="auto">
                                          <a:xfrm>
                                            <a:off x="0" y="0"/>
                                            <a:ext cx="2590800" cy="28575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11</w:t>
                      </w:r>
                    </w:p>
                    <w:p>
                      <w:pPr>
                        <w:pStyle w:val="TextBody"/>
                        <w:bidi w:val="0"/>
                        <w:spacing w:before="0" w:after="0"/>
                        <w:jc w:val="both"/>
                        <w:rPr/>
                      </w:pPr>
                      <w:r>
                        <w:rPr/>
                        <w:drawing>
                          <wp:inline distT="0" distB="0" distL="0" distR="0">
                            <wp:extent cx="2590800" cy="285750"/>
                            <wp:effectExtent l="0" t="0" r="0" b="0"/>
                            <wp:docPr id="14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2" descr=""/>
                                    <pic:cNvPicPr>
                                      <a:picLocks noChangeAspect="1" noChangeArrowheads="1"/>
                                    </pic:cNvPicPr>
                                  </pic:nvPicPr>
                                  <pic:blipFill>
                                    <a:blip r:embed="rId60"/>
                                    <a:stretch>
                                      <a:fillRect/>
                                    </a:stretch>
                                  </pic:blipFill>
                                  <pic:spPr bwMode="auto">
                                    <a:xfrm>
                                      <a:off x="0" y="0"/>
                                      <a:ext cx="2590800" cy="28575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securities without first obtaining pre-clearance of the transaction from the Compliance Officer at least two (2)</w:t>
      </w:r>
      <w:r>
        <w:rPr>
          <w:color w:val="000000"/>
        </w:rPr>
        <w:t xml:space="preserve"> </w:t>
      </w:r>
      <w:r>
        <w:rPr>
          <w:rFonts w:ascii="Times New Roman;serif" w:hAnsi="Times New Roman;serif"/>
          <w:b w:val="false"/>
          <w:color w:val="000000"/>
          <w:sz w:val="22"/>
        </w:rPr>
        <w:t>business days in advance of the proposed transaction. If the Compliance Officer determines that the transaction does not violate the federal securities laws or a specific provision of this Policy, the transaction may proceed. Pre-cleared transactions not completed within two (2) business days of receipt of pre-clearance by the Compliance Officer will require new pre-clearance. The Company may choose to shorten this period.</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2"/>
        </w:rPr>
        <w:t xml:space="preserve">If the Compliance Officer advises you that you are not precleared, then you may not effect any trades in the Company’s securities under any circumstances, and you must not inform anyone within or outside of the Company of the restriction.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Are individuals subject to pre-clearance required to provide advanced notice of stock option exercises?</w:t>
      </w:r>
    </w:p>
    <w:p>
      <w:pPr>
        <w:pStyle w:val="TextBody"/>
        <w:bidi w:val="0"/>
        <w:spacing w:lineRule="auto" w:line="288" w:before="0" w:after="240"/>
        <w:ind w:left="0" w:right="0" w:hanging="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A:     Yes. Persons subject to pre-clearance must also give advance notice of their plans to exercise an outstanding stock option to the Compliance Officer. Once any transaction takes place, the officer, director or applicable member of management must immediately notify the Compliance Officer so that the Company may assist in any Section 16 reporting obligations.</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What happens if I violate this Policy?</w:t>
      </w:r>
    </w:p>
    <w:p>
      <w:pPr>
        <w:pStyle w:val="TextBody"/>
        <w:bidi w:val="0"/>
        <w:spacing w:lineRule="auto" w:line="288" w:before="0" w:after="240"/>
        <w:ind w:left="0" w:right="0" w:hanging="72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 xml:space="preserve">Violating the Company’s policies may result in disciplinary action, which may include termination of your employment or other relationship with the Company.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 addition to disciplinary action by the Company, you may be liable for civil sanctions for trading on Material Nonpublic Information. The sanctions may include return of any profit made or loss avoided as well as penalties of up to three times any profit made or any loss avoided. Persons found liable for tipping Material Nonpublic Information, even if they did not trade themselves, may be liable for the amount of any profit gained or loss avoided by everyone in the chain of tippees as well as a penalty of up to three times that amount. In addition, anyone convicted of criminal insider trading could face prison and additional fines up to $5 million.</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Who should I contact if I have questions about this Policy or specific trades?</w:t>
      </w:r>
    </w:p>
    <w:p>
      <w:pPr>
        <w:pStyle w:val="TextBody"/>
        <w:bidi w:val="0"/>
        <w:spacing w:lineRule="auto" w:line="288" w:before="0" w:after="240"/>
        <w:ind w:left="0" w:right="0" w:hanging="72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You should email the Chief Legal Officer at complianceofficer@legalzoom.com.</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Q:     Do changes to this Policy require approval by the Board?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Yes. Substantial changes to this Policy require approval by the Board or a duly appointed committee of the Board.</w:t>
      </w:r>
    </w:p>
    <w:p>
      <w:pPr>
        <w:pStyle w:val="TextBody"/>
        <w:bidi w:val="0"/>
        <w:spacing w:lineRule="auto" w:line="288" w:before="120" w:after="283"/>
        <w:jc w:val="both"/>
        <w:rPr>
          <w:rFonts w:ascii="Times New Roman;serif" w:hAnsi="Times New Roman;serif"/>
          <w:b/>
          <w:color w:val="000000"/>
          <w:sz w:val="22"/>
        </w:rPr>
      </w:pPr>
      <w:r>
        <w:rPr>
          <w:rFonts w:ascii="Times New Roman;serif" w:hAnsi="Times New Roman;serif"/>
          <w:b/>
          <w:color w:val="000000"/>
          <w:sz w:val="22"/>
        </w:rPr>
        <w:br/>
        <w:t>Approved by the Board of Directors: February 14,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559435"/>
                <wp:effectExtent l="0" t="0" r="0" b="0"/>
                <wp:wrapNone/>
                <wp:docPr id="143" name="Frame121"/>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12</w:t>
                            </w:r>
                            <w:r>
                              <w:br w:type="page"/>
                            </w:r>
                          </w:p>
                          <w:p>
                            <w:pPr>
                              <w:pStyle w:val="TextBody"/>
                              <w:bidi w:val="0"/>
                              <w:spacing w:before="0" w:after="0"/>
                              <w:jc w:val="both"/>
                              <w:rPr/>
                            </w:pPr>
                            <w:r>
                              <w:rPr/>
                              <w:drawing>
                                <wp:inline distT="0" distB="0" distL="0" distR="0">
                                  <wp:extent cx="2590800" cy="285750"/>
                                  <wp:effectExtent l="0" t="0" r="0" b="0"/>
                                  <wp:docPr id="14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3" descr=""/>
                                          <pic:cNvPicPr>
                                            <a:picLocks noChangeAspect="1" noChangeArrowheads="1"/>
                                          </pic:cNvPicPr>
                                        </pic:nvPicPr>
                                        <pic:blipFill>
                                          <a:blip r:embed="rId61"/>
                                          <a:stretch>
                                            <a:fillRect/>
                                          </a:stretch>
                                        </pic:blipFill>
                                        <pic:spPr bwMode="auto">
                                          <a:xfrm>
                                            <a:off x="0" y="0"/>
                                            <a:ext cx="2590800" cy="28575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12</w:t>
                      </w:r>
                    </w:p>
                    <w:p>
                      <w:pPr>
                        <w:pStyle w:val="TextBody"/>
                        <w:bidi w:val="0"/>
                        <w:spacing w:before="0" w:after="0"/>
                        <w:jc w:val="both"/>
                        <w:rPr/>
                      </w:pPr>
                      <w:r>
                        <w:rPr/>
                        <w:drawing>
                          <wp:inline distT="0" distB="0" distL="0" distR="0">
                            <wp:extent cx="2590800" cy="285750"/>
                            <wp:effectExtent l="0" t="0" r="0" b="0"/>
                            <wp:docPr id="14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3" descr=""/>
                                    <pic:cNvPicPr>
                                      <a:picLocks noChangeAspect="1" noChangeArrowheads="1"/>
                                    </pic:cNvPicPr>
                                  </pic:nvPicPr>
                                  <pic:blipFill>
                                    <a:blip r:embed="rId62"/>
                                    <a:stretch>
                                      <a:fillRect/>
                                    </a:stretch>
                                  </pic:blipFill>
                                  <pic:spPr bwMode="auto">
                                    <a:xfrm>
                                      <a:off x="0" y="0"/>
                                      <a:ext cx="2590800" cy="28575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Appendix 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All employees and members of the Board of Directors</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85445"/>
                <wp:effectExtent l="0" t="0" r="0" b="0"/>
                <wp:wrapNone/>
                <wp:docPr id="146" name="Frame1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hanging="720"/>
        <w:jc w:val="center"/>
        <w:rPr>
          <w:rFonts w:ascii="Times New Roman;serif" w:hAnsi="Times New Roman;serif"/>
          <w:b/>
          <w:color w:val="000000"/>
          <w:sz w:val="22"/>
          <w:u w:val="single"/>
        </w:rPr>
      </w:pPr>
      <w:r>
        <w:rPr>
          <w:rFonts w:ascii="Times New Roman;serif" w:hAnsi="Times New Roman;serif"/>
          <w:b/>
          <w:color w:val="000000"/>
          <w:sz w:val="22"/>
          <w:u w:val="single"/>
        </w:rPr>
        <w:t>Appendix B</w:t>
      </w:r>
    </w:p>
    <w:p>
      <w:pPr>
        <w:pStyle w:val="TextBody"/>
        <w:bidi w:val="0"/>
        <w:spacing w:lineRule="auto" w:line="288" w:before="0" w:after="240"/>
        <w:ind w:left="0" w:right="0" w:firstLine="720"/>
        <w:jc w:val="center"/>
        <w:rPr>
          <w:rFonts w:ascii="Times New Roman;serif" w:hAnsi="Times New Roman;serif"/>
          <w:b/>
          <w:color w:val="000000"/>
          <w:sz w:val="22"/>
        </w:rPr>
      </w:pPr>
      <w:r>
        <w:rPr>
          <w:rFonts w:ascii="Times New Roman;serif" w:hAnsi="Times New Roman;serif"/>
          <w:b/>
          <w:color w:val="000000"/>
          <w:sz w:val="22"/>
        </w:rPr>
        <w:t>LEGALZOOM.COM, INC.</w:t>
      </w:r>
    </w:p>
    <w:p>
      <w:pPr>
        <w:pStyle w:val="TextBody"/>
        <w:bidi w:val="0"/>
        <w:spacing w:lineRule="auto" w:line="288" w:before="0" w:after="240"/>
        <w:ind w:left="0" w:right="0" w:firstLine="720"/>
        <w:jc w:val="center"/>
        <w:rPr>
          <w:rFonts w:ascii="Times New Roman;serif" w:hAnsi="Times New Roman;serif"/>
          <w:b/>
          <w:color w:val="000000"/>
          <w:sz w:val="22"/>
        </w:rPr>
      </w:pPr>
      <w:r>
        <w:rPr>
          <w:rFonts w:ascii="Times New Roman;serif" w:hAnsi="Times New Roman;serif"/>
          <w:b/>
          <w:color w:val="000000"/>
          <w:sz w:val="22"/>
        </w:rPr>
        <w:t>INSIDER TRADING POLICY</w:t>
      </w:r>
    </w:p>
    <w:p>
      <w:pPr>
        <w:pStyle w:val="TextBody"/>
        <w:bidi w:val="0"/>
        <w:spacing w:before="0" w:after="240"/>
        <w:ind w:left="0" w:right="0" w:firstLine="720"/>
        <w:jc w:val="both"/>
        <w:rPr/>
      </w:pPr>
      <w:r>
        <w:rPr/>
      </w:r>
    </w:p>
    <w:p>
      <w:pPr>
        <w:pStyle w:val="TextBody"/>
        <w:bidi w:val="0"/>
        <w:spacing w:lineRule="auto" w:line="288" w:before="0" w:after="240"/>
        <w:ind w:left="0" w:right="0" w:firstLine="706"/>
        <w:jc w:val="both"/>
        <w:rPr/>
      </w:pPr>
      <w:r>
        <w:rPr>
          <w:rFonts w:ascii="Times New Roman;serif" w:hAnsi="Times New Roman;serif"/>
          <w:b w:val="false"/>
          <w:color w:val="000000"/>
          <w:sz w:val="22"/>
        </w:rPr>
        <w:t>I hereby acknowledge that I have received, read, understand and will comply with the LegalZoom.com, Inc. Insider Trading Policy (the “</w:t>
      </w:r>
      <w:r>
        <w:rPr>
          <w:rFonts w:ascii="Times New Roman;serif" w:hAnsi="Times New Roman;serif"/>
          <w:b/>
          <w:color w:val="000000"/>
          <w:sz w:val="22"/>
        </w:rPr>
        <w:t>Policy</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06"/>
        <w:jc w:val="both"/>
        <w:rPr>
          <w:rFonts w:ascii="Times New Roman;serif" w:hAnsi="Times New Roman;serif"/>
          <w:b w:val="false"/>
          <w:color w:val="000000"/>
          <w:sz w:val="22"/>
        </w:rPr>
      </w:pPr>
      <w:r>
        <w:rPr>
          <w:rFonts w:ascii="Times New Roman;serif" w:hAnsi="Times New Roman;serif"/>
          <w:b w:val="false"/>
          <w:color w:val="000000"/>
          <w:sz w:val="22"/>
        </w:rPr>
        <w:t>I understand that my agreement to comply with this Policy does not constitute a contract of employment.</w:t>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Please sign here: _________________________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Print Name: _____________________________</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Date: __________________________________</w:t>
      </w:r>
    </w:p>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pPr>
      <w:r>
        <w:rPr>
          <w:rFonts w:ascii="Times New Roman;serif" w:hAnsi="Times New Roman;serif"/>
          <w:b/>
          <w:color w:val="000000"/>
          <w:sz w:val="22"/>
        </w:rPr>
        <w:t>This signed and completed form must be returned to the Chief Legal Officer or the Chief Legal Officer’s designee within ten (10) business days of receiving this Policy.</w:t>
      </w:r>
      <w:r>
        <w:rPr>
          <w:color w:val="000000"/>
        </w:rPr>
        <w:t xml:space="preserv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85445"/>
                <wp:effectExtent l="0" t="0" r="0" b="0"/>
                <wp:wrapNone/>
                <wp:docPr id="147" name="Frame1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right"/>
        <w:rPr>
          <w:rFonts w:ascii="Open Sans;sans-serif" w:hAnsi="Open Sans;sans-serif"/>
          <w:b/>
          <w:color w:val="000000"/>
          <w:sz w:val="18"/>
        </w:rPr>
      </w:pPr>
      <w:r>
        <w:rPr>
          <w:rFonts w:ascii="Open Sans;sans-serif" w:hAnsi="Open Sans;sans-serif"/>
          <w:b/>
          <w:color w:val="000000"/>
          <w:sz w:val="18"/>
        </w:rPr>
        <w:t>Exhibit 21.1</w:t>
      </w:r>
    </w:p>
    <w:p>
      <w:pPr>
        <w:pStyle w:val="TextBody"/>
        <w:bidi w:val="0"/>
        <w:spacing w:lineRule="auto" w:line="300" w:before="0" w:after="160"/>
        <w:jc w:val="center"/>
        <w:rPr>
          <w:rFonts w:ascii="Open Sans;sans-serif" w:hAnsi="Open Sans;sans-serif"/>
          <w:b/>
          <w:color w:val="000000"/>
          <w:sz w:val="18"/>
        </w:rPr>
      </w:pPr>
      <w:r>
        <w:rPr>
          <w:rFonts w:ascii="Open Sans;sans-serif" w:hAnsi="Open Sans;sans-serif"/>
          <w:b/>
          <w:color w:val="000000"/>
          <w:sz w:val="18"/>
        </w:rPr>
        <w:t>Subsidiaries of LegalZoom.com, Inc.</w:t>
      </w:r>
    </w:p>
    <w:tbl>
      <w:tblPr>
        <w:tblW w:w="5396" w:type="dxa"/>
        <w:jc w:val="left"/>
        <w:tblInd w:w="0" w:type="dxa"/>
        <w:tblLayout w:type="fixed"/>
        <w:tblCellMar>
          <w:top w:w="28" w:type="dxa"/>
          <w:left w:w="28" w:type="dxa"/>
          <w:bottom w:w="28" w:type="dxa"/>
          <w:right w:w="28" w:type="dxa"/>
        </w:tblCellMar>
      </w:tblPr>
      <w:tblGrid>
        <w:gridCol w:w="771"/>
        <w:gridCol w:w="678"/>
        <w:gridCol w:w="681"/>
        <w:gridCol w:w="109"/>
        <w:gridCol w:w="109"/>
        <w:gridCol w:w="109"/>
        <w:gridCol w:w="861"/>
        <w:gridCol w:w="861"/>
        <w:gridCol w:w="1217"/>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Open Sans;sans-serif" w:hAnsi="Open Sans;sans-serif"/>
                <w:b/>
                <w:color w:val="000000"/>
                <w:sz w:val="18"/>
              </w:rPr>
            </w:pPr>
            <w:r>
              <w:rPr>
                <w:rFonts w:ascii="Open Sans;sans-serif" w:hAnsi="Open Sans;sans-serif"/>
                <w:b/>
                <w:color w:val="000000"/>
                <w:sz w:val="18"/>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Open Sans;sans-serif" w:hAnsi="Open Sans;sans-serif"/>
                <w:b/>
                <w:color w:val="000000"/>
                <w:sz w:val="18"/>
              </w:rPr>
            </w:pPr>
            <w:r>
              <w:rPr>
                <w:rFonts w:ascii="Open Sans;sans-serif" w:hAnsi="Open Sans;sans-serif"/>
                <w:b/>
                <w:color w:val="000000"/>
                <w:sz w:val="18"/>
              </w:rPr>
              <w:t>Jurisdiction of Organization</w:t>
            </w:r>
          </w:p>
        </w:tc>
      </w:tr>
      <w:tr>
        <w:trPr/>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Open Sans;sans-serif" w:hAnsi="Open Sans;sans-serif"/>
                <w:b w:val="false"/>
                <w:color w:val="000000"/>
                <w:sz w:val="18"/>
              </w:rPr>
            </w:pPr>
            <w:r>
              <w:rPr>
                <w:rFonts w:ascii="Open Sans;sans-serif" w:hAnsi="Open Sans;sans-serif"/>
                <w:b w:val="false"/>
                <w:color w:val="000000"/>
                <w:sz w:val="18"/>
              </w:rPr>
              <w:t>Earth Class Mail,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Open Sans;sans-serif" w:hAnsi="Open Sans;sans-serif"/>
                <w:b w:val="false"/>
                <w:color w:val="000000"/>
                <w:sz w:val="18"/>
              </w:rPr>
            </w:pPr>
            <w:r>
              <w:rPr>
                <w:rFonts w:ascii="Open Sans;sans-serif" w:hAnsi="Open Sans;sans-serif"/>
                <w:b w:val="false"/>
                <w:color w:val="000000"/>
                <w:sz w:val="18"/>
              </w:rPr>
              <w:t>Delaware</w:t>
            </w:r>
          </w:p>
        </w:tc>
      </w:tr>
      <w:tr>
        <w:trPr/>
        <w:tc>
          <w:tcPr>
            <w:tcW w:w="213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Open Sans;sans-serif" w:hAnsi="Open Sans;sans-serif"/>
                <w:b w:val="false"/>
                <w:color w:val="000000"/>
                <w:sz w:val="18"/>
              </w:rPr>
            </w:pPr>
            <w:r>
              <w:rPr>
                <w:rFonts w:ascii="Open Sans;sans-serif" w:hAnsi="Open Sans;sans-serif"/>
                <w:b w:val="false"/>
                <w:color w:val="000000"/>
                <w:sz w:val="18"/>
              </w:rPr>
              <w:t>Formation Nation,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Open Sans;sans-serif" w:hAnsi="Open Sans;sans-serif"/>
                <w:b w:val="false"/>
                <w:color w:val="000000"/>
                <w:sz w:val="18"/>
              </w:rPr>
            </w:pPr>
            <w:r>
              <w:rPr>
                <w:rFonts w:ascii="Open Sans;sans-serif" w:hAnsi="Open Sans;sans-serif"/>
                <w:b w:val="false"/>
                <w:color w:val="000000"/>
                <w:sz w:val="18"/>
              </w:rPr>
              <w:t>Nevada</w:t>
            </w:r>
          </w:p>
        </w:tc>
      </w:tr>
      <w:tr>
        <w:trPr/>
        <w:tc>
          <w:tcPr>
            <w:tcW w:w="213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Open Sans;sans-serif" w:hAnsi="Open Sans;sans-serif"/>
                <w:b w:val="false"/>
                <w:color w:val="000000"/>
                <w:sz w:val="18"/>
              </w:rPr>
            </w:pPr>
            <w:r>
              <w:rPr>
                <w:rFonts w:ascii="Open Sans;sans-serif" w:hAnsi="Open Sans;sans-serif"/>
                <w:b w:val="false"/>
                <w:color w:val="000000"/>
                <w:sz w:val="18"/>
              </w:rPr>
              <w:t>Inc Authority,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Open Sans;sans-serif" w:hAnsi="Open Sans;sans-serif"/>
                <w:b w:val="false"/>
                <w:color w:val="000000"/>
                <w:sz w:val="18"/>
              </w:rPr>
            </w:pPr>
            <w:r>
              <w:rPr>
                <w:rFonts w:ascii="Open Sans;sans-serif" w:hAnsi="Open Sans;sans-serif"/>
                <w:b w:val="false"/>
                <w:color w:val="000000"/>
                <w:sz w:val="18"/>
              </w:rPr>
              <w:t>Nevada</w:t>
            </w:r>
          </w:p>
        </w:tc>
      </w:tr>
    </w:tbl>
    <w:p>
      <w:pPr>
        <w:pStyle w:val="TextBody"/>
        <w:bidi w:val="0"/>
        <w:spacing w:before="240" w:after="1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48"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240" w:after="120"/>
        <w:jc w:val="right"/>
        <w:rPr>
          <w:rFonts w:ascii="Work Sans;sans-serif" w:hAnsi="Work Sans;sans-serif"/>
          <w:b/>
          <w:color w:val="000000"/>
          <w:sz w:val="18"/>
        </w:rPr>
      </w:pPr>
      <w:r>
        <w:rPr>
          <w:rFonts w:ascii="Work Sans;sans-serif" w:hAnsi="Work Sans;sans-serif"/>
          <w:b/>
          <w:color w:val="000000"/>
          <w:sz w:val="18"/>
        </w:rPr>
        <w:t>Exhibit 23.1</w:t>
      </w:r>
    </w:p>
    <w:p>
      <w:pPr>
        <w:pStyle w:val="TextBody"/>
        <w:bidi w:val="0"/>
        <w:spacing w:lineRule="auto" w:line="288" w:before="360" w:after="240"/>
        <w:jc w:val="center"/>
        <w:rPr>
          <w:rFonts w:ascii="Work Sans;sans-serif" w:hAnsi="Work Sans;sans-serif"/>
          <w:b/>
          <w:color w:val="000000"/>
          <w:sz w:val="18"/>
        </w:rPr>
      </w:pPr>
      <w:r>
        <w:rPr>
          <w:rFonts w:ascii="Work Sans;sans-serif" w:hAnsi="Work Sans;sans-serif"/>
          <w:b/>
          <w:color w:val="000000"/>
          <w:sz w:val="18"/>
        </w:rPr>
        <w:t>CONSENT OF INDEPENDENT REGISTERED PUBLIC ACCOUNTING FIRM</w:t>
      </w:r>
    </w:p>
    <w:p>
      <w:pPr>
        <w:pStyle w:val="TextBody"/>
        <w:bidi w:val="0"/>
        <w:spacing w:lineRule="auto" w:line="268" w:before="0" w:after="0"/>
        <w:jc w:val="left"/>
        <w:rPr>
          <w:rFonts w:ascii="Work Sans;sans-serif" w:hAnsi="Work Sans;sans-serif"/>
          <w:b w:val="false"/>
          <w:color w:val="000000"/>
          <w:sz w:val="18"/>
        </w:rPr>
      </w:pPr>
      <w:r>
        <w:rPr>
          <w:rFonts w:ascii="Work Sans;sans-serif" w:hAnsi="Work Sans;sans-serif"/>
          <w:b w:val="false"/>
          <w:color w:val="000000"/>
          <w:sz w:val="18"/>
        </w:rPr>
        <w:t>We hereby consent to the incorporation by reference in the Registration Statements on Form S-8 (Nos. 333-257577, 333-263819, 333-270178, 333-277513 and 333-285267) of LegalZoom.com, Inc. of our report dated February 23, 2026 relating to the financial statements and the effectiveness of internal control over financial reporting, which appears in this Form 10-K.</w:t>
      </w:r>
    </w:p>
    <w:p>
      <w:pPr>
        <w:pStyle w:val="TextBody"/>
        <w:bidi w:val="0"/>
        <w:spacing w:before="0" w:after="0"/>
        <w:jc w:val="left"/>
        <w:rPr/>
      </w:pPr>
      <w:r>
        <w:rPr/>
      </w:r>
    </w:p>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/s/ PricewaterhouseCoopers LLP</w:t>
        <w:br/>
        <w:t>Los Angeles, California</w:t>
        <w:br/>
        <w:t>February 23,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49"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Work Sans;sans-serif" w:hAnsi="Work Sans;sans-serif"/>
          <w:b/>
          <w:color w:val="000000"/>
          <w:sz w:val="18"/>
        </w:rPr>
      </w:pPr>
      <w:r>
        <w:rPr>
          <w:rFonts w:ascii="Work Sans;sans-serif" w:hAnsi="Work Sans;sans-serif"/>
          <w:b/>
          <w:color w:val="000000"/>
          <w:sz w:val="18"/>
        </w:rPr>
        <w:t>Exhibit 31.1</w:t>
      </w:r>
    </w:p>
    <w:p>
      <w:pPr>
        <w:pStyle w:val="TextBody"/>
        <w:bidi w:val="0"/>
        <w:spacing w:lineRule="auto" w:line="288" w:before="240" w:after="283"/>
        <w:jc w:val="center"/>
        <w:rPr>
          <w:rFonts w:ascii="Work Sans;sans-serif" w:hAnsi="Work Sans;sans-serif"/>
          <w:b/>
          <w:color w:val="000000"/>
          <w:sz w:val="18"/>
          <w:u w:val="single"/>
        </w:rPr>
      </w:pPr>
      <w:r>
        <w:rPr>
          <w:rFonts w:ascii="Work Sans;sans-serif" w:hAnsi="Work Sans;sans-serif"/>
          <w:b/>
          <w:color w:val="000000"/>
          <w:sz w:val="18"/>
          <w:u w:val="single"/>
        </w:rPr>
        <w:t>CERTIFICATIONS</w:t>
      </w:r>
    </w:p>
    <w:p>
      <w:pPr>
        <w:pStyle w:val="TextBody"/>
        <w:bidi w:val="0"/>
        <w:spacing w:lineRule="auto" w:line="288" w:before="240" w:after="283"/>
        <w:jc w:val="left"/>
        <w:rPr>
          <w:rFonts w:ascii="Work Sans;sans-serif" w:hAnsi="Work Sans;sans-serif"/>
          <w:b w:val="false"/>
          <w:color w:val="000000"/>
          <w:sz w:val="18"/>
        </w:rPr>
      </w:pPr>
      <w:r>
        <w:rPr>
          <w:rFonts w:ascii="Work Sans;sans-serif" w:hAnsi="Work Sans;sans-serif"/>
          <w:b w:val="false"/>
          <w:color w:val="000000"/>
          <w:sz w:val="18"/>
        </w:rPr>
        <w:t>I, Jeffrey Stibel, certify that:</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1.I have reviewed this Annual Report on Form 10-K of LegalZoom.com, Inc.</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(b)Any fraud, whether or not material, that involves management or other employees who have a significant role in the registrant’s internal control over financial reporting.</w:t>
      </w:r>
    </w:p>
    <w:tbl>
      <w:tblPr>
        <w:tblW w:w="6000" w:type="dxa"/>
        <w:jc w:val="left"/>
        <w:tblInd w:w="0" w:type="dxa"/>
        <w:tblLayout w:type="fixed"/>
        <w:tblCellMar>
          <w:top w:w="28" w:type="dxa"/>
          <w:left w:w="28" w:type="dxa"/>
          <w:bottom w:w="28" w:type="dxa"/>
          <w:right w:w="28" w:type="dxa"/>
        </w:tblCellMar>
      </w:tblPr>
      <w:tblGrid>
        <w:gridCol w:w="856"/>
        <w:gridCol w:w="753"/>
        <w:gridCol w:w="761"/>
        <w:gridCol w:w="320"/>
        <w:gridCol w:w="320"/>
        <w:gridCol w:w="320"/>
        <w:gridCol w:w="780"/>
        <w:gridCol w:w="780"/>
        <w:gridCol w:w="1110"/>
      </w:tblGrid>
      <w:tr>
        <w:trPr/>
        <w:tc>
          <w:tcPr>
            <w:tcW w:w="85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LegalZoom.com, Inc.</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Date: February 23, 2026</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By:</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/s/ Jeffrey Stibel</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Jeffrey Stibel</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Chief Executive Officer</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50"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Work Sans;sans-serif" w:hAnsi="Work Sans;sans-serif"/>
          <w:b/>
          <w:color w:val="000000"/>
          <w:sz w:val="18"/>
        </w:rPr>
      </w:pPr>
      <w:r>
        <w:rPr>
          <w:rFonts w:ascii="Work Sans;sans-serif" w:hAnsi="Work Sans;sans-serif"/>
          <w:b/>
          <w:color w:val="000000"/>
          <w:sz w:val="18"/>
        </w:rPr>
        <w:t>Exhibit 31.2</w:t>
      </w:r>
    </w:p>
    <w:p>
      <w:pPr>
        <w:pStyle w:val="TextBody"/>
        <w:bidi w:val="0"/>
        <w:spacing w:lineRule="auto" w:line="288" w:before="240" w:after="283"/>
        <w:jc w:val="center"/>
        <w:rPr>
          <w:rFonts w:ascii="Work Sans;sans-serif" w:hAnsi="Work Sans;sans-serif"/>
          <w:b/>
          <w:color w:val="000000"/>
          <w:sz w:val="18"/>
          <w:u w:val="single"/>
        </w:rPr>
      </w:pPr>
      <w:r>
        <w:rPr>
          <w:rFonts w:ascii="Work Sans;sans-serif" w:hAnsi="Work Sans;sans-serif"/>
          <w:b/>
          <w:color w:val="000000"/>
          <w:sz w:val="18"/>
          <w:u w:val="single"/>
        </w:rPr>
        <w:t>CERTIFICATIONS</w:t>
      </w:r>
    </w:p>
    <w:p>
      <w:pPr>
        <w:pStyle w:val="TextBody"/>
        <w:bidi w:val="0"/>
        <w:spacing w:lineRule="auto" w:line="288" w:before="240" w:after="283"/>
        <w:jc w:val="left"/>
        <w:rPr>
          <w:rFonts w:ascii="Work Sans;sans-serif" w:hAnsi="Work Sans;sans-serif"/>
          <w:b w:val="false"/>
          <w:color w:val="000000"/>
          <w:sz w:val="18"/>
        </w:rPr>
      </w:pPr>
      <w:r>
        <w:rPr>
          <w:rFonts w:ascii="Work Sans;sans-serif" w:hAnsi="Work Sans;sans-serif"/>
          <w:b w:val="false"/>
          <w:color w:val="000000"/>
          <w:sz w:val="18"/>
        </w:rPr>
        <w:t>I, Noel Watson, certify that:</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1.I have reviewed this Annual Report on Form 10-K of LegalZoom.com, Inc.</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(b)Any fraud, whether or not material, that involves management or other employees who have a significant role in the registrant’s internal control over financial reporting.</w:t>
      </w:r>
    </w:p>
    <w:tbl>
      <w:tblPr>
        <w:tblW w:w="6048" w:type="dxa"/>
        <w:jc w:val="left"/>
        <w:tblInd w:w="0" w:type="dxa"/>
        <w:tblLayout w:type="fixed"/>
        <w:tblCellMar>
          <w:top w:w="28" w:type="dxa"/>
          <w:left w:w="28" w:type="dxa"/>
          <w:bottom w:w="28" w:type="dxa"/>
          <w:right w:w="28" w:type="dxa"/>
        </w:tblCellMar>
      </w:tblPr>
      <w:tblGrid>
        <w:gridCol w:w="856"/>
        <w:gridCol w:w="753"/>
        <w:gridCol w:w="761"/>
        <w:gridCol w:w="320"/>
        <w:gridCol w:w="320"/>
        <w:gridCol w:w="320"/>
        <w:gridCol w:w="1041"/>
        <w:gridCol w:w="692"/>
        <w:gridCol w:w="985"/>
      </w:tblGrid>
      <w:tr>
        <w:trPr/>
        <w:tc>
          <w:tcPr>
            <w:tcW w:w="85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LegalZoom.com, Inc.</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Date: February 23, 2026</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By:</w:t>
            </w:r>
          </w:p>
        </w:tc>
        <w:tc>
          <w:tcPr>
            <w:tcW w:w="2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/s/ Noel Watson</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Noel Watson</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Chief Financial Officer</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51"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Work Sans;sans-serif" w:hAnsi="Work Sans;sans-serif"/>
          <w:b/>
          <w:color w:val="000000"/>
          <w:sz w:val="18"/>
        </w:rPr>
      </w:pPr>
      <w:r>
        <w:rPr>
          <w:rFonts w:ascii="Work Sans;sans-serif" w:hAnsi="Work Sans;sans-serif"/>
          <w:b/>
          <w:color w:val="000000"/>
          <w:sz w:val="18"/>
        </w:rPr>
        <w:t>Exhibit 32.1</w:t>
      </w:r>
    </w:p>
    <w:p>
      <w:pPr>
        <w:pStyle w:val="TextBody"/>
        <w:bidi w:val="0"/>
        <w:spacing w:lineRule="auto" w:line="288" w:before="240" w:after="283"/>
        <w:jc w:val="center"/>
        <w:rPr>
          <w:rFonts w:ascii="Work Sans;sans-serif" w:hAnsi="Work Sans;sans-serif"/>
          <w:b/>
          <w:color w:val="000000"/>
          <w:sz w:val="18"/>
          <w:u w:val="single"/>
        </w:rPr>
      </w:pPr>
      <w:r>
        <w:rPr>
          <w:rFonts w:ascii="Work Sans;sans-serif" w:hAnsi="Work Sans;sans-serif"/>
          <w:b/>
          <w:color w:val="000000"/>
          <w:sz w:val="18"/>
          <w:u w:val="single"/>
        </w:rPr>
        <w:t>CERTIFICATION</w:t>
      </w:r>
    </w:p>
    <w:p>
      <w:pPr>
        <w:pStyle w:val="TextBody"/>
        <w:bidi w:val="0"/>
        <w:spacing w:lineRule="auto" w:line="288" w:before="240" w:after="283"/>
        <w:jc w:val="left"/>
        <w:rPr>
          <w:rFonts w:ascii="Work Sans;sans-serif" w:hAnsi="Work Sans;sans-serif"/>
          <w:b w:val="false"/>
          <w:color w:val="000000"/>
          <w:sz w:val="18"/>
        </w:rPr>
      </w:pPr>
      <w:r>
        <w:rPr>
          <w:rFonts w:ascii="Work Sans;sans-serif" w:hAnsi="Work Sans;sans-serif"/>
          <w:b w:val="false"/>
          <w:color w:val="000000"/>
          <w:sz w:val="18"/>
        </w:rPr>
        <w:t>Pursuant to the requirement set forth in Rule 13a-14(b) of the Securities Exchange Act of 1934, as amended (the “Exchange Act”), and Section 1350 of Chapter 63 of Title 18 of the United States Code (18 U.S.C. §1350), Jeffrey Stibel, Chief Executive Officer of LegalZoom.com, Inc. (the “Company”), and Noel Watson, Chief Financial Officer of the Company, each hereby certifies that, to the best of our knowledge:</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1.The Company’s Annual Report on Form 10-K for the period ended December 31, 2025, to which this Certification is attached as Exhibit 32.1 (the “Periodic Report”), fully complies with the requirements of Section 13(a) or Section 15(d) of the Exchange Act;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2.The information contained in the Periodic Report fairly presents, in all material respects, the financial condition and results of operations of the Company.</w:t>
      </w:r>
    </w:p>
    <w:p>
      <w:pPr>
        <w:pStyle w:val="TextBody"/>
        <w:bidi w:val="0"/>
        <w:spacing w:lineRule="auto" w:line="288" w:before="240" w:after="283"/>
        <w:jc w:val="left"/>
        <w:rPr/>
      </w:pPr>
      <w:r>
        <w:rPr>
          <w:rFonts w:ascii="Work Sans;sans-serif" w:hAnsi="Work Sans;sans-serif"/>
          <w:b w:val="false"/>
          <w:color w:val="000000"/>
          <w:sz w:val="18"/>
        </w:rPr>
        <w:t>IN WITNESS WHEREOF, the undersigned have set their hands hereto as of the 20</w:t>
      </w:r>
      <w:r>
        <w:rPr>
          <w:rFonts w:ascii="Work Sans;sans-serif" w:hAnsi="Work Sans;sans-serif"/>
          <w:b w:val="false"/>
          <w:color w:val="000000"/>
          <w:sz w:val="12"/>
        </w:rPr>
        <w:t>th</w:t>
      </w:r>
      <w:r>
        <w:rPr>
          <w:color w:val="000000"/>
        </w:rPr>
        <w:t xml:space="preserve"> </w:t>
      </w:r>
      <w:r>
        <w:rPr>
          <w:rFonts w:ascii="Work Sans;sans-serif" w:hAnsi="Work Sans;sans-serif"/>
          <w:b w:val="false"/>
          <w:color w:val="000000"/>
          <w:sz w:val="18"/>
        </w:rPr>
        <w:t>day of February 2026.</w:t>
      </w:r>
    </w:p>
    <w:tbl>
      <w:tblPr>
        <w:tblW w:w="6000" w:type="dxa"/>
        <w:jc w:val="left"/>
        <w:tblInd w:w="0" w:type="dxa"/>
        <w:tblLayout w:type="fixed"/>
        <w:tblCellMar>
          <w:top w:w="28" w:type="dxa"/>
          <w:left w:w="28" w:type="dxa"/>
          <w:bottom w:w="28" w:type="dxa"/>
          <w:right w:w="28" w:type="dxa"/>
        </w:tblCellMar>
      </w:tblPr>
      <w:tblGrid>
        <w:gridCol w:w="856"/>
        <w:gridCol w:w="753"/>
        <w:gridCol w:w="761"/>
        <w:gridCol w:w="320"/>
        <w:gridCol w:w="320"/>
        <w:gridCol w:w="320"/>
        <w:gridCol w:w="780"/>
        <w:gridCol w:w="780"/>
        <w:gridCol w:w="1110"/>
      </w:tblGrid>
      <w:tr>
        <w:trPr/>
        <w:tc>
          <w:tcPr>
            <w:tcW w:w="85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LegalZoom.com, Inc.</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Date: February 23, 2026</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By:</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/s/ Jeffrey Stibel</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Jeffrey Stibel</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Chief Executive Officer</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(Principal Executive Officer)</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Date: February 23, 2026</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By:</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/s/ Noel Watson</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Noel Watson</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Chief Financial Officer</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(Principal Financial Officer)</w:t>
            </w:r>
          </w:p>
        </w:tc>
      </w:tr>
    </w:tbl>
    <w:p>
      <w:pPr>
        <w:pStyle w:val="TextBody"/>
        <w:bidi w:val="0"/>
        <w:spacing w:before="24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52"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Work Sans">
    <w:altName w:val="sans-serif"/>
    <w:charset w:val="01"/>
    <w:family w:val="auto"/>
    <w:pitch w:val="default"/>
  </w:font>
  <w:font w:name="Open Sans">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286139/000128613925000014/ex21spafinal.htm" TargetMode="External"/><Relationship Id="rId4" Type="http://schemas.openxmlformats.org/officeDocument/2006/relationships/hyperlink" Target="https://www.sec.gov/Archives/edgar/data/0001286139/000119312521207613/d65054dex31.htm" TargetMode="External"/><Relationship Id="rId5" Type="http://schemas.openxmlformats.org/officeDocument/2006/relationships/hyperlink" Target="https://www.sec.gov/Archives/edgar/data/1286139/000128613924000115/ex-31amendedandrestatedbyl.htm" TargetMode="External"/><Relationship Id="rId6" Type="http://schemas.openxmlformats.org/officeDocument/2006/relationships/hyperlink" Target="https://www.sec.gov/Archives/edgar/data/0001286139/000119312521194089/d146270dex41.htm" TargetMode="External"/><Relationship Id="rId7" Type="http://schemas.openxmlformats.org/officeDocument/2006/relationships/hyperlink" Target="https://www.sec.gov/Archives/edgar/data/0001286139/000119312521194089/d146270dex42.htm" TargetMode="External"/><Relationship Id="rId8" Type="http://schemas.openxmlformats.org/officeDocument/2006/relationships/hyperlink" Target="https://www.sec.gov/Archives/edgar/data/1286139/000128613923000036/ex43-descriptionofcommonst.htm" TargetMode="External"/><Relationship Id="rId9" Type="http://schemas.openxmlformats.org/officeDocument/2006/relationships/hyperlink" Target="https://www.sec.gov/Archives/edgar/data/0001286139/000119312521182939/d146270dex101.htm" TargetMode="External"/><Relationship Id="rId10" Type="http://schemas.openxmlformats.org/officeDocument/2006/relationships/hyperlink" Target="https://www.sec.gov/Archives/edgar/data/0001286139/000119312521194089/d146270dex102.htm" TargetMode="External"/><Relationship Id="rId11" Type="http://schemas.openxmlformats.org/officeDocument/2006/relationships/hyperlink" Target="https://www.sec.gov/Archives/edgar/data/0001286139/000119312521194089/d146270dex103.htm" TargetMode="External"/><Relationship Id="rId12" Type="http://schemas.openxmlformats.org/officeDocument/2006/relationships/hyperlink" Target="https://www.sec.gov/Archives/edgar/data/1286139/000128613923000078/ex-102formofrsugrantnotice.htm" TargetMode="External"/><Relationship Id="rId13" Type="http://schemas.openxmlformats.org/officeDocument/2006/relationships/hyperlink" Target="https://www.sec.gov/Archives/edgar/data/1286139/000128613923000078/ex-103formofoptiongrantnot.htm" TargetMode="External"/><Relationship Id="rId14" Type="http://schemas.openxmlformats.org/officeDocument/2006/relationships/hyperlink" Target="https://www.sec.gov/Archives/edgar/data/1286139/000128613925000044/ex106formofglobalpsugrantn.htm" TargetMode="External"/><Relationship Id="rId15" Type="http://schemas.openxmlformats.org/officeDocument/2006/relationships/hyperlink" Target="https://www.sec.gov/Archives/edgar/data/1286139/000128613925000044/ex106formofglobalpsugrantn.htm" TargetMode="External"/><Relationship Id="rId16" Type="http://schemas.openxmlformats.org/officeDocument/2006/relationships/hyperlink" Target="https://www.sec.gov/Archives/edgar/data/1286139/000128613925000044/ex106formofglobalpsugrantn.htm" TargetMode="External"/><Relationship Id="rId17" Type="http://schemas.openxmlformats.org/officeDocument/2006/relationships/hyperlink" Target="https://www.sec.gov/Archives/edgar/data/1286139/000128613925000044/ex106formofglobalpsugrantn.htm" TargetMode="External"/><Relationship Id="rId18" Type="http://schemas.openxmlformats.org/officeDocument/2006/relationships/hyperlink" Target="https://www.sec.gov/Archives/edgar/data/1286139/000128613925000044/ex106formofglobalpsugrantn.htm" TargetMode="External"/><Relationship Id="rId19" Type="http://schemas.openxmlformats.org/officeDocument/2006/relationships/hyperlink" Target="https://www.sec.gov/Archives/edgar/data/1286139/000128613925000044/ex106formofglobalpsugrantn.htm" TargetMode="External"/><Relationship Id="rId20" Type="http://schemas.openxmlformats.org/officeDocument/2006/relationships/hyperlink" Target="https://www.sec.gov/Archives/edgar/data/1286139/000128613925000044/ex106formofglobalpsugrantn.htm" TargetMode="External"/><Relationship Id="rId21" Type="http://schemas.openxmlformats.org/officeDocument/2006/relationships/hyperlink" Target="https://www.sec.gov/Archives/edgar/data/1286139/000128613925000044/ex106formofglobalpsugrantn.htm" TargetMode="External"/><Relationship Id="rId22" Type="http://schemas.openxmlformats.org/officeDocument/2006/relationships/hyperlink" Target="https://www.sec.gov/Archives/edgar/data/0001286139/000119312521182939/d146270dex104.htm" TargetMode="External"/><Relationship Id="rId23" Type="http://schemas.openxmlformats.org/officeDocument/2006/relationships/hyperlink" Target="https://www.sec.gov/Archives/edgar/data/1286139/000119312524176824/d843790dex101.htm" TargetMode="External"/><Relationship Id="rId24" Type="http://schemas.openxmlformats.org/officeDocument/2006/relationships/hyperlink" Target="https://www.sec.gov/Archives/edgar/data/0001286139/000119312521194089/d146270dex107.htm" TargetMode="External"/><Relationship Id="rId25" Type="http://schemas.openxmlformats.org/officeDocument/2006/relationships/hyperlink" Target="https://www.sec.gov/Archives/edgar/data/1286139/000128613922000048/ex109lzwatsonamendment-03x.htm" TargetMode="External"/><Relationship Id="rId26" Type="http://schemas.openxmlformats.org/officeDocument/2006/relationships/hyperlink" Target="https://www.sec.gov/Archives/edgar/data/1286139/000128613923000036/ex1015-ipoemploymentagreem.htm" TargetMode="External"/><Relationship Id="rId27" Type="http://schemas.openxmlformats.org/officeDocument/2006/relationships/hyperlink" Target="https://www.sec.gov/Archives/edgar/data/1286139/000128613925000044/ex1017amendmenttonmillerem.htm" TargetMode="External"/><Relationship Id="rId28" Type="http://schemas.openxmlformats.org/officeDocument/2006/relationships/hyperlink" Target="https://www.sec.gov/Archives/edgar/data/1286139/000128613925000044/ex1017amendmenttonmillerem.htm" TargetMode="External"/><Relationship Id="rId29" Type="http://schemas.openxmlformats.org/officeDocument/2006/relationships/hyperlink" Target="https://www.sec.gov/Archives/edgar/data/1286139/000128613925000044/ex1017amendmenttonmillerem.htm" TargetMode="External"/><Relationship Id="rId30" Type="http://schemas.openxmlformats.org/officeDocument/2006/relationships/hyperlink" Target="https://www.sec.gov/Archives/edgar/data/1286139/000128613922000139/ex-101nonxemployeedirector.htm" TargetMode="External"/><Relationship Id="rId31" Type="http://schemas.openxmlformats.org/officeDocument/2006/relationships/hyperlink" Target="https://www.sec.gov/Archives/edgar/data/0001286139/000119312521194089/d146270dex1016.htm" TargetMode="External"/><Relationship Id="rId32" Type="http://schemas.openxmlformats.org/officeDocument/2006/relationships/hyperlink" Target="https://www.sec.gov/Archives/edgar/data/1286139/000128613921000013/ex-101lzamendedandrestated.htm" TargetMode="External"/><Relationship Id="rId33" Type="http://schemas.openxmlformats.org/officeDocument/2006/relationships/hyperlink" Target="https://www.sec.gov/Archives/edgar/data/1286139/000128613921000013/ex-101lzamendedandrestated.htm" TargetMode="External"/><Relationship Id="rId34" Type="http://schemas.openxmlformats.org/officeDocument/2006/relationships/hyperlink" Target="https://www.sec.gov/Archives/edgar/data/1286139/000128613923000078/ex-101amendmentno1tothe2.htm" TargetMode="External"/><Relationship Id="rId35" Type="http://schemas.openxmlformats.org/officeDocument/2006/relationships/hyperlink" Target="https://www.sec.gov/Archives/edgar/data/1286139/000162828025035220/ex101rcfamendment.htm" TargetMode="External"/><Relationship Id="rId36" Type="http://schemas.openxmlformats.org/officeDocument/2006/relationships/hyperlink" Target="https://www.sec.gov/Archives/edgar/data/1286139/000162828025035220/ex101rcfamendment.htm" TargetMode="External"/><Relationship Id="rId37" Type="http://schemas.openxmlformats.org/officeDocument/2006/relationships/hyperlink" Target="https://www.sec.gov/Archives/edgar/data/1286139/000162828025035220/ex101rcfamendment.htm" TargetMode="External"/><Relationship Id="rId38" Type="http://schemas.openxmlformats.org/officeDocument/2006/relationships/hyperlink" Target="https://www.sec.gov/Archives/edgar/data/1286139/000162828025035220/ex101rcfamendment.htm" TargetMode="External"/><Relationship Id="rId39" Type="http://schemas.openxmlformats.org/officeDocument/2006/relationships/hyperlink" Target="https://www.sec.gov/Archives/edgar/data/1286139/000128613924000031/ex-971lzx2023123110xk.htm" TargetMode="External"/><Relationship Id="rId40" Type="http://schemas.openxmlformats.org/officeDocument/2006/relationships/image" Target="media/image2.png"/><Relationship Id="rId41" Type="http://schemas.openxmlformats.org/officeDocument/2006/relationships/image" Target="media/image3.png"/><Relationship Id="rId42" Type="http://schemas.openxmlformats.org/officeDocument/2006/relationships/image" Target="media/image3.png"/><Relationship Id="rId43" Type="http://schemas.openxmlformats.org/officeDocument/2006/relationships/image" Target="media/image3.png"/><Relationship Id="rId44" Type="http://schemas.openxmlformats.org/officeDocument/2006/relationships/image" Target="media/image3.png"/><Relationship Id="rId45" Type="http://schemas.openxmlformats.org/officeDocument/2006/relationships/image" Target="media/image3.png"/><Relationship Id="rId46" Type="http://schemas.openxmlformats.org/officeDocument/2006/relationships/image" Target="media/image3.png"/><Relationship Id="rId47" Type="http://schemas.openxmlformats.org/officeDocument/2006/relationships/image" Target="media/image3.png"/><Relationship Id="rId48" Type="http://schemas.openxmlformats.org/officeDocument/2006/relationships/image" Target="media/image3.png"/><Relationship Id="rId49" Type="http://schemas.openxmlformats.org/officeDocument/2006/relationships/image" Target="media/image3.png"/><Relationship Id="rId50" Type="http://schemas.openxmlformats.org/officeDocument/2006/relationships/image" Target="media/image3.png"/><Relationship Id="rId51" Type="http://schemas.openxmlformats.org/officeDocument/2006/relationships/image" Target="media/image3.png"/><Relationship Id="rId52" Type="http://schemas.openxmlformats.org/officeDocument/2006/relationships/image" Target="media/image3.png"/><Relationship Id="rId53" Type="http://schemas.openxmlformats.org/officeDocument/2006/relationships/image" Target="media/image3.png"/><Relationship Id="rId54" Type="http://schemas.openxmlformats.org/officeDocument/2006/relationships/image" Target="media/image3.png"/><Relationship Id="rId55" Type="http://schemas.openxmlformats.org/officeDocument/2006/relationships/image" Target="media/image3.png"/><Relationship Id="rId56" Type="http://schemas.openxmlformats.org/officeDocument/2006/relationships/image" Target="media/image3.png"/><Relationship Id="rId57" Type="http://schemas.openxmlformats.org/officeDocument/2006/relationships/image" Target="media/image3.png"/><Relationship Id="rId58" Type="http://schemas.openxmlformats.org/officeDocument/2006/relationships/image" Target="media/image3.png"/><Relationship Id="rId59" Type="http://schemas.openxmlformats.org/officeDocument/2006/relationships/image" Target="media/image3.png"/><Relationship Id="rId60" Type="http://schemas.openxmlformats.org/officeDocument/2006/relationships/image" Target="media/image3.png"/><Relationship Id="rId61" Type="http://schemas.openxmlformats.org/officeDocument/2006/relationships/image" Target="media/image3.png"/><Relationship Id="rId62" Type="http://schemas.openxmlformats.org/officeDocument/2006/relationships/image" Target="media/image3.png"/><Relationship Id="rId63" Type="http://schemas.openxmlformats.org/officeDocument/2006/relationships/fontTable" Target="fontTable.xml"/><Relationship Id="rId6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71258</Words>
  <Characters>398619</Characters>
  <CharactersWithSpaces>467510</CharactersWithSpaces>
  <Paragraphs>4408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