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0519711.xml.htm"/>
      <w:bookmarkStart w:id="1" w:name="kswkform4_1780519711"/>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Gooden Nathan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954 VILLA STREET</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MOUNTAIN VIEW</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94041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LEGALZOOM.COM, INC.</w:t>
              </w:r>
            </w:hyperlink>
            <w:r>
              <w:rPr/>
              <w:t xml:space="preserve"> [ </w:t>
            </w:r>
            <w:r>
              <w:rPr>
                <w:rFonts w:ascii="Times;serif" w:hAnsi="Times;serif"/>
                <w:color w:val="0000FF"/>
                <w:sz w:val="24"/>
                <w:shd w:fill="FFFFFF" w:val="clear"/>
              </w:rPr>
              <w:t>LZ</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06/03/2026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32"/>
        <w:gridCol w:w="901"/>
        <w:gridCol w:w="771"/>
        <w:gridCol w:w="599"/>
        <w:gridCol w:w="350"/>
        <w:gridCol w:w="976"/>
        <w:gridCol w:w="459"/>
        <w:gridCol w:w="621"/>
        <w:gridCol w:w="1170"/>
        <w:gridCol w:w="1003"/>
        <w:gridCol w:w="923"/>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32"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5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3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7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3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06/03/2026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5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7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35,585</w:t>
            </w:r>
            <w:r>
              <w:rPr>
                <w:rFonts w:ascii="Times;serif" w:hAnsi="Times;serif"/>
                <w:color w:val="008000"/>
                <w:position w:val="7"/>
                <w:sz w:val="16"/>
                <w:sz w:val="20"/>
                <w:shd w:fill="FFFFFF" w:val="clear"/>
              </w:rPr>
              <w:t>(1)</w:t>
            </w:r>
            <w:r>
              <w:rPr/>
              <w:t xml:space="preserve"> </w:t>
            </w:r>
          </w:p>
        </w:tc>
        <w:tc>
          <w:tcPr>
            <w:tcW w:w="45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2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17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112,736</w:t>
            </w:r>
          </w:p>
        </w:tc>
        <w:tc>
          <w:tcPr>
            <w:tcW w:w="10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restricted stock units ("RSUs") that vest in a single installment on the earlier to occur of (a) the close of business on the day before the Issuer's next annual meeting of stockholders and (b) the one-year anniversary of the grant date, subject to the Reporting Person's continuing service to the Issuer. The RSUs are payable in an equivalent number of shares of the Issuer's common stock.</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Michelle Sparks, Attorney-in- Fact for Nathan Gooden</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06/03/2026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950202" TargetMode="External"/><Relationship Id="rId5" Type="http://schemas.openxmlformats.org/officeDocument/2006/relationships/hyperlink" Target="http://www.sec.gov/cgi-bin/browse-edgar?action=getcompany&amp;CIK=0001286139"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627</Words>
  <Characters>3385</Characters>
  <CharactersWithSpaces>3953</CharactersWithSpaces>
  <Paragraphs>95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