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9728.xml.htm"/>
      <w:bookmarkStart w:id="1" w:name="kswkform4_17805197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Whiteley Sivan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954 VILLA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MOUNTAIN VIEW</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LEGALZOOM.COM, INC.</w:t>
              </w:r>
            </w:hyperlink>
            <w:r>
              <w:rPr/>
              <w:t xml:space="preserve"> [ </w:t>
            </w:r>
            <w:r>
              <w:rPr>
                <w:rFonts w:ascii="Times;serif" w:hAnsi="Times;serif"/>
                <w:color w:val="0000FF"/>
                <w:sz w:val="24"/>
                <w:shd w:fill="FFFFFF" w:val="clear"/>
              </w:rPr>
              <w:t>LZ</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35,585</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131,965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vest in a single installment on the earlier to occur of (a) the close of business on the day before the Issuer's next annual meeting of stockholders and (b) the one-year anniversary of the grant date, subject to the Reporting Person's continuing service to the Issuer. The RSUs are payable in an equivalent number of shares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Michelle Sparks, Attorney-in-Fact for Sivan Whiteley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5067" TargetMode="External"/><Relationship Id="rId5" Type="http://schemas.openxmlformats.org/officeDocument/2006/relationships/hyperlink" Target="http://www.sec.gov/cgi-bin/browse-edgar?action=getcompany&amp;CIK=00012861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3390</Characters>
  <CharactersWithSpaces>3958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