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27"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___________________________________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10-Q</w:t>
      </w:r>
    </w:p>
    <w:p>
      <w:pPr>
        <w:spacing w:after="0" w:line="125"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(Mark One)</w:t>
      </w:r>
    </w:p>
    <w:p>
      <w:pPr>
        <w:spacing w:after="0" w:line="138"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5" w:lineRule="exact"/>
        <w:rPr>
          <w:sz w:val="24"/>
          <w:szCs w:val="24"/>
          <w:color w:val="auto"/>
        </w:rPr>
      </w:pPr>
    </w:p>
    <w:p>
      <w:pPr>
        <w:ind w:left="100"/>
        <w:spacing w:after="0" w:line="151" w:lineRule="exact"/>
        <w:rPr>
          <w:sz w:val="20"/>
          <w:szCs w:val="20"/>
          <w:color w:val="auto"/>
        </w:rPr>
      </w:pPr>
      <w:r>
        <w:rPr>
          <w:rFonts w:ascii="MS PGothic" w:cs="MS PGothic" w:eastAsia="MS PGothic" w:hAnsi="MS PGothic"/>
          <w:sz w:val="15"/>
          <w:szCs w:val="15"/>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three months ended March 31, 2024</w:t>
      </w:r>
    </w:p>
    <w:p>
      <w:pPr>
        <w:spacing w:after="0" w:line="57" w:lineRule="exact"/>
        <w:rPr>
          <w:sz w:val="24"/>
          <w:szCs w:val="24"/>
          <w:color w:val="auto"/>
        </w:rPr>
      </w:pPr>
    </w:p>
    <w:p>
      <w:pPr>
        <w:ind w:left="3900"/>
        <w:spacing w:after="0"/>
        <w:rPr>
          <w:sz w:val="20"/>
          <w:szCs w:val="20"/>
          <w:color w:val="auto"/>
        </w:rPr>
      </w:pPr>
      <w:r>
        <w:rPr>
          <w:rFonts w:ascii="Arial" w:cs="Arial" w:eastAsia="Arial" w:hAnsi="Arial"/>
          <w:sz w:val="15"/>
          <w:szCs w:val="15"/>
          <w:b w:val="1"/>
          <w:bCs w:val="1"/>
          <w:color w:val="auto"/>
        </w:rPr>
        <w:t>OR</w:t>
      </w:r>
    </w:p>
    <w:p>
      <w:pPr>
        <w:spacing w:after="0" w:line="179"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 the transition period from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001-35618</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LegalZoom.com, Inc.</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73"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___________________________________</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4200" w:type="dxa"/>
            <w:vAlign w:val="bottom"/>
          </w:tcPr>
          <w:p>
            <w:pPr>
              <w:ind w:left="2460"/>
              <w:spacing w:after="0"/>
              <w:rPr>
                <w:sz w:val="20"/>
                <w:szCs w:val="20"/>
                <w:color w:val="auto"/>
              </w:rPr>
            </w:pPr>
            <w:r>
              <w:rPr>
                <w:rFonts w:ascii="Arial" w:cs="Arial" w:eastAsia="Arial" w:hAnsi="Arial"/>
                <w:sz w:val="15"/>
                <w:szCs w:val="15"/>
                <w:b w:val="1"/>
                <w:bCs w:val="1"/>
                <w:color w:val="auto"/>
              </w:rPr>
              <w:t>Delaware</w:t>
            </w:r>
          </w:p>
        </w:tc>
        <w:tc>
          <w:tcPr>
            <w:tcW w:w="5380" w:type="dxa"/>
            <w:vAlign w:val="bottom"/>
            <w:vMerge w:val="restart"/>
          </w:tcPr>
          <w:p>
            <w:pPr>
              <w:jc w:val="right"/>
              <w:ind w:right="684"/>
              <w:spacing w:after="0"/>
              <w:rPr>
                <w:sz w:val="20"/>
                <w:szCs w:val="20"/>
                <w:color w:val="auto"/>
              </w:rPr>
            </w:pPr>
            <w:r>
              <w:rPr>
                <w:rFonts w:ascii="Arial" w:cs="Arial" w:eastAsia="Arial" w:hAnsi="Arial"/>
                <w:sz w:val="15"/>
                <w:szCs w:val="15"/>
                <w:b w:val="1"/>
                <w:bCs w:val="1"/>
                <w:color w:val="auto"/>
              </w:rPr>
              <w:t>95-4752856</w:t>
            </w:r>
          </w:p>
        </w:tc>
        <w:tc>
          <w:tcPr>
            <w:tcW w:w="0" w:type="dxa"/>
            <w:vAlign w:val="bottom"/>
          </w:tcPr>
          <w:p>
            <w:pPr>
              <w:spacing w:after="0"/>
              <w:rPr>
                <w:sz w:val="1"/>
                <w:szCs w:val="1"/>
                <w:color w:val="auto"/>
              </w:rPr>
            </w:pPr>
          </w:p>
        </w:tc>
      </w:tr>
      <w:tr>
        <w:trPr>
          <w:trHeight w:val="56"/>
        </w:trPr>
        <w:tc>
          <w:tcPr>
            <w:tcW w:w="4200" w:type="dxa"/>
            <w:vAlign w:val="bottom"/>
          </w:tcPr>
          <w:p>
            <w:pPr>
              <w:spacing w:after="0"/>
              <w:rPr>
                <w:sz w:val="4"/>
                <w:szCs w:val="4"/>
                <w:color w:val="auto"/>
              </w:rPr>
            </w:pPr>
          </w:p>
        </w:tc>
        <w:tc>
          <w:tcPr>
            <w:tcW w:w="5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0"/>
                <w:szCs w:val="20"/>
                <w:color w:val="auto"/>
              </w:rPr>
            </w:pPr>
            <w:r>
              <w:rPr>
                <w:rFonts w:ascii="Arial" w:cs="Arial" w:eastAsia="Arial" w:hAnsi="Arial"/>
                <w:sz w:val="15"/>
                <w:szCs w:val="15"/>
                <w:color w:val="auto"/>
              </w:rPr>
              <w:t>(State or other jurisdiction of incorporation or organization)</w:t>
            </w:r>
          </w:p>
        </w:tc>
        <w:tc>
          <w:tcPr>
            <w:tcW w:w="5380" w:type="dxa"/>
            <w:vAlign w:val="bottom"/>
          </w:tcPr>
          <w:p>
            <w:pPr>
              <w:jc w:val="center"/>
              <w:ind w:left="2964"/>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303"/>
        </w:trPr>
        <w:tc>
          <w:tcPr>
            <w:tcW w:w="4200" w:type="dxa"/>
            <w:vAlign w:val="bottom"/>
          </w:tcPr>
          <w:p>
            <w:pPr>
              <w:spacing w:after="0"/>
              <w:rPr>
                <w:sz w:val="24"/>
                <w:szCs w:val="24"/>
                <w:color w:val="auto"/>
              </w:rPr>
            </w:pPr>
          </w:p>
        </w:tc>
        <w:tc>
          <w:tcPr>
            <w:tcW w:w="5380" w:type="dxa"/>
            <w:vAlign w:val="bottom"/>
          </w:tcPr>
          <w:p>
            <w:pPr>
              <w:jc w:val="center"/>
              <w:ind w:right="2504"/>
              <w:spacing w:after="0"/>
              <w:rPr>
                <w:sz w:val="20"/>
                <w:szCs w:val="20"/>
                <w:color w:val="auto"/>
              </w:rPr>
            </w:pPr>
            <w:r>
              <w:rPr>
                <w:rFonts w:ascii="Arial" w:cs="Arial" w:eastAsia="Arial" w:hAnsi="Arial"/>
                <w:sz w:val="15"/>
                <w:szCs w:val="15"/>
                <w:b w:val="1"/>
                <w:bCs w:val="1"/>
                <w:color w:val="auto"/>
              </w:rPr>
              <w:t>954 Villa Street,</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5380" w:type="dxa"/>
            <w:vAlign w:val="bottom"/>
          </w:tcPr>
          <w:p>
            <w:pPr>
              <w:jc w:val="center"/>
              <w:ind w:right="2504"/>
              <w:spacing w:after="0"/>
              <w:rPr>
                <w:sz w:val="20"/>
                <w:szCs w:val="20"/>
                <w:color w:val="auto"/>
              </w:rPr>
            </w:pPr>
            <w:r>
              <w:rPr>
                <w:rFonts w:ascii="Arial" w:cs="Arial" w:eastAsia="Arial" w:hAnsi="Arial"/>
                <w:sz w:val="15"/>
                <w:szCs w:val="15"/>
                <w:b w:val="1"/>
                <w:bCs w:val="1"/>
                <w:color w:val="auto"/>
              </w:rPr>
              <w:t>Mountain View, California 94041</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(323) 962-8600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101 North Brand Boulevard, 11</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Floor</w:t>
      </w:r>
      <w:r>
        <w:rPr>
          <w:rFonts w:ascii="Arial" w:cs="Arial" w:eastAsia="Arial" w:hAnsi="Arial"/>
          <w:sz w:val="16"/>
          <w:szCs w:val="16"/>
          <w:b w:val="1"/>
          <w:bCs w:val="1"/>
          <w:color w:val="auto"/>
        </w:rPr>
        <w:t>,</w:t>
      </w:r>
      <w:r>
        <w:rPr>
          <w:rFonts w:ascii="Arial" w:cs="Arial" w:eastAsia="Arial" w:hAnsi="Arial"/>
          <w:sz w:val="15"/>
          <w:szCs w:val="15"/>
          <w:b w:val="1"/>
          <w:bCs w:val="1"/>
          <w:color w:val="auto"/>
        </w:rPr>
        <w:t xml:space="preserve"> Glendale</w:t>
      </w:r>
      <w:r>
        <w:rPr>
          <w:rFonts w:ascii="Arial" w:cs="Arial" w:eastAsia="Arial" w:hAnsi="Arial"/>
          <w:sz w:val="16"/>
          <w:szCs w:val="16"/>
          <w:b w:val="1"/>
          <w:bCs w:val="1"/>
          <w:color w:val="auto"/>
        </w:rPr>
        <w:t>,</w:t>
      </w:r>
      <w:r>
        <w:rPr>
          <w:rFonts w:ascii="Arial" w:cs="Arial" w:eastAsia="Arial" w:hAnsi="Arial"/>
          <w:sz w:val="15"/>
          <w:szCs w:val="15"/>
          <w:b w:val="1"/>
          <w:bCs w:val="1"/>
          <w:color w:val="auto"/>
        </w:rPr>
        <w:t xml:space="preserve"> California 91203</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44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46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300"/>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Title of each class</w:t>
            </w:r>
          </w:p>
        </w:tc>
        <w:tc>
          <w:tcPr>
            <w:tcW w:w="24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Name of each exchange on which registered</w:t>
            </w:r>
          </w:p>
        </w:tc>
      </w:tr>
      <w:tr>
        <w:trPr>
          <w:trHeight w:val="197"/>
        </w:trPr>
        <w:tc>
          <w:tcPr>
            <w:tcW w:w="4440" w:type="dxa"/>
            <w:vAlign w:val="bottom"/>
          </w:tcPr>
          <w:p>
            <w:pPr>
              <w:jc w:val="center"/>
              <w:spacing w:after="0"/>
              <w:rPr>
                <w:sz w:val="20"/>
                <w:szCs w:val="20"/>
                <w:color w:val="auto"/>
              </w:rPr>
            </w:pPr>
            <w:r>
              <w:rPr>
                <w:rFonts w:ascii="Arial" w:cs="Arial" w:eastAsia="Arial" w:hAnsi="Arial"/>
                <w:sz w:val="15"/>
                <w:szCs w:val="15"/>
                <w:color w:val="auto"/>
              </w:rPr>
              <w:t>Common Stock, par value $0.001 per share</w:t>
            </w:r>
          </w:p>
        </w:tc>
        <w:tc>
          <w:tcPr>
            <w:tcW w:w="2460" w:type="dxa"/>
            <w:vAlign w:val="bottom"/>
          </w:tcPr>
          <w:p>
            <w:pPr>
              <w:jc w:val="center"/>
              <w:ind w:right="4"/>
              <w:spacing w:after="0"/>
              <w:rPr>
                <w:sz w:val="20"/>
                <w:szCs w:val="20"/>
                <w:color w:val="auto"/>
              </w:rPr>
            </w:pPr>
            <w:r>
              <w:rPr>
                <w:rFonts w:ascii="Arial" w:cs="Arial" w:eastAsia="Arial" w:hAnsi="Arial"/>
                <w:sz w:val="15"/>
                <w:szCs w:val="15"/>
                <w:color w:val="auto"/>
              </w:rPr>
              <w:t>LZ</w:t>
            </w:r>
          </w:p>
        </w:tc>
        <w:tc>
          <w:tcPr>
            <w:tcW w:w="4340" w:type="dxa"/>
            <w:vAlign w:val="bottom"/>
          </w:tcPr>
          <w:p>
            <w:pPr>
              <w:jc w:val="center"/>
              <w:spacing w:after="0"/>
              <w:rPr>
                <w:sz w:val="20"/>
                <w:szCs w:val="20"/>
                <w:color w:val="auto"/>
              </w:rPr>
            </w:pPr>
            <w:r>
              <w:rPr>
                <w:rFonts w:ascii="Arial" w:cs="Arial" w:eastAsia="Arial" w:hAnsi="Arial"/>
                <w:sz w:val="15"/>
                <w:szCs w:val="15"/>
                <w:color w:val="auto"/>
              </w:rPr>
              <w:t>The Nasdaq Global Select Market</w:t>
            </w:r>
          </w:p>
        </w:tc>
      </w:tr>
    </w:tbl>
    <w:p>
      <w:pPr>
        <w:spacing w:after="0" w:line="187" w:lineRule="exact"/>
        <w:rPr>
          <w:sz w:val="24"/>
          <w:szCs w:val="24"/>
          <w:color w:val="auto"/>
        </w:rPr>
      </w:pPr>
    </w:p>
    <w:p>
      <w:pPr>
        <w:ind w:right="10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13" w:lineRule="exact"/>
        <w:rPr>
          <w:sz w:val="24"/>
          <w:szCs w:val="24"/>
          <w:color w:val="auto"/>
        </w:rPr>
      </w:pPr>
    </w:p>
    <w:p>
      <w:pPr>
        <w:spacing w:after="0" w:line="173" w:lineRule="exact"/>
        <w:tabs>
          <w:tab w:leader="none" w:pos="1004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2360" w:type="dxa"/>
            <w:vAlign w:val="bottom"/>
          </w:tcPr>
          <w:p>
            <w:pPr>
              <w:ind w:left="20"/>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820"/>
              <w:spacing w:after="0" w:line="151" w:lineRule="exact"/>
              <w:rPr>
                <w:sz w:val="20"/>
                <w:szCs w:val="20"/>
                <w:color w:val="auto"/>
              </w:rPr>
            </w:pPr>
            <w:r>
              <w:rPr>
                <w:rFonts w:ascii="MS PGothic" w:cs="MS PGothic" w:eastAsia="MS PGothic" w:hAnsi="MS PGothic"/>
                <w:sz w:val="15"/>
                <w:szCs w:val="15"/>
                <w:color w:val="auto"/>
              </w:rPr>
              <w:t>☒</w:t>
            </w:r>
          </w:p>
        </w:tc>
        <w:tc>
          <w:tcPr>
            <w:tcW w:w="464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256"/>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820"/>
              <w:spacing w:after="0"/>
              <w:rPr>
                <w:sz w:val="20"/>
                <w:szCs w:val="20"/>
                <w:color w:val="auto"/>
              </w:rPr>
            </w:pPr>
            <w:r>
              <w:rPr>
                <w:rFonts w:ascii="Arial" w:cs="Arial" w:eastAsia="Arial" w:hAnsi="Arial"/>
                <w:sz w:val="15"/>
                <w:szCs w:val="15"/>
                <w:color w:val="auto"/>
              </w:rPr>
              <w:t>o</w:t>
            </w:r>
          </w:p>
        </w:tc>
        <w:tc>
          <w:tcPr>
            <w:tcW w:w="464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r>
        <w:trPr>
          <w:trHeight w:val="311"/>
        </w:trPr>
        <w:tc>
          <w:tcPr>
            <w:tcW w:w="2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40" w:type="dxa"/>
            <w:vAlign w:val="bottom"/>
          </w:tcPr>
          <w:p>
            <w:pPr>
              <w:ind w:left="2180"/>
              <w:spacing w:after="0"/>
              <w:rPr>
                <w:sz w:val="20"/>
                <w:szCs w:val="20"/>
                <w:color w:val="auto"/>
              </w:rPr>
            </w:pPr>
            <w:r>
              <w:rPr>
                <w:rFonts w:ascii="Arial" w:cs="Arial" w:eastAsia="Arial" w:hAnsi="Arial"/>
                <w:sz w:val="15"/>
                <w:szCs w:val="15"/>
                <w:color w:val="auto"/>
              </w:rPr>
              <w:t>Emerging growth company</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bl>
    <w:p>
      <w:pPr>
        <w:spacing w:after="0" w:line="191"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jc w:val="both"/>
        <w:ind w:right="2460"/>
        <w:spacing w:after="0" w:line="25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 2024, the registrant had outstanding 188,195,829 shares of common stock, $0.001 par value per share, outstanding</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7" w:lineRule="exact"/>
        <w:rPr>
          <w:sz w:val="24"/>
          <w:szCs w:val="24"/>
          <w:color w:val="auto"/>
        </w:rPr>
      </w:pPr>
    </w:p>
    <w:p>
      <w:pPr>
        <w:ind w:right="20" w:firstLine="405"/>
        <w:spacing w:after="0" w:line="257"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84" w:lineRule="exact"/>
        <w:rPr>
          <w:sz w:val="24"/>
          <w:szCs w:val="24"/>
          <w:color w:val="auto"/>
        </w:rPr>
      </w:pPr>
    </w:p>
    <w:p>
      <w:pPr>
        <w:ind w:right="140" w:firstLine="405"/>
        <w:spacing w:after="0" w:line="265"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w:t>
      </w:r>
    </w:p>
    <w:p>
      <w:pPr>
        <w:sectPr>
          <w:pgSz w:w="11900" w:h="16920" w:orient="portrait"/>
          <w:cols w:equalWidth="0" w:num="1">
            <w:col w:w="11240"/>
          </w:cols>
          <w:pgMar w:left="320" w:top="233" w:right="339" w:bottom="0" w:gutter="0" w:footer="0" w:header="0"/>
        </w:sectPr>
      </w:pPr>
    </w:p>
    <w:bookmarkStart w:id="1" w:name="page2"/>
    <w:bookmarkEnd w:id="1"/>
    <w:p>
      <w:pPr>
        <w:ind w:right="20"/>
        <w:spacing w:after="0" w:line="261" w:lineRule="auto"/>
        <w:rPr>
          <w:sz w:val="20"/>
          <w:szCs w:val="20"/>
          <w:color w:val="auto"/>
        </w:rPr>
      </w:pPr>
      <w:r>
        <w:rPr>
          <w:rFonts w:ascii="Arial" w:cs="Arial" w:eastAsia="Arial" w:hAnsi="Arial"/>
          <w:sz w:val="16"/>
          <w:szCs w:val="16"/>
          <w:color w:val="auto"/>
        </w:rPr>
        <w:t>statements, including but not limited to those factors discussed below under “Summary of Risk Factors” and in Part II, Item 1A, “Risk Factors” and elsewhere in this Quarterly Report on Form 10-Q, as well as those factors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8"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business involves significant risks and you are urged to carefully consider the risks discussed under Part II, Item 1A, “Risk Factors”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prior to making an investment in us. These risks include, but are not limited to, the following:</w:t>
      </w:r>
    </w:p>
    <w:p>
      <w:pPr>
        <w:spacing w:after="0" w:line="97" w:lineRule="exact"/>
        <w:rPr>
          <w:sz w:val="20"/>
          <w:szCs w:val="20"/>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w:t>
      </w:r>
    </w:p>
    <w:p>
      <w:pPr>
        <w:spacing w:after="0" w:line="113" w:lineRule="exact"/>
        <w:rPr>
          <w:rFonts w:ascii="Arial" w:cs="Arial" w:eastAsia="Arial" w:hAnsi="Arial"/>
          <w:sz w:val="16"/>
          <w:szCs w:val="16"/>
          <w:color w:val="auto"/>
        </w:rPr>
      </w:pPr>
    </w:p>
    <w:p>
      <w:pPr>
        <w:ind w:left="820" w:right="280" w:hanging="326"/>
        <w:spacing w:after="0" w:line="268" w:lineRule="auto"/>
        <w:tabs>
          <w:tab w:leader="none" w:pos="796"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depends substantially on our customers expanding their use of our platform, including converting our transactional customers to subscribers and our subscribers renewing their subscriptions with us.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99" w:lineRule="exact"/>
        <w:rPr>
          <w:rFonts w:ascii="Arial" w:cs="Arial" w:eastAsia="Arial" w:hAnsi="Arial"/>
          <w:sz w:val="16"/>
          <w:szCs w:val="16"/>
          <w:color w:val="auto"/>
        </w:rPr>
      </w:pPr>
    </w:p>
    <w:p>
      <w:pPr>
        <w:ind w:left="820" w:right="440" w:hanging="326"/>
        <w:spacing w:after="0" w:line="286" w:lineRule="auto"/>
        <w:tabs>
          <w:tab w:leader="none" w:pos="796"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future quarterly results of operations may fluctuate significantly due to a wide range of factors, which makes our future results difficult to predict.</w:t>
      </w:r>
    </w:p>
    <w:p>
      <w:pPr>
        <w:spacing w:after="0" w:line="47" w:lineRule="exact"/>
        <w:rPr>
          <w:rFonts w:ascii="Arial" w:cs="Arial" w:eastAsia="Arial" w:hAnsi="Arial"/>
          <w:sz w:val="16"/>
          <w:szCs w:val="16"/>
          <w:color w:val="auto"/>
        </w:rPr>
      </w:pPr>
    </w:p>
    <w:p>
      <w:pPr>
        <w:ind w:left="800" w:hanging="30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113" w:lineRule="exact"/>
        <w:rPr>
          <w:rFonts w:ascii="Arial" w:cs="Arial" w:eastAsia="Arial" w:hAnsi="Arial"/>
          <w:sz w:val="16"/>
          <w:szCs w:val="16"/>
          <w:color w:val="auto"/>
        </w:rPr>
      </w:pPr>
    </w:p>
    <w:p>
      <w:pPr>
        <w:ind w:left="820" w:hanging="326"/>
        <w:spacing w:after="0" w:line="304" w:lineRule="auto"/>
        <w:tabs>
          <w:tab w:leader="none" w:pos="796"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fail to provide high-quality products and services, customer care and customer experience and add new products and services that meet our customers’ expectations, we may not be able to attract and retain customers.</w:t>
      </w:r>
    </w:p>
    <w:p>
      <w:pPr>
        <w:spacing w:after="0" w:line="33" w:lineRule="exact"/>
        <w:rPr>
          <w:rFonts w:ascii="Arial" w:cs="Arial" w:eastAsia="Arial" w:hAnsi="Arial"/>
          <w:sz w:val="16"/>
          <w:szCs w:val="16"/>
          <w:color w:val="auto"/>
        </w:rPr>
      </w:pPr>
    </w:p>
    <w:p>
      <w:pPr>
        <w:ind w:left="820" w:right="560" w:hanging="326"/>
        <w:spacing w:after="0" w:line="304" w:lineRule="auto"/>
        <w:tabs>
          <w:tab w:leader="none" w:pos="796"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20" w:right="460" w:hanging="326"/>
        <w:spacing w:after="0" w:line="286" w:lineRule="auto"/>
        <w:tabs>
          <w:tab w:leader="none" w:pos="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effectively compete successfully could materially and adversely affect our business, results of operations, financial condition and future prospects.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incorporating generative artificial intelligence into some of our products, which may present compliance risks and reputational risks.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our marketing efforts are unsuccessful, our business, results of operations, financial condition and future prospects may be adversely affected.</w:t>
      </w:r>
    </w:p>
    <w:p>
      <w:pPr>
        <w:spacing w:after="0" w:line="113" w:lineRule="exact"/>
        <w:rPr>
          <w:rFonts w:ascii="Arial" w:cs="Arial" w:eastAsia="Arial" w:hAnsi="Arial"/>
          <w:sz w:val="16"/>
          <w:szCs w:val="16"/>
          <w:color w:val="auto"/>
        </w:rPr>
      </w:pPr>
    </w:p>
    <w:p>
      <w:pPr>
        <w:jc w:val="both"/>
        <w:ind w:left="820" w:right="480" w:hanging="326"/>
        <w:spacing w:after="0" w:line="286" w:lineRule="auto"/>
        <w:tabs>
          <w:tab w:leader="none" w:pos="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61" w:lineRule="exact"/>
        <w:rPr>
          <w:rFonts w:ascii="Arial" w:cs="Arial" w:eastAsia="Arial" w:hAnsi="Arial"/>
          <w:sz w:val="16"/>
          <w:szCs w:val="16"/>
          <w:color w:val="auto"/>
        </w:rPr>
      </w:pPr>
    </w:p>
    <w:p>
      <w:pPr>
        <w:ind w:left="820" w:hanging="326"/>
        <w:spacing w:after="0" w:line="286" w:lineRule="auto"/>
        <w:tabs>
          <w:tab w:leader="none" w:pos="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may be harmed if we fail to maintain or expand these relationships.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 party providers could adversely affect our business.</w:t>
      </w:r>
    </w:p>
    <w:p>
      <w:pPr>
        <w:spacing w:after="0" w:line="113" w:lineRule="exact"/>
        <w:rPr>
          <w:rFonts w:ascii="Arial" w:cs="Arial" w:eastAsia="Arial" w:hAnsi="Arial"/>
          <w:sz w:val="16"/>
          <w:szCs w:val="16"/>
          <w:color w:val="auto"/>
        </w:rPr>
      </w:pPr>
    </w:p>
    <w:p>
      <w:pPr>
        <w:ind w:left="820" w:right="340" w:hanging="326"/>
        <w:spacing w:after="0" w:line="286" w:lineRule="auto"/>
        <w:tabs>
          <w:tab w:leader="none" w:pos="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maintain effective internal control over financial reporting in the future, investors may lose confidence in the accuracy and completeness of our financial reports and the market price of our common stock may decline.</w:t>
      </w:r>
    </w:p>
    <w:p>
      <w:pPr>
        <w:spacing w:after="0" w:line="47" w:lineRule="exact"/>
        <w:rPr>
          <w:rFonts w:ascii="Arial" w:cs="Arial" w:eastAsia="Arial" w:hAnsi="Arial"/>
          <w:sz w:val="16"/>
          <w:szCs w:val="16"/>
          <w:color w:val="auto"/>
        </w:rPr>
      </w:pPr>
    </w:p>
    <w:p>
      <w:pPr>
        <w:ind w:left="820" w:right="40" w:hanging="326"/>
        <w:spacing w:after="0" w:line="257" w:lineRule="auto"/>
        <w:tabs>
          <w:tab w:leader="none" w:pos="79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221"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gridSpan w:val="9"/>
          </w:tcPr>
          <w:p>
            <w:pPr>
              <w:ind w:left="64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5"/>
        </w:trPr>
        <w:tc>
          <w:tcPr>
            <w:tcW w:w="42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9"/>
              </w:rPr>
              <w:t>Part I</w:t>
            </w:r>
          </w:p>
        </w:tc>
        <w:tc>
          <w:tcPr>
            <w:tcW w:w="680" w:type="dxa"/>
            <w:vAlign w:val="bottom"/>
            <w:gridSpan w:val="5"/>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FINANCIAL INFORMATION</w:t>
            </w:r>
          </w:p>
        </w:tc>
        <w:tc>
          <w:tcPr>
            <w:tcW w:w="51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gridSpan w:val="6"/>
          </w:tcPr>
          <w:p>
            <w:pPr>
              <w:spacing w:after="0" w:line="183" w:lineRule="exact"/>
              <w:rPr>
                <w:sz w:val="20"/>
                <w:szCs w:val="20"/>
                <w:color w:val="auto"/>
              </w:rPr>
            </w:pPr>
            <w:r>
              <w:rPr>
                <w:rFonts w:ascii="Arial" w:cs="Arial" w:eastAsia="Arial" w:hAnsi="Arial"/>
                <w:sz w:val="16"/>
                <w:szCs w:val="16"/>
                <w:color w:val="0000FF"/>
              </w:rPr>
              <w:t>Item 1.</w:t>
            </w:r>
          </w:p>
        </w:tc>
        <w:tc>
          <w:tcPr>
            <w:tcW w:w="7180" w:type="dxa"/>
            <w:vAlign w:val="bottom"/>
            <w:gridSpan w:val="20"/>
          </w:tcPr>
          <w:p>
            <w:pPr>
              <w:spacing w:after="0" w:line="183"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9"/>
        </w:trPr>
        <w:tc>
          <w:tcPr>
            <w:tcW w:w="4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rPr>
              <w:t>Condensed Consolidated Balance Sheets</w:t>
            </w:r>
          </w:p>
        </w:tc>
        <w:tc>
          <w:tcPr>
            <w:tcW w:w="1260" w:type="dxa"/>
            <w:vAlign w:val="bottom"/>
            <w:tcBorders>
              <w:top w:val="single" w:sz="8" w:color="0000FF"/>
            </w:tcBorders>
            <w:gridSpan w:val="5"/>
          </w:tcPr>
          <w:p>
            <w:pPr>
              <w:spacing w:after="0"/>
              <w:rPr>
                <w:sz w:val="19"/>
                <w:szCs w:val="19"/>
                <w:color w:val="auto"/>
              </w:rPr>
            </w:pPr>
          </w:p>
        </w:tc>
        <w:tc>
          <w:tcPr>
            <w:tcW w:w="2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Condensed Consolidated Statements of Comprehensive Income (Loss)</w:t>
            </w: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28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34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580" w:type="dxa"/>
            <w:vAlign w:val="bottom"/>
            <w:gridSpan w:val="3"/>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3"/>
            <w:vMerge w:val="continue"/>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23"/>
        </w:trPr>
        <w:tc>
          <w:tcPr>
            <w:tcW w:w="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636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gridSpan w:val="6"/>
          </w:tcPr>
          <w:p>
            <w:pPr>
              <w:spacing w:after="0"/>
              <w:rPr>
                <w:sz w:val="20"/>
                <w:szCs w:val="20"/>
                <w:color w:val="auto"/>
              </w:rPr>
            </w:pPr>
            <w:r>
              <w:rPr>
                <w:rFonts w:ascii="Arial" w:cs="Arial" w:eastAsia="Arial" w:hAnsi="Arial"/>
                <w:sz w:val="16"/>
                <w:szCs w:val="16"/>
                <w:color w:val="0000FF"/>
              </w:rPr>
              <w:t>Item 4.</w:t>
            </w:r>
          </w:p>
        </w:tc>
        <w:tc>
          <w:tcPr>
            <w:tcW w:w="422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Controls and Procedures</w:t>
            </w:r>
          </w:p>
        </w:tc>
        <w:tc>
          <w:tcPr>
            <w:tcW w:w="29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60" w:type="dxa"/>
            <w:vAlign w:val="bottom"/>
            <w:tcBorders>
              <w:top w:val="single" w:sz="8" w:color="0000FF"/>
            </w:tcBorders>
          </w:tcPr>
          <w:p>
            <w:pPr>
              <w:spacing w:after="0"/>
              <w:rPr>
                <w:sz w:val="19"/>
                <w:szCs w:val="19"/>
                <w:color w:val="auto"/>
              </w:rPr>
            </w:pPr>
          </w:p>
        </w:tc>
        <w:tc>
          <w:tcPr>
            <w:tcW w:w="580" w:type="dxa"/>
            <w:vAlign w:val="bottom"/>
            <w:gridSpan w:val="3"/>
          </w:tcPr>
          <w:p>
            <w:pPr>
              <w:spacing w:after="0"/>
              <w:rPr>
                <w:sz w:val="19"/>
                <w:szCs w:val="19"/>
                <w:color w:val="auto"/>
              </w:rPr>
            </w:pPr>
          </w:p>
        </w:tc>
        <w:tc>
          <w:tcPr>
            <w:tcW w:w="17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0" w:type="dxa"/>
            <w:vAlign w:val="bottom"/>
            <w:tcBorders>
              <w:top w:val="single" w:sz="8" w:color="0000FF"/>
            </w:tcBorders>
          </w:tcPr>
          <w:p>
            <w:pPr>
              <w:spacing w:after="0"/>
              <w:rPr>
                <w:sz w:val="19"/>
                <w:szCs w:val="19"/>
                <w:color w:val="auto"/>
              </w:rPr>
            </w:pPr>
          </w:p>
        </w:tc>
        <w:tc>
          <w:tcPr>
            <w:tcW w:w="538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gridSpan w:val="3"/>
          </w:tcPr>
          <w:p>
            <w:pPr>
              <w:spacing w:after="0"/>
              <w:rPr>
                <w:sz w:val="20"/>
                <w:szCs w:val="20"/>
                <w:color w:val="auto"/>
              </w:rPr>
            </w:pPr>
            <w:r>
              <w:rPr>
                <w:rFonts w:ascii="Arial" w:cs="Arial" w:eastAsia="Arial" w:hAnsi="Arial"/>
                <w:sz w:val="16"/>
                <w:szCs w:val="16"/>
                <w:color w:val="0000FF"/>
                <w:w w:val="98"/>
              </w:rPr>
              <w:t>Item 1.</w:t>
            </w:r>
          </w:p>
        </w:tc>
        <w:tc>
          <w:tcPr>
            <w:tcW w:w="580" w:type="dxa"/>
            <w:vAlign w:val="bottom"/>
            <w:gridSpan w:val="3"/>
          </w:tcPr>
          <w:p>
            <w:pPr>
              <w:spacing w:after="0"/>
              <w:rPr>
                <w:sz w:val="17"/>
                <w:szCs w:val="17"/>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00" w:type="dxa"/>
            <w:vAlign w:val="bottom"/>
            <w:gridSpan w:val="6"/>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718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6"/>
                <w:szCs w:val="16"/>
                <w:color w:val="0000FF"/>
                <w:w w:val="98"/>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FF"/>
            </w:tcBorders>
            <w:gridSpan w:val="3"/>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Unregistered Sales of Equity Securities, Use of Proceeds, and Issuer Purchases of Equity Securities</w:t>
            </w: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3.</w:t>
            </w:r>
          </w:p>
        </w:tc>
        <w:tc>
          <w:tcPr>
            <w:tcW w:w="580" w:type="dxa"/>
            <w:vAlign w:val="bottom"/>
            <w:gridSpan w:val="3"/>
          </w:tcPr>
          <w:p>
            <w:pPr>
              <w:spacing w:after="0"/>
              <w:rPr>
                <w:sz w:val="19"/>
                <w:szCs w:val="19"/>
                <w:color w:val="auto"/>
              </w:rPr>
            </w:pPr>
          </w:p>
        </w:tc>
        <w:tc>
          <w:tcPr>
            <w:tcW w:w="23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48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4.</w:t>
            </w:r>
          </w:p>
        </w:tc>
        <w:tc>
          <w:tcPr>
            <w:tcW w:w="580" w:type="dxa"/>
            <w:vAlign w:val="bottom"/>
            <w:gridSpan w:val="3"/>
          </w:tcPr>
          <w:p>
            <w:pPr>
              <w:spacing w:after="0"/>
              <w:rPr>
                <w:sz w:val="19"/>
                <w:szCs w:val="19"/>
                <w:color w:val="auto"/>
              </w:rPr>
            </w:pPr>
          </w:p>
        </w:tc>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Mine Safety Disclosures</w:t>
            </w:r>
          </w:p>
        </w:tc>
        <w:tc>
          <w:tcPr>
            <w:tcW w:w="54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5.</w:t>
            </w:r>
          </w:p>
        </w:tc>
        <w:tc>
          <w:tcPr>
            <w:tcW w:w="580" w:type="dxa"/>
            <w:vAlign w:val="bottom"/>
            <w:gridSpan w:val="3"/>
          </w:tcPr>
          <w:p>
            <w:pPr>
              <w:spacing w:after="0"/>
              <w:rPr>
                <w:sz w:val="19"/>
                <w:szCs w:val="19"/>
                <w:color w:val="auto"/>
              </w:rPr>
            </w:pP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592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Item 6.</w:t>
            </w:r>
          </w:p>
        </w:tc>
        <w:tc>
          <w:tcPr>
            <w:tcW w:w="580" w:type="dxa"/>
            <w:vAlign w:val="bottom"/>
            <w:gridSpan w:val="3"/>
          </w:tcPr>
          <w:p>
            <w:pPr>
              <w:spacing w:after="0"/>
              <w:rPr>
                <w:sz w:val="19"/>
                <w:szCs w:val="19"/>
                <w:color w:val="auto"/>
              </w:rPr>
            </w:pPr>
          </w:p>
        </w:tc>
        <w:tc>
          <w:tcPr>
            <w:tcW w:w="7180" w:type="dxa"/>
            <w:vAlign w:val="bottom"/>
            <w:gridSpan w:val="20"/>
          </w:tcPr>
          <w:p>
            <w:pPr>
              <w:spacing w:after="0"/>
              <w:rPr>
                <w:sz w:val="20"/>
                <w:szCs w:val="20"/>
                <w:color w:val="auto"/>
              </w:rPr>
            </w:pPr>
            <w:r>
              <w:rPr>
                <w:rFonts w:ascii="Arial" w:cs="Arial" w:eastAsia="Arial" w:hAnsi="Arial"/>
                <w:sz w:val="16"/>
                <w:szCs w:val="16"/>
                <w:color w:val="0000FF"/>
              </w:rPr>
              <w:t>Exhibits</w:t>
            </w:r>
          </w:p>
        </w:tc>
        <w:tc>
          <w:tcPr>
            <w:tcW w:w="0" w:type="dxa"/>
            <w:vAlign w:val="bottom"/>
          </w:tcPr>
          <w:p>
            <w:pPr>
              <w:spacing w:after="0"/>
              <w:rPr>
                <w:sz w:val="1"/>
                <w:szCs w:val="1"/>
                <w:color w:val="auto"/>
              </w:rPr>
            </w:pPr>
          </w:p>
        </w:tc>
      </w:tr>
      <w:tr>
        <w:trPr>
          <w:trHeight w:val="217"/>
        </w:trPr>
        <w:tc>
          <w:tcPr>
            <w:tcW w:w="1100" w:type="dxa"/>
            <w:vAlign w:val="bottom"/>
            <w:gridSpan w:val="6"/>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20955</wp:posOffset>
            </wp:positionV>
            <wp:extent cx="702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33</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34</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35</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57</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58</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59</w:t>
      </w:r>
    </w:p>
    <w:p>
      <w:pPr>
        <w:sectPr>
          <w:pgSz w:w="11900" w:h="16838" w:orient="portrait"/>
          <w:cols w:equalWidth="0" w:num="2">
            <w:col w:w="9780" w:space="720"/>
            <w:col w:w="380"/>
          </w:cols>
          <w:pgMar w:left="320" w:top="125" w:right="6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4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7"/>
        </w:trPr>
        <w:tc>
          <w:tcPr>
            <w:tcW w:w="126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Part I</w:t>
            </w: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LegalZoom.com, Inc.</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140" w:type="dxa"/>
            <w:vAlign w:val="bottom"/>
          </w:tcPr>
          <w:p>
            <w:pPr>
              <w:jc w:val="center"/>
              <w:ind w:left="1499"/>
              <w:spacing w:after="0"/>
              <w:rPr>
                <w:sz w:val="20"/>
                <w:szCs w:val="20"/>
                <w:color w:val="auto"/>
              </w:rPr>
            </w:pPr>
            <w:r>
              <w:rPr>
                <w:rFonts w:ascii="Arial" w:cs="Arial" w:eastAsia="Arial" w:hAnsi="Arial"/>
                <w:sz w:val="16"/>
                <w:szCs w:val="16"/>
                <w:i w:val="1"/>
                <w:iCs w:val="1"/>
                <w:color w:val="auto"/>
              </w:rPr>
              <w:t>(In thousands, except par values)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15"/>
                <w:szCs w:val="15"/>
                <w:color w:val="auto"/>
              </w:rPr>
            </w:pP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225,719</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receivable, net of allowances of $3,433 and $4,906, respectively</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11,738</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15,159</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Current assets held for sale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22,722</w:t>
            </w:r>
          </w:p>
        </w:tc>
        <w:tc>
          <w:tcPr>
            <w:tcW w:w="0" w:type="dxa"/>
            <w:vAlign w:val="bottom"/>
          </w:tcPr>
          <w:p>
            <w:pPr>
              <w:spacing w:after="0"/>
              <w:rPr>
                <w:sz w:val="1"/>
                <w:szCs w:val="1"/>
                <w:color w:val="auto"/>
              </w:rPr>
            </w:pPr>
          </w:p>
        </w:tc>
      </w:tr>
      <w:tr>
        <w:trPr>
          <w:trHeight w:val="210"/>
        </w:trPr>
        <w:tc>
          <w:tcPr>
            <w:tcW w:w="84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275,338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48,232</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13,735</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29,015</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34,150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32,282</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61,678</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187,547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167,951</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09"/>
        </w:trPr>
        <w:tc>
          <w:tcPr>
            <w:tcW w:w="8400" w:type="dxa"/>
            <w:vAlign w:val="bottom"/>
            <w:gridSpan w:val="2"/>
          </w:tcPr>
          <w:p>
            <w:pPr>
              <w:ind w:left="68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263,963</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6,966</w:t>
            </w: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278,984</w:t>
            </w:r>
          </w:p>
        </w:tc>
        <w:tc>
          <w:tcPr>
            <w:tcW w:w="0" w:type="dxa"/>
            <w:vAlign w:val="bottom"/>
          </w:tcPr>
          <w:p>
            <w:pPr>
              <w:spacing w:after="0"/>
              <w:rPr>
                <w:sz w:val="1"/>
                <w:szCs w:val="1"/>
                <w:color w:val="auto"/>
              </w:rPr>
            </w:pPr>
          </w:p>
        </w:tc>
      </w:tr>
      <w:tr>
        <w:trPr>
          <w:trHeight w:val="197"/>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0" w:type="dxa"/>
            <w:vAlign w:val="bottom"/>
            <w:gridSpan w:val="2"/>
            <w:shd w:val="clear" w:color="auto" w:fill="CCEEFF"/>
          </w:tcPr>
          <w:p>
            <w:pPr>
              <w:ind w:left="360"/>
              <w:spacing w:after="0" w:line="163" w:lineRule="exact"/>
              <w:rPr>
                <w:sz w:val="20"/>
                <w:szCs w:val="20"/>
                <w:color w:val="auto"/>
              </w:rPr>
            </w:pPr>
            <w:r>
              <w:rPr>
                <w:rFonts w:ascii="Arial" w:cs="Arial" w:eastAsia="Arial" w:hAnsi="Arial"/>
                <w:sz w:val="16"/>
                <w:szCs w:val="16"/>
                <w:color w:val="auto"/>
              </w:rPr>
              <w:t>Preferred stock, $0.001 par value; 100,000 shares authorized at March 31, 2024 and December 31, 2023, none</w:t>
            </w:r>
          </w:p>
        </w:tc>
        <w:tc>
          <w:tcPr>
            <w:tcW w:w="1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issued or outstanding at March 31, 2024 and December 31, 2023</w:t>
            </w: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Common stock, $0.001 par value; 1,000,000 shares authorized; 188,875 shares and 188,538 shares issued</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5"/>
        </w:trPr>
        <w:tc>
          <w:tcPr>
            <w:tcW w:w="8400" w:type="dxa"/>
            <w:vAlign w:val="bottom"/>
            <w:gridSpan w:val="2"/>
          </w:tcPr>
          <w:p>
            <w:pPr>
              <w:ind w:left="520"/>
              <w:spacing w:after="0"/>
              <w:rPr>
                <w:sz w:val="20"/>
                <w:szCs w:val="20"/>
                <w:color w:val="auto"/>
              </w:rPr>
            </w:pPr>
            <w:r>
              <w:rPr>
                <w:rFonts w:ascii="Arial" w:cs="Arial" w:eastAsia="Arial" w:hAnsi="Arial"/>
                <w:sz w:val="16"/>
                <w:szCs w:val="16"/>
                <w:color w:val="auto"/>
              </w:rPr>
              <w:t>and outstanding at March 31, 2024 and December 31, 2023, respectively</w:t>
            </w: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1,101,474</w:t>
            </w:r>
          </w:p>
        </w:tc>
        <w:tc>
          <w:tcPr>
            <w:tcW w:w="0" w:type="dxa"/>
            <w:vAlign w:val="bottom"/>
          </w:tcPr>
          <w:p>
            <w:pPr>
              <w:spacing w:after="0"/>
              <w:rPr>
                <w:sz w:val="1"/>
                <w:szCs w:val="1"/>
                <w:color w:val="auto"/>
              </w:rPr>
            </w:pPr>
          </w:p>
        </w:tc>
      </w:tr>
      <w:tr>
        <w:trPr>
          <w:trHeight w:val="215"/>
        </w:trPr>
        <w:tc>
          <w:tcPr>
            <w:tcW w:w="8400" w:type="dxa"/>
            <w:vAlign w:val="bottom"/>
            <w:gridSpan w:val="2"/>
          </w:tcPr>
          <w:p>
            <w:pPr>
              <w:ind w:left="36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(941,075)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(933,061)</w:t>
            </w:r>
          </w:p>
        </w:tc>
        <w:tc>
          <w:tcPr>
            <w:tcW w:w="0" w:type="dxa"/>
            <w:vAlign w:val="bottom"/>
          </w:tcPr>
          <w:p>
            <w:pPr>
              <w:spacing w:after="0"/>
              <w:rPr>
                <w:sz w:val="1"/>
                <w:szCs w:val="1"/>
                <w:color w:val="auto"/>
              </w:rPr>
            </w:pPr>
          </w:p>
        </w:tc>
      </w:tr>
      <w:tr>
        <w:trPr>
          <w:trHeight w:val="217"/>
        </w:trPr>
        <w:tc>
          <w:tcPr>
            <w:tcW w:w="8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168,834</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165,936</w:t>
            </w:r>
          </w:p>
        </w:tc>
      </w:tr>
      <w:tr>
        <w:trPr>
          <w:trHeight w:val="215"/>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60,395</w:t>
            </w:r>
          </w:p>
        </w:tc>
      </w:tr>
      <w:tr>
        <w:trPr>
          <w:trHeight w:val="210"/>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105,541</w:t>
            </w:r>
          </w:p>
        </w:tc>
      </w:tr>
      <w:tr>
        <w:trPr>
          <w:trHeight w:val="215"/>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60,150</w:t>
            </w:r>
          </w:p>
        </w:tc>
      </w:tr>
      <w:tr>
        <w:trPr>
          <w:trHeight w:val="215"/>
        </w:trPr>
        <w:tc>
          <w:tcPr>
            <w:tcW w:w="8360" w:type="dxa"/>
            <w:vAlign w:val="bottom"/>
            <w:gridSpan w:val="2"/>
          </w:tcPr>
          <w:p>
            <w:pPr>
              <w:ind w:left="340"/>
              <w:spacing w:after="0"/>
              <w:rPr>
                <w:sz w:val="20"/>
                <w:szCs w:val="20"/>
                <w:color w:val="auto"/>
              </w:rPr>
            </w:pPr>
            <w:r>
              <w:rPr>
                <w:rFonts w:ascii="Arial" w:cs="Arial" w:eastAsia="Arial" w:hAnsi="Arial"/>
                <w:sz w:val="16"/>
                <w:szCs w:val="16"/>
                <w:color w:val="auto"/>
              </w:rPr>
              <w:t>Technology and development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19,683</w:t>
            </w:r>
          </w:p>
        </w:tc>
      </w:tr>
      <w:tr>
        <w:trPr>
          <w:trHeight w:val="217"/>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26,504</w:t>
            </w:r>
          </w:p>
        </w:tc>
      </w:tr>
      <w:tr>
        <w:trPr>
          <w:trHeight w:val="209"/>
        </w:trPr>
        <w:tc>
          <w:tcPr>
            <w:tcW w:w="8360" w:type="dxa"/>
            <w:vAlign w:val="bottom"/>
            <w:tcBorders>
              <w:bottom w:val="single" w:sz="8" w:color="CCEEFF"/>
            </w:tcBorders>
            <w:gridSpan w:val="2"/>
          </w:tcPr>
          <w:p>
            <w:pPr>
              <w:ind w:left="7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100,775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106,337</w:t>
            </w:r>
          </w:p>
        </w:tc>
      </w:tr>
      <w:tr>
        <w:trPr>
          <w:trHeight w:val="21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836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215"/>
        </w:trPr>
        <w:tc>
          <w:tcPr>
            <w:tcW w:w="8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1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r>
      <w:tr>
        <w:trPr>
          <w:trHeight w:val="209"/>
        </w:trPr>
        <w:tc>
          <w:tcPr>
            <w:tcW w:w="8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w:t>
            </w:r>
          </w:p>
        </w:tc>
      </w:tr>
      <w:tr>
        <w:trPr>
          <w:trHeight w:val="23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Net income (loss) per share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per share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Weighted-average shares used to compute net income (loss) per share —basic:</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188,618</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191,293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income (loss) per share —diluted:</w:t>
            </w: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193,397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 w:name="page7"/>
    <w:bookmarkEnd w:id="6"/>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r>
      <w:tr>
        <w:trPr>
          <w:trHeight w:val="215"/>
        </w:trPr>
        <w:tc>
          <w:tcPr>
            <w:tcW w:w="8360" w:type="dxa"/>
            <w:vAlign w:val="bottom"/>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foreign currency translation adjustments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09"/>
        </w:trPr>
        <w:tc>
          <w:tcPr>
            <w:tcW w:w="83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Total other comprehensive income (loss)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r>
      <w:tr>
        <w:trPr>
          <w:trHeight w:val="235"/>
        </w:trPr>
        <w:tc>
          <w:tcPr>
            <w:tcW w:w="8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 comprehensive income (loss)</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7" w:name="page8"/>
    <w:bookmarkEnd w:id="7"/>
    <w:p>
      <w:pPr>
        <w:ind w:left="482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Unaudited Condensed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8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88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188,538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1,101,474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(933,061)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168,834</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34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434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Issuance of common stock upon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4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awards</w:t>
            </w: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tcPr>
          <w:p>
            <w:pPr>
              <w:ind w:left="340"/>
              <w:spacing w:after="0" w:line="153" w:lineRule="exact"/>
              <w:rPr>
                <w:sz w:val="20"/>
                <w:szCs w:val="20"/>
                <w:color w:val="auto"/>
              </w:rPr>
            </w:pPr>
            <w:r>
              <w:rPr>
                <w:rFonts w:ascii="Arial" w:cs="Arial" w:eastAsia="Arial" w:hAnsi="Arial"/>
                <w:sz w:val="14"/>
                <w:szCs w:val="14"/>
                <w:color w:val="auto"/>
              </w:rPr>
              <w:t>Shares surrendered for settlement of minimum statutory tax</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(9,564)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(9,564)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tcPr>
          <w:p>
            <w:pPr>
              <w:ind w:left="500"/>
              <w:spacing w:after="0"/>
              <w:rPr>
                <w:sz w:val="20"/>
                <w:szCs w:val="20"/>
                <w:color w:val="auto"/>
              </w:rPr>
            </w:pPr>
            <w:r>
              <w:rPr>
                <w:rFonts w:ascii="Arial" w:cs="Arial" w:eastAsia="Arial" w:hAnsi="Arial"/>
                <w:sz w:val="14"/>
                <w:szCs w:val="14"/>
                <w:color w:val="auto"/>
              </w:rPr>
              <w:t>withholdings</w:t>
            </w: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340"/>
              <w:spacing w:after="0"/>
              <w:rPr>
                <w:sz w:val="20"/>
                <w:szCs w:val="20"/>
                <w:color w:val="auto"/>
              </w:rPr>
            </w:pPr>
            <w:r>
              <w:rPr>
                <w:rFonts w:ascii="Arial" w:cs="Arial" w:eastAsia="Arial" w:hAnsi="Arial"/>
                <w:sz w:val="14"/>
                <w:szCs w:val="14"/>
                <w:color w:val="auto"/>
              </w:rPr>
              <w:t>Repurchased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(1,172)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188,875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1,108,263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(941,075)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8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880" w:type="dxa"/>
            <w:vAlign w:val="bottom"/>
            <w:gridSpan w:val="8"/>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8"/>
                <w:szCs w:val="18"/>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190,822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1,032,550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(891,862)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4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Issuance of common stock upon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awards</w:t>
            </w: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191,244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1,049,948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(900,987)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spacing w:after="0" w:line="200" w:lineRule="exact"/>
        <w:rPr>
          <w:sz w:val="20"/>
          <w:szCs w:val="20"/>
          <w:color w:val="auto"/>
        </w:rPr>
      </w:pPr>
    </w:p>
    <w:p>
      <w:pPr>
        <w:spacing w:after="0" w:line="21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4,744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5,569</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right-of-use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98"/>
        </w:trPr>
        <w:tc>
          <w:tcPr>
            <w:tcW w:w="836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16,467</w:t>
            </w:r>
          </w:p>
        </w:tc>
        <w:tc>
          <w:tcPr>
            <w:tcW w:w="0" w:type="dxa"/>
            <w:vAlign w:val="bottom"/>
          </w:tcPr>
          <w:p>
            <w:pPr>
              <w:spacing w:after="0"/>
              <w:rPr>
                <w:sz w:val="1"/>
                <w:szCs w:val="1"/>
                <w:color w:val="auto"/>
              </w:rPr>
            </w:pPr>
          </w:p>
        </w:tc>
      </w:tr>
      <w:tr>
        <w:trPr>
          <w:trHeight w:val="198"/>
        </w:trPr>
        <w:tc>
          <w:tcPr>
            <w:tcW w:w="836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contingent consideration</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98"/>
        </w:trPr>
        <w:tc>
          <w:tcPr>
            <w:tcW w:w="8360" w:type="dxa"/>
            <w:vAlign w:val="bottom"/>
          </w:tcPr>
          <w:p>
            <w:pPr>
              <w:ind w:left="300"/>
              <w:spacing w:after="0"/>
              <w:rPr>
                <w:sz w:val="20"/>
                <w:szCs w:val="20"/>
                <w:color w:val="auto"/>
              </w:rPr>
            </w:pPr>
            <w:r>
              <w:rPr>
                <w:rFonts w:ascii="Arial" w:cs="Arial" w:eastAsia="Arial" w:hAnsi="Arial"/>
                <w:sz w:val="14"/>
                <w:szCs w:val="14"/>
                <w:color w:val="auto"/>
              </w:rPr>
              <w:t>Unrealized foreign exchange (gain) loss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(4,947)</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98"/>
        </w:trPr>
        <w:tc>
          <w:tcPr>
            <w:tcW w:w="8360" w:type="dxa"/>
            <w:vAlign w:val="bottom"/>
          </w:tcPr>
          <w:p>
            <w:pPr>
              <w:ind w:left="740"/>
              <w:spacing w:after="0"/>
              <w:rPr>
                <w:sz w:val="20"/>
                <w:szCs w:val="20"/>
                <w:color w:val="auto"/>
              </w:rPr>
            </w:pPr>
            <w:r>
              <w:rPr>
                <w:rFonts w:ascii="Arial" w:cs="Arial" w:eastAsia="Arial" w:hAnsi="Arial"/>
                <w:sz w:val="14"/>
                <w:szCs w:val="14"/>
                <w:color w:val="auto"/>
              </w:rPr>
              <w:t>Income tax payable</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16,918</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ind w:left="10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29,208</w:t>
            </w: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Purchase of property and equipment</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(7,428)</w:t>
            </w:r>
          </w:p>
        </w:tc>
        <w:tc>
          <w:tcPr>
            <w:tcW w:w="0" w:type="dxa"/>
            <w:vAlign w:val="bottom"/>
          </w:tcPr>
          <w:p>
            <w:pPr>
              <w:spacing w:after="0"/>
              <w:rPr>
                <w:sz w:val="1"/>
                <w:szCs w:val="1"/>
                <w:color w:val="auto"/>
              </w:rPr>
            </w:pPr>
          </w:p>
        </w:tc>
      </w:tr>
      <w:tr>
        <w:trPr>
          <w:trHeight w:val="182"/>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Repayment of capital lease obligations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Shares surrendered for settlement of minimum statutory tax withholding</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Proceeds from issuance of stock under employee stock plans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15,044</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the period</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189,082</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the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204,126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Non-cash operating, investing, and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 included in accounts payable and accrued expenses and other current liabilities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20"/>
                <w:szCs w:val="20"/>
                <w:color w:val="auto"/>
              </w:rPr>
            </w:pPr>
            <w:r>
              <w:rPr>
                <w:rFonts w:ascii="Arial" w:cs="Arial" w:eastAsia="Arial" w:hAnsi="Arial"/>
                <w:sz w:val="14"/>
                <w:szCs w:val="14"/>
                <w:color w:val="auto"/>
              </w:rPr>
              <w:t>Capitalized stock-based compensation</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6"/>
          <w:szCs w:val="16"/>
          <w:b w:val="1"/>
          <w:bCs w:val="1"/>
          <w:color w:val="auto"/>
        </w:rPr>
        <w:t>LegalZoom.com, Inc.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113"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LegalZoom.com, Inc., was initially formed as a California corporation in 1999 and reincorporated as a Delaware corporation in 2007. LegalZoom.com, Inc., and its wholly owned subsidiaries, are referred to herein as the “Company”, “we,” “us,” or “our”.</w:t>
      </w:r>
    </w:p>
    <w:p>
      <w:pPr>
        <w:spacing w:after="0" w:line="33"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We are a provider of services that meet the legal needs of small businesses and consumers. Our position at business inception allows us to become a trusted business advisor, supporting the evolving needs of a new business across its lifecycle, and we have expanded our platform to include professional expertise and other products, both legal and non-legal, to better meet the needs of small businesses. Along with business formation, our offerings include ongoing compliance and tax advice and filings,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ind w:right="600" w:firstLine="405"/>
        <w:spacing w:after="0" w:line="286"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25"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2023. The December 31, 2023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months ended March 31, 2024 from those disclosed in the annual consolidated financial statements for the year ended December 31, 2023 and the related notes, except as noted below under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89" w:lineRule="exact"/>
        <w:rPr>
          <w:sz w:val="20"/>
          <w:szCs w:val="20"/>
          <w:color w:val="auto"/>
        </w:rPr>
      </w:pPr>
    </w:p>
    <w:p>
      <w:pPr>
        <w:ind w:right="660" w:firstLine="405"/>
        <w:spacing w:after="0" w:line="286" w:lineRule="auto"/>
        <w:rPr>
          <w:sz w:val="20"/>
          <w:szCs w:val="20"/>
          <w:color w:val="auto"/>
        </w:rPr>
      </w:pPr>
      <w:r>
        <w:rPr>
          <w:rFonts w:ascii="Arial" w:cs="Arial" w:eastAsia="Arial" w:hAnsi="Arial"/>
          <w:sz w:val="16"/>
          <w:szCs w:val="16"/>
          <w:color w:val="auto"/>
        </w:rPr>
        <w:t>The operating results for the three months ended March 31, 2024 are not necessarily indicative of the results expected for the full year ending December 31, 2024.</w:t>
      </w:r>
    </w:p>
    <w:p>
      <w:pPr>
        <w:spacing w:after="0" w:line="61" w:lineRule="exact"/>
        <w:rPr>
          <w:sz w:val="20"/>
          <w:szCs w:val="20"/>
          <w:color w:val="auto"/>
        </w:rPr>
      </w:pPr>
    </w:p>
    <w:p>
      <w:pPr>
        <w:jc w:val="both"/>
        <w:ind w:right="440" w:firstLine="405"/>
        <w:spacing w:after="0" w:line="266" w:lineRule="auto"/>
        <w:rPr>
          <w:sz w:val="20"/>
          <w:szCs w:val="20"/>
          <w:color w:val="auto"/>
        </w:rPr>
      </w:pPr>
      <w:r>
        <w:rPr>
          <w:rFonts w:ascii="Arial" w:cs="Arial" w:eastAsia="Arial" w:hAnsi="Arial"/>
          <w:sz w:val="16"/>
          <w:szCs w:val="16"/>
          <w:color w:val="auto"/>
        </w:rPr>
        <w:t>Beginning in the fourth quarter of 2023, we include partner revenue in transaction and subscription revenue to conform with how we evaluate our performance. This change had no impact on total revenue. Prior period disaggregated revenue disclosures have been conformed to the current period presentation.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other reclassifications have been made to prior periods amounts to conform to the current period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25"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11" w:lineRule="exact"/>
        <w:rPr>
          <w:sz w:val="20"/>
          <w:szCs w:val="20"/>
          <w:color w:val="auto"/>
        </w:rPr>
      </w:pPr>
    </w:p>
    <w:p>
      <w:pPr>
        <w:ind w:right="300" w:firstLine="405"/>
        <w:spacing w:after="0" w:line="304" w:lineRule="auto"/>
        <w:rPr>
          <w:sz w:val="20"/>
          <w:szCs w:val="20"/>
          <w:color w:val="auto"/>
        </w:rPr>
      </w:pPr>
      <w:r>
        <w:rPr>
          <w:rFonts w:ascii="Arial" w:cs="Arial" w:eastAsia="Arial" w:hAnsi="Arial"/>
          <w:sz w:val="16"/>
          <w:szCs w:val="16"/>
          <w:color w:val="auto"/>
        </w:rPr>
        <w:t>Significant accounting policies are detailed in "Note 2. Summary of Significant Accounting Policies" of our Annual Report on Form 10-K for the year ended December 31, 2023.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25" w:lineRule="exact"/>
        <w:rPr>
          <w:sz w:val="20"/>
          <w:szCs w:val="20"/>
          <w:color w:val="auto"/>
        </w:rPr>
      </w:pPr>
    </w:p>
    <w:p>
      <w:pPr>
        <w:ind w:right="880" w:firstLine="405"/>
        <w:spacing w:after="0" w:line="286"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w:t>
      </w:r>
    </w:p>
    <w:p>
      <w:pPr>
        <w:spacing w:after="0" w:line="48" w:lineRule="exact"/>
        <w:rPr>
          <w:sz w:val="20"/>
          <w:szCs w:val="20"/>
          <w:color w:val="auto"/>
        </w:rPr>
      </w:pPr>
    </w:p>
    <w:p>
      <w:pPr>
        <w:jc w:val="both"/>
        <w:ind w:right="280" w:firstLine="405"/>
        <w:spacing w:after="0" w:line="275"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the three months ended March 31, 2024 and 2023. Our property and equipment and right-of-use, or ROU, assets located outside of the U.S. were immaterial as of March 31, 2024 and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11"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Due to a large and diverse customer base, no individual customer represented more than 10% of total revenue for the three months ended March 31,</w:t>
      </w:r>
    </w:p>
    <w:p>
      <w:pPr>
        <w:spacing w:after="0" w:line="31"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2024 and 2023. At March 31, 2024 and December 31, 2023, there were no customers with an outstanding balance of 10% or more of our total accounts receivable balance.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and Allowance for Credit Losses</w:t>
      </w:r>
    </w:p>
    <w:p>
      <w:pPr>
        <w:spacing w:after="0" w:line="111"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color w:val="auto"/>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March 31, 2024 and December 31, 2023 the allowance for credit losses was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Other Equity Securities</w:t>
      </w:r>
    </w:p>
    <w:p>
      <w:pPr>
        <w:spacing w:after="0" w:line="111"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We hold an equity investment in LawPath, Pty Ltd, or LawPath, an Australian proprietary limited company that provides an online legal platform to individuals and small and medium sized businesses. At both March 31, 2024 and December 31, 2023, the carrying amount of our investment in LawPath was $4.4 million. The investment in LawPath does not have a readily determinable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derive our revenue from the following sources:</w:t>
      </w:r>
    </w:p>
    <w:p>
      <w:pPr>
        <w:spacing w:after="0" w:line="11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w:t>
      </w:r>
    </w:p>
    <w:p>
      <w:pPr>
        <w:spacing w:after="0" w:line="78" w:lineRule="exact"/>
        <w:rPr>
          <w:sz w:val="20"/>
          <w:szCs w:val="20"/>
          <w:color w:val="auto"/>
        </w:rPr>
      </w:pPr>
    </w:p>
    <w:p>
      <w:pPr>
        <w:ind w:right="60" w:firstLine="405"/>
        <w:spacing w:after="0" w:line="260"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w:t>
      </w:r>
    </w:p>
    <w:p>
      <w:pPr>
        <w:spacing w:after="0" w:line="83"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11" w:name="page12"/>
    <w:bookmarkEnd w:id="11"/>
    <w:p>
      <w:pPr>
        <w:jc w:val="both"/>
        <w:ind w:right="60"/>
        <w:spacing w:after="0" w:line="275" w:lineRule="auto"/>
        <w:rPr>
          <w:sz w:val="20"/>
          <w:szCs w:val="20"/>
          <w:color w:val="auto"/>
        </w:rPr>
      </w:pPr>
      <w:r>
        <w:rPr>
          <w:rFonts w:ascii="Arial" w:cs="Arial" w:eastAsia="Arial" w:hAnsi="Arial"/>
          <w:sz w:val="16"/>
          <w:szCs w:val="16"/>
          <w:color w:val="auto"/>
        </w:rPr>
        <w:t>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Our transaction and subscription revenue is as follows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61"/>
        </w:trPr>
        <w:tc>
          <w:tcPr>
            <w:tcW w:w="8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68,027</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97,909</w:t>
            </w:r>
          </w:p>
        </w:tc>
      </w:tr>
      <w:tr>
        <w:trPr>
          <w:trHeight w:val="234"/>
        </w:trPr>
        <w:tc>
          <w:tcPr>
            <w:tcW w:w="8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165,936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25"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 xml:space="preserve">In September 2022, the Financial Accounting Standards Board, or FASB, issued Accounting Standards Update, or ASU 2022-04, </w:t>
      </w:r>
      <w:r>
        <w:rPr>
          <w:rFonts w:ascii="Arial" w:cs="Arial" w:eastAsia="Arial" w:hAnsi="Arial"/>
          <w:sz w:val="16"/>
          <w:szCs w:val="16"/>
          <w:i w:val="1"/>
          <w:iCs w:val="1"/>
          <w:color w:val="auto"/>
        </w:rPr>
        <w:t>Liabilities—Supplier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Finance Programs (Subtopic 405-50): Disclosure of Supplier Finance Program Obligations</w:t>
      </w:r>
      <w:r>
        <w:rPr>
          <w:rFonts w:ascii="Arial" w:cs="Arial" w:eastAsia="Arial" w:hAnsi="Arial"/>
          <w:sz w:val="16"/>
          <w:szCs w:val="16"/>
          <w:color w:val="auto"/>
        </w:rPr>
        <w:t>, which requires that a buyer in a supplier finance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 qualitative and quantitative information about its supplier finance programs. We adopted ASU 2022-04 effective January 1, 2023. The adoption of this accounting standard did not have a material impact on our consolidated financial statements.</w:t>
      </w:r>
    </w:p>
    <w:p>
      <w:pPr>
        <w:spacing w:after="0" w:line="65"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 xml:space="preserve">In March 2023, the FASB issued ASU 2023-01, </w:t>
      </w:r>
      <w:r>
        <w:rPr>
          <w:rFonts w:ascii="Arial" w:cs="Arial" w:eastAsia="Arial" w:hAnsi="Arial"/>
          <w:sz w:val="16"/>
          <w:szCs w:val="16"/>
          <w:i w:val="1"/>
          <w:iCs w:val="1"/>
          <w:color w:val="auto"/>
        </w:rPr>
        <w:t>Leases (Topic 842): Common Control Arrangements,</w:t>
      </w:r>
      <w:r>
        <w:rPr>
          <w:rFonts w:ascii="Arial" w:cs="Arial" w:eastAsia="Arial" w:hAnsi="Arial"/>
          <w:sz w:val="16"/>
          <w:szCs w:val="16"/>
          <w:color w:val="auto"/>
        </w:rPr>
        <w:t xml:space="preserve"> 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spacing w:after="0" w:line="78"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color w:val="auto"/>
        </w:rPr>
        <w:t xml:space="preserve">In March 2023, the FASB issued ASU 2023-02, </w:t>
      </w:r>
      <w:r>
        <w:rPr>
          <w:rFonts w:ascii="Arial" w:cs="Arial" w:eastAsia="Arial" w:hAnsi="Arial"/>
          <w:sz w:val="16"/>
          <w:szCs w:val="16"/>
          <w:i w:val="1"/>
          <w:iCs w:val="1"/>
          <w:color w:val="auto"/>
        </w:rPr>
        <w:t>Accounting for Investments in Tax Credit Structures Using the Proportional Amortization Method,</w:t>
      </w:r>
      <w:r>
        <w:rPr>
          <w:rFonts w:ascii="Arial" w:cs="Arial" w:eastAsia="Arial" w:hAnsi="Arial"/>
          <w:sz w:val="16"/>
          <w:szCs w:val="16"/>
          <w:color w:val="auto"/>
        </w:rPr>
        <w:t xml:space="preserve"> 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The adoption of this accounting standard did not have a material impact on our consolidated financial statements.</w:t>
      </w:r>
    </w:p>
    <w:p>
      <w:pPr>
        <w:spacing w:after="0" w:line="83"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In July 2023, the FASB issued ASU 2023-03 to amend various paragraphs in the Accounting Standards Codification, or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25"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We are currently evaluating the impact of the adoption on our consolidated financial statements.</w:t>
      </w:r>
    </w:p>
    <w:p>
      <w:pPr>
        <w:spacing w:after="0" w:line="83" w:lineRule="exact"/>
        <w:rPr>
          <w:sz w:val="20"/>
          <w:szCs w:val="20"/>
          <w:color w:val="auto"/>
        </w:rPr>
      </w:pPr>
    </w:p>
    <w:p>
      <w:pPr>
        <w:ind w:right="40" w:firstLine="405"/>
        <w:spacing w:after="0" w:line="260"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which requires entities to disclose more detailed information in the reconciliation of their statutory tax rate to their effective tax rate. This accounting standard is effective for fiscal years beginning after December 15, 2024, and interim periods within fiscal years beginning after December 15, 2025. ASU 2023-09 will be applied prospectively with an option for retroactive application to each period in the financial statements, and early adoption is permitted. We are currently evaluating the impact of the adoption on our consolidated financial statements.</w:t>
      </w:r>
    </w:p>
    <w:p>
      <w:pPr>
        <w:spacing w:after="0" w:line="83" w:lineRule="exact"/>
        <w:rPr>
          <w:sz w:val="20"/>
          <w:szCs w:val="20"/>
          <w:color w:val="auto"/>
        </w:rPr>
      </w:pPr>
    </w:p>
    <w:p>
      <w:pPr>
        <w:ind w:right="300" w:firstLine="405"/>
        <w:spacing w:after="0" w:line="265" w:lineRule="auto"/>
        <w:rPr>
          <w:sz w:val="20"/>
          <w:szCs w:val="20"/>
          <w:color w:val="auto"/>
        </w:rPr>
      </w:pPr>
      <w:r>
        <w:rPr>
          <w:rFonts w:ascii="Arial" w:cs="Arial" w:eastAsia="Arial" w:hAnsi="Arial"/>
          <w:sz w:val="16"/>
          <w:szCs w:val="16"/>
          <w:color w:val="auto"/>
        </w:rPr>
        <w:t xml:space="preserve">In March 2024, the FASB issued ASU 2024-01, which clarifies how an entity determines whether a profits interest or similar award is a share-based payment arrangement that is within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right="680"/>
        <w:spacing w:after="0" w:line="286" w:lineRule="auto"/>
        <w:rPr>
          <w:sz w:val="20"/>
          <w:szCs w:val="20"/>
          <w:color w:val="auto"/>
        </w:rPr>
      </w:pPr>
      <w:r>
        <w:rPr>
          <w:rFonts w:ascii="Arial" w:cs="Arial" w:eastAsia="Arial" w:hAnsi="Arial"/>
          <w:sz w:val="16"/>
          <w:szCs w:val="16"/>
          <w:color w:val="auto"/>
        </w:rPr>
        <w:t>profits interest and similar awards granted or modified on or after the date at which the entity first applies this accounting standard. We are currently evaluating the impact of the adoption on our consolidated financial statements.</w:t>
      </w:r>
    </w:p>
    <w:p>
      <w:pPr>
        <w:spacing w:after="0" w:line="61" w:lineRule="exact"/>
        <w:rPr>
          <w:sz w:val="20"/>
          <w:szCs w:val="20"/>
          <w:color w:val="auto"/>
        </w:rPr>
      </w:pPr>
    </w:p>
    <w:p>
      <w:pPr>
        <w:ind w:right="200" w:firstLine="405"/>
        <w:spacing w:after="0" w:line="260" w:lineRule="auto"/>
        <w:rPr>
          <w:sz w:val="20"/>
          <w:szCs w:val="20"/>
          <w:color w:val="auto"/>
        </w:rPr>
      </w:pPr>
      <w:r>
        <w:rPr>
          <w:rFonts w:ascii="Arial" w:cs="Arial" w:eastAsia="Arial" w:hAnsi="Arial"/>
          <w:sz w:val="16"/>
          <w:szCs w:val="16"/>
          <w:color w:val="auto"/>
        </w:rPr>
        <w:t xml:space="preserve">In March 2024, the FASB issued ASU 2024-02,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are currently evaluating the impact of the adoption on our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97"/>
        </w:trPr>
        <w:tc>
          <w:tcPr>
            <w:tcW w:w="840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1"/>
        </w:trPr>
        <w:tc>
          <w:tcPr>
            <w:tcW w:w="8400" w:type="dxa"/>
            <w:vAlign w:val="bottom"/>
          </w:tcPr>
          <w:p>
            <w:pPr>
              <w:ind w:left="420"/>
              <w:spacing w:after="0"/>
              <w:rPr>
                <w:sz w:val="20"/>
                <w:szCs w:val="20"/>
                <w:color w:val="auto"/>
              </w:rPr>
            </w:pPr>
            <w:r>
              <w:rPr>
                <w:rFonts w:ascii="Arial" w:cs="Arial" w:eastAsia="Arial" w:hAnsi="Arial"/>
                <w:sz w:val="16"/>
                <w:szCs w:val="16"/>
                <w:color w:val="auto"/>
              </w:rPr>
              <w:t>Changes in the allowances consisted of the following (in thousands):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8"/>
        </w:trPr>
        <w:tc>
          <w:tcPr>
            <w:tcW w:w="8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2,116</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(less): allowance for credit losses recognized in general and administrative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firstLine="405"/>
        <w:spacing w:after="0" w:line="266"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ind w:left="42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24"/>
                <w:szCs w:val="24"/>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prepaid expenses and other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40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24"/>
                <w:szCs w:val="24"/>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33,635</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11,223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allowances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Accrued sales, use and business taxes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10"/>
        </w:trPr>
        <w:tc>
          <w:tcPr>
            <w:tcW w:w="8400" w:type="dxa"/>
            <w:vAlign w:val="bottom"/>
          </w:tcPr>
          <w:p>
            <w:pPr>
              <w:ind w:left="360"/>
              <w:spacing w:after="0"/>
              <w:rPr>
                <w:sz w:val="20"/>
                <w:szCs w:val="20"/>
                <w:color w:val="auto"/>
              </w:rPr>
            </w:pPr>
            <w:r>
              <w:rPr>
                <w:rFonts w:ascii="Arial" w:cs="Arial" w:eastAsia="Arial" w:hAnsi="Arial"/>
                <w:sz w:val="16"/>
                <w:szCs w:val="16"/>
                <w:color w:val="auto"/>
              </w:rPr>
              <w:t>Total 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61,678</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55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6"/>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1" w:lineRule="exact"/>
        <w:rPr>
          <w:sz w:val="20"/>
          <w:szCs w:val="20"/>
          <w:color w:val="auto"/>
        </w:rPr>
      </w:pPr>
    </w:p>
    <w:p>
      <w:pPr>
        <w:ind w:right="200" w:firstLine="405"/>
        <w:spacing w:after="0" w:line="304"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1,257</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7,670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1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Deferred revenue as of March 31, 2024 and December 31, 2023 was $188.0 million and $168.4 million, respectively. Revenue recognized in the three months ended March 31, 2024 and 2023 that was included in deferred revenue as of December 31, 2023 and 2022 was $84.1 million and $79.5 million, respectively.</w:t>
      </w:r>
    </w:p>
    <w:p>
      <w:pPr>
        <w:spacing w:after="0" w:line="56" w:lineRule="exact"/>
        <w:rPr>
          <w:sz w:val="20"/>
          <w:szCs w:val="20"/>
          <w:color w:val="auto"/>
        </w:rPr>
      </w:pPr>
    </w:p>
    <w:p>
      <w:pPr>
        <w:ind w:right="40" w:firstLine="405"/>
        <w:spacing w:after="0" w:line="304"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the estimated timing of revenue recognition as our contracts with customers that have a duration of more than one year are immaterial.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Assets Held for Sale</w:t>
      </w:r>
    </w:p>
    <w:p>
      <w:pPr>
        <w:spacing w:after="0" w:line="127" w:lineRule="exact"/>
        <w:rPr>
          <w:sz w:val="20"/>
          <w:szCs w:val="20"/>
          <w:color w:val="auto"/>
        </w:rPr>
      </w:pPr>
    </w:p>
    <w:p>
      <w:pPr>
        <w:ind w:right="220" w:firstLine="405"/>
        <w:spacing w:after="0" w:line="265" w:lineRule="auto"/>
        <w:rPr>
          <w:sz w:val="20"/>
          <w:szCs w:val="20"/>
          <w:color w:val="auto"/>
        </w:rPr>
      </w:pPr>
      <w:r>
        <w:rPr>
          <w:rFonts w:ascii="Arial" w:cs="Arial" w:eastAsia="Arial" w:hAnsi="Arial"/>
          <w:sz w:val="16"/>
          <w:szCs w:val="16"/>
          <w:color w:val="auto"/>
        </w:rPr>
        <w:t>During the quarter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March 31, 2024, the total carrying value of the assets held for sale remains at $22.7 million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March 31, 2024</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w:t>
            </w:r>
          </w:p>
        </w:tc>
      </w:tr>
      <w:tr>
        <w:trPr>
          <w:trHeight w:val="215"/>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 and building improvements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16,322</w:t>
            </w:r>
          </w:p>
        </w:tc>
      </w:tr>
      <w:tr>
        <w:trPr>
          <w:trHeight w:val="235"/>
        </w:trPr>
        <w:tc>
          <w:tcPr>
            <w:tcW w:w="9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The estimated fair value less costs to sell the assets held for sale exceed their carrying values and hence no impairment was necessary during the quarter ended March 31,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Long-term Debt</w:t>
      </w:r>
    </w:p>
    <w:p>
      <w:pPr>
        <w:spacing w:after="0" w:line="113"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spacing w:after="0" w:line="78"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On May 5,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spacing w:after="0" w:line="217" w:lineRule="exact"/>
        <w:rPr>
          <w:sz w:val="20"/>
          <w:szCs w:val="20"/>
          <w:color w:val="auto"/>
        </w:rPr>
      </w:pPr>
    </w:p>
    <w:p>
      <w:pPr>
        <w:ind w:right="180" w:firstLine="405"/>
        <w:spacing w:after="0" w:line="260" w:lineRule="auto"/>
        <w:rPr>
          <w:sz w:val="20"/>
          <w:szCs w:val="20"/>
          <w:color w:val="auto"/>
        </w:rPr>
      </w:pPr>
      <w:r>
        <w:rPr>
          <w:rFonts w:ascii="Arial" w:cs="Arial" w:eastAsia="Arial" w:hAnsi="Arial"/>
          <w:sz w:val="16"/>
          <w:szCs w:val="16"/>
          <w:color w:val="auto"/>
        </w:rPr>
        <w:t>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4" w:name="page15"/>
    <w:bookmarkEnd w:id="14"/>
    <w:p>
      <w:pPr>
        <w:ind w:right="40"/>
        <w:spacing w:after="0" w:line="265" w:lineRule="auto"/>
        <w:rPr>
          <w:sz w:val="20"/>
          <w:szCs w:val="20"/>
          <w:color w:val="auto"/>
        </w:rPr>
      </w:pPr>
      <w:r>
        <w:rPr>
          <w:rFonts w:ascii="Arial" w:cs="Arial" w:eastAsia="Arial" w:hAnsi="Arial"/>
          <w:sz w:val="16"/>
          <w:szCs w:val="16"/>
          <w:color w:val="auto"/>
        </w:rPr>
        <w:t>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spacing w:after="0" w:line="64" w:lineRule="exact"/>
        <w:rPr>
          <w:sz w:val="20"/>
          <w:szCs w:val="20"/>
          <w:color w:val="auto"/>
        </w:rPr>
      </w:pPr>
    </w:p>
    <w:p>
      <w:pPr>
        <w:ind w:right="20" w:firstLine="405"/>
        <w:spacing w:after="0" w:line="267"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261" w:lineRule="exact"/>
        <w:rPr>
          <w:sz w:val="20"/>
          <w:szCs w:val="20"/>
          <w:color w:val="auto"/>
        </w:rPr>
      </w:pPr>
    </w:p>
    <w:p>
      <w:pPr>
        <w:jc w:val="both"/>
        <w:ind w:right="40" w:firstLine="405"/>
        <w:spacing w:after="0" w:line="275"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56"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At March 31, 2024 and December 31, 2023, we had no amounts outstanding under our 2021 Revolving Facility or any outstanding letters of credit and we were in compliance with all financial covenants.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25" w:lineRule="exact"/>
        <w:rPr>
          <w:sz w:val="20"/>
          <w:szCs w:val="20"/>
          <w:color w:val="auto"/>
        </w:rPr>
      </w:pPr>
    </w:p>
    <w:p>
      <w:pPr>
        <w:ind w:right="40" w:firstLine="405"/>
        <w:spacing w:after="0" w:line="266"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11" w:lineRule="exact"/>
        <w:rPr>
          <w:sz w:val="20"/>
          <w:szCs w:val="20"/>
          <w:color w:val="auto"/>
        </w:rPr>
      </w:pPr>
    </w:p>
    <w:p>
      <w:pPr>
        <w:ind w:right="120" w:firstLine="405"/>
        <w:spacing w:after="0" w:line="265"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78" w:lineRule="exact"/>
        <w:rPr>
          <w:sz w:val="20"/>
          <w:szCs w:val="20"/>
          <w:color w:val="auto"/>
        </w:rPr>
      </w:pPr>
    </w:p>
    <w:p>
      <w:pPr>
        <w:ind w:right="380" w:firstLine="405"/>
        <w:spacing w:after="0" w:line="286"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Stockholders’ Equity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11"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In October 2023, our board of directors approved a new stock repurchase program authorizing repurchases of up to $100.0 million of our common stock, with no fixed expiration.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 Shares repurchased under our stock repurchase program are purchased for immediate retirement.</w:t>
      </w:r>
    </w:p>
    <w:p>
      <w:pPr>
        <w:spacing w:after="0" w:line="72"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During the three months ended March 31, 2024, using Rule 10b5-1 plans, we repurchased a total of 1.2 million shares of our common stock through open market purchases at an average per share price of $10.91 for a total repurchase of $12.8 million including broker commissions. The repurchases were recorded as a reduction to stockholders' equity. Approximately $87.2 million remains available for future repurchases under the stock repurchase program as of March 31, 2024. We have made additional open market repurchases under the stock repurchase program subsequent to March 31, 2024 of 0.9 million shares of our common stock, amounting to $11.4 million, as of the date of filing.</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5" w:name="page16"/>
    <w:bookmarkEnd w:id="15"/>
    <w:p>
      <w:pPr>
        <w:ind w:right="100" w:firstLine="405"/>
        <w:spacing w:after="0" w:line="265" w:lineRule="auto"/>
        <w:rPr>
          <w:sz w:val="20"/>
          <w:szCs w:val="20"/>
          <w:color w:val="auto"/>
        </w:rPr>
      </w:pPr>
      <w:r>
        <w:rPr>
          <w:rFonts w:ascii="Arial" w:cs="Arial" w:eastAsia="Arial" w:hAnsi="Arial"/>
          <w:sz w:val="16"/>
          <w:szCs w:val="16"/>
          <w:color w:val="auto"/>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not recognized excise tax liability as of March 31, 2024 because our stock issuances exceeded stock repurchases during the three months ended March 31, 2024.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11" w:lineRule="exact"/>
        <w:rPr>
          <w:sz w:val="20"/>
          <w:szCs w:val="20"/>
          <w:color w:val="auto"/>
        </w:rPr>
      </w:pPr>
    </w:p>
    <w:p>
      <w:pPr>
        <w:ind w:right="260" w:firstLine="405"/>
        <w:spacing w:after="0" w:line="304"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9,741</w:t>
            </w:r>
          </w:p>
        </w:tc>
      </w:tr>
      <w:tr>
        <w:trPr>
          <w:trHeight w:val="210"/>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16,467</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r>
      <w:tr>
        <w:trPr>
          <w:trHeight w:val="23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and Performance Stock Units</w:t>
      </w:r>
    </w:p>
    <w:p>
      <w:pPr>
        <w:spacing w:after="0" w:line="111" w:lineRule="exact"/>
        <w:rPr>
          <w:sz w:val="20"/>
          <w:szCs w:val="20"/>
          <w:color w:val="auto"/>
        </w:rPr>
      </w:pPr>
    </w:p>
    <w:p>
      <w:pPr>
        <w:ind w:right="60" w:firstLine="405"/>
        <w:spacing w:after="0" w:line="275" w:lineRule="auto"/>
        <w:rPr>
          <w:sz w:val="20"/>
          <w:szCs w:val="20"/>
          <w:color w:val="auto"/>
        </w:rPr>
      </w:pPr>
      <w:r>
        <w:rPr>
          <w:rFonts w:ascii="Arial" w:cs="Arial" w:eastAsia="Arial" w:hAnsi="Arial"/>
          <w:sz w:val="16"/>
          <w:szCs w:val="16"/>
          <w:color w:val="auto"/>
        </w:rPr>
        <w:t>During the three months ended March 31, 2024, we granted 5.2 million restricted stock units, or RSUs, with a total grant date fair value of $69.2 million to various employees. RSUs are measured based on the fair market value of the underlying stock on the date of grant and recognized as expense over the requisite service period.</w:t>
      </w:r>
    </w:p>
    <w:p>
      <w:pPr>
        <w:spacing w:after="0" w:line="5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6"/>
          <w:szCs w:val="16"/>
          <w:color w:val="auto"/>
        </w:rPr>
        <w:t>During the three months ended March 31, 2024, we also granted 1.5 million RSUs with performance conditions, or PSUs, to members of our senior leadership team. Vesting of the PSUs is contingent upon the recipient’s continuous employment over the requisite service period and is subject to fulfillment by the Company of a predefined profitability target during the performance period. The number of PSUs subject to vesting is determined at the end of the performance period and may equal zero percent (0%) to two hundred percent (200%) of the target award. If the performance criteria are achieved, one third of the PSUs will vest on the date the compensation committee of the board of directors certifies achievement of the performance criteria, and the remaining awards will vest quarterly thereafter through February 2027. These PSU awards also include a modifier to the total number of shares earned based on the Company’s total shareholder return, or TSR, compared to the TSR of the Nasdaq Composite Index during the performance period. The total number of shares issued pursuant to the PSU award may be increased, decreased, or remain unchanged based on the TSR modifier. The TSR modifier applicable to the PSUs is considered a market condition and therefore is reflected in the grant date fair value of the award. A Monte Carlo simulation has been used to account for this market condition in the grant date fair value of the award. Expense related to the PSUs is recognized over the employee’s requisite service period using graded vesting attribution method to the extent it is probable that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color w:val="auto"/>
        </w:rPr>
        <w:t>the performance conditions will be achieved. We recognized $0.5 million in stock-based compensation expense during three months ended March 31, 2024 related to these awards.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assumptions that were used to calculate the grant-date fair value of our PSU grants using a Monte Carlo simulation model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00" w:type="dxa"/>
            <w:vAlign w:val="bottom"/>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2024</w:t>
            </w:r>
          </w:p>
        </w:tc>
      </w:tr>
      <w:tr>
        <w:trPr>
          <w:trHeight w:val="209"/>
        </w:trPr>
        <w:tc>
          <w:tcPr>
            <w:tcW w:w="820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2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5"/>
        </w:trPr>
        <w:tc>
          <w:tcPr>
            <w:tcW w:w="82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2720" w:type="dxa"/>
            <w:vAlign w:val="bottom"/>
          </w:tcPr>
          <w:p>
            <w:pPr>
              <w:jc w:val="right"/>
              <w:spacing w:after="0"/>
              <w:rPr>
                <w:sz w:val="20"/>
                <w:szCs w:val="20"/>
                <w:color w:val="auto"/>
              </w:rPr>
            </w:pPr>
            <w:r>
              <w:rPr>
                <w:rFonts w:ascii="Arial" w:cs="Arial" w:eastAsia="Arial" w:hAnsi="Arial"/>
                <w:sz w:val="16"/>
                <w:szCs w:val="16"/>
                <w:color w:val="auto"/>
              </w:rPr>
              <w:t>47.4 %</w:t>
            </w:r>
          </w:p>
        </w:tc>
      </w:tr>
      <w:tr>
        <w:trPr>
          <w:trHeight w:val="21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Income Taxes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recorded a provision for income taxes of $3.2 million and $3.8 million for the three months ended March 31, 2024 and 2023, respectively. The</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effective tax rate for the three months ended March 31, 2024 and 2023 was 40.5% and 259.4%, respectively. The difference from the federal statutory rate of 21% is primarily due to the recognition of significant non-deductible stock-based compensation and other discrete adjustments.</w:t>
      </w:r>
    </w:p>
    <w:p>
      <w:pPr>
        <w:spacing w:after="0" w:line="90" w:lineRule="exact"/>
        <w:rPr>
          <w:sz w:val="20"/>
          <w:szCs w:val="20"/>
          <w:color w:val="auto"/>
        </w:rPr>
      </w:pPr>
    </w:p>
    <w:p>
      <w:pPr>
        <w:ind w:right="60" w:firstLine="405"/>
        <w:spacing w:after="0" w:line="260" w:lineRule="auto"/>
        <w:rPr>
          <w:sz w:val="20"/>
          <w:szCs w:val="20"/>
          <w:color w:val="auto"/>
        </w:rPr>
      </w:pPr>
      <w:r>
        <w:rPr>
          <w:rFonts w:ascii="Arial" w:cs="Arial" w:eastAsia="Arial" w:hAnsi="Arial"/>
          <w:sz w:val="16"/>
          <w:szCs w:val="16"/>
          <w:color w:val="auto"/>
        </w:rPr>
        <w:t>Gross unrecognized tax benefits were $12.0 million and $11.5 million as of March 31, 2024 and December 31, 2023, respectively. The gross unrecognized tax benefits, if recognized by us, will result in a reduction of approximately $12.0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returns for the years</w:t>
      </w:r>
    </w:p>
    <w:p>
      <w:pPr>
        <w:spacing w:after="0" w:line="31"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2018 and forward and state income tax returns for the tax years 2008 and forward remain open to examination. We are under examination in two states which are not expected to have an impact on our results of operations, cash flows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Net Income (Loss) Per Share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computation of basic and diluted net income (loss) per share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0"/>
              <w:spacing w:after="0" w:line="162" w:lineRule="exact"/>
              <w:rPr>
                <w:sz w:val="20"/>
                <w:szCs w:val="20"/>
                <w:color w:val="auto"/>
              </w:rPr>
            </w:pPr>
            <w:r>
              <w:rPr>
                <w:rFonts w:ascii="Arial" w:cs="Arial" w:eastAsia="Arial" w:hAnsi="Arial"/>
                <w:sz w:val="16"/>
                <w:szCs w:val="16"/>
                <w:color w:val="auto"/>
              </w:rPr>
              <w:t>Weighted-average common stock used in computing net income (loss) per share attributable to common</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188,618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191,293</w:t>
            </w:r>
          </w:p>
        </w:tc>
        <w:tc>
          <w:tcPr>
            <w:tcW w:w="0" w:type="dxa"/>
            <w:vAlign w:val="bottom"/>
          </w:tcPr>
          <w:p>
            <w:pPr>
              <w:spacing w:after="0"/>
              <w:rPr>
                <w:sz w:val="1"/>
                <w:szCs w:val="1"/>
                <w:color w:val="auto"/>
              </w:rPr>
            </w:pPr>
          </w:p>
        </w:tc>
      </w:tr>
      <w:tr>
        <w:trPr>
          <w:trHeight w:val="215"/>
        </w:trPr>
        <w:tc>
          <w:tcPr>
            <w:tcW w:w="8400" w:type="dxa"/>
            <w:vAlign w:val="bottom"/>
          </w:tcPr>
          <w:p>
            <w:pPr>
              <w:ind w:left="180"/>
              <w:spacing w:after="0"/>
              <w:rPr>
                <w:sz w:val="20"/>
                <w:szCs w:val="20"/>
                <w:color w:val="auto"/>
              </w:rPr>
            </w:pPr>
            <w:r>
              <w:rPr>
                <w:rFonts w:ascii="Arial" w:cs="Arial" w:eastAsia="Arial" w:hAnsi="Arial"/>
                <w:sz w:val="16"/>
                <w:szCs w:val="16"/>
                <w:color w:val="auto"/>
              </w:rPr>
              <w:t>stockholders—basic</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potentially dilutive securities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520"/>
              <w:spacing w:after="0"/>
              <w:rPr>
                <w:sz w:val="20"/>
                <w:szCs w:val="20"/>
                <w:color w:val="auto"/>
              </w:rPr>
            </w:pPr>
            <w:r>
              <w:rPr>
                <w:rFonts w:ascii="Arial" w:cs="Arial" w:eastAsia="Arial" w:hAnsi="Arial"/>
                <w:sz w:val="16"/>
                <w:szCs w:val="16"/>
                <w:color w:val="auto"/>
              </w:rPr>
              <w:t>Options to purchase common stock</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RSUs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520"/>
              <w:spacing w:after="0"/>
              <w:rPr>
                <w:sz w:val="20"/>
                <w:szCs w:val="20"/>
                <w:color w:val="auto"/>
              </w:rPr>
            </w:pPr>
            <w:r>
              <w:rPr>
                <w:rFonts w:ascii="Arial" w:cs="Arial" w:eastAsia="Arial" w:hAnsi="Arial"/>
                <w:sz w:val="16"/>
                <w:szCs w:val="16"/>
                <w:color w:val="auto"/>
              </w:rPr>
              <w:t>Employee stock purchase plan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stock used in computing net income (loss) per share—diluted</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191,293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color w:val="auto"/>
              </w:rPr>
              <w:t>Net income (loss) per share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Net income (loss) per share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
        </w:trPr>
        <w:tc>
          <w:tcPr>
            <w:tcW w:w="8400" w:type="dxa"/>
            <w:vAlign w:val="bottom"/>
            <w:vMerge w:val="restart"/>
          </w:tcPr>
          <w:p>
            <w:pPr>
              <w:ind w:left="5540"/>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9"/>
        </w:trPr>
        <w:tc>
          <w:tcPr>
            <w:tcW w:w="8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right="580" w:firstLine="405"/>
        <w:spacing w:after="0" w:line="281" w:lineRule="auto"/>
        <w:rPr>
          <w:sz w:val="20"/>
          <w:szCs w:val="20"/>
          <w:color w:val="auto"/>
        </w:rPr>
      </w:pPr>
      <w:r>
        <w:rPr>
          <w:rFonts w:ascii="Arial" w:cs="Arial" w:eastAsia="Arial" w:hAnsi="Arial"/>
          <w:sz w:val="16"/>
          <w:szCs w:val="16"/>
          <w:color w:val="auto"/>
        </w:rPr>
        <w:t>The following table presents the number of stock options, RSUs, and PSUs excluded from the calculation of diluted net income (loss) per share because they are anti-dilutive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Pr>
          <w:p>
            <w:pPr>
              <w:spacing w:after="0"/>
              <w:rPr>
                <w:sz w:val="18"/>
                <w:szCs w:val="18"/>
                <w:color w:val="auto"/>
              </w:rPr>
            </w:pPr>
          </w:p>
        </w:tc>
        <w:tc>
          <w:tcPr>
            <w:tcW w:w="28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21,066</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RSUs</w:t>
            </w:r>
          </w:p>
        </w:tc>
        <w:tc>
          <w:tcPr>
            <w:tcW w:w="1360" w:type="dxa"/>
            <w:vAlign w:val="bottom"/>
          </w:tcPr>
          <w:p>
            <w:pPr>
              <w:jc w:val="right"/>
              <w:spacing w:after="0"/>
              <w:rPr>
                <w:sz w:val="20"/>
                <w:szCs w:val="20"/>
                <w:color w:val="auto"/>
              </w:rPr>
            </w:pPr>
            <w:r>
              <w:rPr>
                <w:rFonts w:ascii="Arial" w:cs="Arial" w:eastAsia="Arial" w:hAnsi="Arial"/>
                <w:sz w:val="16"/>
                <w:szCs w:val="16"/>
                <w:color w:val="auto"/>
              </w:rPr>
              <w:t>5,223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16,101</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0"/>
        </w:trPr>
        <w:tc>
          <w:tcPr>
            <w:tcW w:w="8420" w:type="dxa"/>
            <w:vAlign w:val="bottom"/>
          </w:tcPr>
          <w:p>
            <w:pPr>
              <w:ind w:left="44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37,303</w:t>
            </w:r>
          </w:p>
        </w:tc>
      </w:tr>
      <w:tr>
        <w:trPr>
          <w:trHeight w:val="20"/>
        </w:trPr>
        <w:tc>
          <w:tcPr>
            <w:tcW w:w="8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Restructuring</w:t>
      </w:r>
    </w:p>
    <w:p>
      <w:pPr>
        <w:spacing w:after="0" w:line="127"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From time to time, we initiate cost reduction activities to integrate acquired businesses, to align our workforce with strategic business activities, or to improve efficiencies in our operations. During the three months ended March 31, 2023, we incurred $0.6 million in severance costs related to the reduction of our U.K. headcount, which was substantially complete by December 31, 2023. Restructuring expenses include severance for the impacted employees and are included in general and administrative expenses in the accompanying unaudited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127"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27" w:lineRule="exact"/>
        <w:rPr>
          <w:sz w:val="20"/>
          <w:szCs w:val="20"/>
          <w:color w:val="auto"/>
        </w:rPr>
      </w:pPr>
    </w:p>
    <w:p>
      <w:pPr>
        <w:ind w:left="1140" w:hanging="728"/>
        <w:spacing w:after="0" w:line="286"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3"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At March 31, 2024 and December 31, 2023, our financial assets recorded at fair value on a recurring basis consist of cash equivalents and available-for-sale debt securities.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w:t>
      </w:r>
    </w:p>
    <w:p>
      <w:pPr>
        <w:spacing w:after="0" w:line="65" w:lineRule="exact"/>
        <w:rPr>
          <w:sz w:val="20"/>
          <w:szCs w:val="20"/>
          <w:color w:val="auto"/>
        </w:rPr>
      </w:pPr>
    </w:p>
    <w:p>
      <w:pPr>
        <w:ind w:right="80" w:firstLine="405"/>
        <w:spacing w:after="0" w:line="304"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33" w:lineRule="exact"/>
        <w:rPr>
          <w:sz w:val="20"/>
          <w:szCs w:val="20"/>
          <w:color w:val="auto"/>
        </w:rPr>
      </w:pPr>
    </w:p>
    <w:p>
      <w:pPr>
        <w:ind w:right="40" w:firstLine="405"/>
        <w:spacing w:after="0" w:line="281"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2024</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15"/>
        </w:trPr>
        <w:tc>
          <w:tcPr>
            <w:tcW w:w="692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211,755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211,755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As of December 31, 2023</w:t>
            </w:r>
          </w:p>
        </w:tc>
        <w:tc>
          <w:tcPr>
            <w:tcW w:w="1080" w:type="dxa"/>
            <w:vAlign w:val="bottom"/>
            <w:tcBorders>
              <w:bottom w:val="single" w:sz="8" w:color="auto"/>
            </w:tcBorders>
          </w:tcPr>
          <w:p>
            <w:pPr>
              <w:spacing w:after="0"/>
              <w:rPr>
                <w:sz w:val="19"/>
                <w:szCs w:val="19"/>
                <w:color w:val="auto"/>
              </w:rPr>
            </w:pPr>
          </w:p>
        </w:tc>
      </w:tr>
      <w:tr>
        <w:trPr>
          <w:trHeight w:val="227"/>
        </w:trPr>
        <w:tc>
          <w:tcPr>
            <w:tcW w:w="6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3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208,970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ind w:right="20" w:firstLine="405"/>
        <w:spacing w:after="0" w:line="26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2023 Annual Report on Form 10-K filed with the Securities and Exchange Commission, or SEC, on February 29, 2024.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40" w:firstLine="405"/>
        <w:spacing w:after="0" w:line="243" w:lineRule="auto"/>
        <w:rPr>
          <w:sz w:val="20"/>
          <w:szCs w:val="20"/>
          <w:color w:val="auto"/>
        </w:rPr>
      </w:pPr>
      <w:r>
        <w:rPr>
          <w:rFonts w:ascii="Arial" w:cs="Arial" w:eastAsia="Arial" w:hAnsi="Arial"/>
          <w:sz w:val="16"/>
          <w:szCs w:val="16"/>
          <w:color w:val="auto"/>
        </w:rPr>
        <w:t>LegalZoom is a leading online platform for business formation in the U.S.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Driven by a mission to unleash entrepreneurship, we deliver comprehensive legal, tax, accounting and compliance products and expertise for small business owners through easy-to-use technology. We operate across all 50 states and in over 3,000 counties in the U.S., with over two decades of experience in simplifying the legal and compliance process for our customers and empowering entrepreneurs to make their dream a reality.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and Updates</w:t>
      </w:r>
    </w:p>
    <w:p>
      <w:pPr>
        <w:spacing w:after="0" w:line="12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April 2024, we moved our corporate headquarters from Glendale, California to our offices in Mountain View, California.</w:t>
      </w:r>
    </w:p>
    <w:p>
      <w:pPr>
        <w:spacing w:after="0" w:line="113" w:lineRule="exact"/>
        <w:rPr>
          <w:rFonts w:ascii="Arial" w:cs="Arial" w:eastAsia="Arial" w:hAnsi="Arial"/>
          <w:sz w:val="16"/>
          <w:szCs w:val="16"/>
          <w:color w:val="auto"/>
        </w:rPr>
      </w:pPr>
    </w:p>
    <w:p>
      <w:pPr>
        <w:ind w:left="660" w:right="220" w:hanging="328"/>
        <w:spacing w:after="0" w:line="286"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first quarter of 2024, we expanded our presence in attorney services with the launch of an attorney-drafted prenuptial agreement offering, a simplified, cost effective service hosted on our proprietary platform.</w:t>
      </w:r>
    </w:p>
    <w:p>
      <w:pPr>
        <w:spacing w:after="0" w:line="61" w:lineRule="exact"/>
        <w:rPr>
          <w:rFonts w:ascii="Arial" w:cs="Arial" w:eastAsia="Arial" w:hAnsi="Arial"/>
          <w:sz w:val="16"/>
          <w:szCs w:val="16"/>
          <w:color w:val="auto"/>
        </w:rPr>
      </w:pPr>
    </w:p>
    <w:p>
      <w:pPr>
        <w:ind w:left="660" w:right="280" w:hanging="328"/>
        <w:spacing w:after="0" w:line="266"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2023, we exited certain channel partnership relationships as part of our focus on profitable, customer-led growth. In the first half of 2024, we expect these exits to negatively impact business formations and, in turn, our subscription unit growth, as business formations act as an entrance point for many customers into the LegalZoom ecosystem.</w:t>
      </w:r>
    </w:p>
    <w:p>
      <w:pPr>
        <w:spacing w:after="0" w:line="76" w:lineRule="exact"/>
        <w:rPr>
          <w:rFonts w:ascii="Arial" w:cs="Arial" w:eastAsia="Arial" w:hAnsi="Arial"/>
          <w:sz w:val="16"/>
          <w:szCs w:val="16"/>
          <w:color w:val="auto"/>
        </w:rPr>
      </w:pPr>
    </w:p>
    <w:p>
      <w:pPr>
        <w:ind w:left="660" w:right="40" w:hanging="328"/>
        <w:spacing w:after="0" w:line="265"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continuing to scale up LZ Tax and we are learning more about our tax customers in the process. As we optimize our LZ Tax offerings to better meet the needs of our target customers, we are seeing and expect to continue to see a decrease in the number of customers purchasing and retaining an LZ Tax subscription unit. While this decrease will produce a revenue headwind throughout 2024, we expect increased retention of our LZ Tax subscription units over the long term.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113" w:lineRule="exact"/>
        <w:rPr>
          <w:sz w:val="20"/>
          <w:szCs w:val="20"/>
          <w:color w:val="auto"/>
        </w:rPr>
      </w:pPr>
    </w:p>
    <w:p>
      <w:pPr>
        <w:ind w:left="740" w:right="180" w:hanging="317"/>
        <w:spacing w:after="0" w:line="265" w:lineRule="auto"/>
        <w:tabs>
          <w:tab w:leader="none" w:pos="71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changes in general macroeconomic, political, regulatory and market conditions can negatively impact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spending patterns, the success of existing small businesses and the formation of new small businesses. While we continue to actively monitor the impacts of the evolving macroeconomic environment on all aspects of our business, future negative or decelerating impacts from factors such as inflation, higher interest rates, regulatory obstacles or changes in laws (including changes in tax laws and regulations) remain uncertain.</w:t>
      </w:r>
    </w:p>
    <w:p>
      <w:pPr>
        <w:spacing w:after="0" w:line="64" w:lineRule="exact"/>
        <w:rPr>
          <w:rFonts w:ascii="Arial" w:cs="Arial" w:eastAsia="Arial" w:hAnsi="Arial"/>
          <w:sz w:val="16"/>
          <w:szCs w:val="16"/>
          <w:color w:val="auto"/>
        </w:rPr>
      </w:pPr>
    </w:p>
    <w:p>
      <w:pPr>
        <w:ind w:left="740" w:hanging="317"/>
        <w:spacing w:after="0" w:line="261" w:lineRule="auto"/>
        <w:tabs>
          <w:tab w:leader="none" w:pos="71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March 31, 2024 and 2023, business formations represented the largest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 In an effort to increase our share of new business formations in the U.S., we have introduced and may continue to introduce lower-priced products and services to target more price conscious customers.</w:t>
      </w:r>
    </w:p>
    <w:p>
      <w:pPr>
        <w:spacing w:after="0" w:line="81" w:lineRule="exact"/>
        <w:rPr>
          <w:rFonts w:ascii="Arial" w:cs="Arial" w:eastAsia="Arial" w:hAnsi="Arial"/>
          <w:sz w:val="16"/>
          <w:szCs w:val="16"/>
          <w:color w:val="auto"/>
        </w:rPr>
      </w:pPr>
    </w:p>
    <w:p>
      <w:pPr>
        <w:ind w:left="740" w:right="40" w:hanging="317"/>
        <w:spacing w:after="0" w:line="265" w:lineRule="auto"/>
        <w:tabs>
          <w:tab w:leader="none" w:pos="71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enhance customer lifetime value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goal is for customers to grow their use of our platform post-formation to include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products and subscription services as their businesses evolve and that, in turn, customers increase their cumulative spend with us over time. As a result, our future performance depends on our ability to integrate new products and services into our LegalZoom ecosystem and to increase recurring revenue through subscription offerings. As we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ind w:left="740" w:right="420"/>
        <w:spacing w:after="0" w:line="275" w:lineRule="auto"/>
        <w:rPr>
          <w:sz w:val="20"/>
          <w:szCs w:val="20"/>
          <w:color w:val="auto"/>
        </w:rPr>
      </w:pPr>
      <w:r>
        <w:rPr>
          <w:rFonts w:ascii="Arial" w:cs="Arial" w:eastAsia="Arial" w:hAnsi="Arial"/>
          <w:sz w:val="16"/>
          <w:szCs w:val="16"/>
          <w:color w:val="auto"/>
        </w:rPr>
        <w:t>continue to test new and existing products and services in order to optimize our product line-up, we expect increased volatility across our key business metrics. In addition, in an effort to enhance customer lifetime value, we intend to continue to invest in improving our customer experience, which includes investments in our educational content and improving our website and mobile experience.</w:t>
      </w:r>
    </w:p>
    <w:p>
      <w:pPr>
        <w:spacing w:after="0" w:line="56" w:lineRule="exact"/>
        <w:rPr>
          <w:sz w:val="20"/>
          <w:szCs w:val="20"/>
          <w:color w:val="auto"/>
        </w:rPr>
      </w:pPr>
    </w:p>
    <w:p>
      <w:pPr>
        <w:ind w:left="740" w:right="60" w:hanging="317"/>
        <w:spacing w:after="0" w:line="265" w:lineRule="auto"/>
        <w:tabs>
          <w:tab w:leader="none" w:pos="71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integrate experts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expert offerings significantly expand our addressable market. We aim to increase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consumption of our higher-cost expert offerings through targeted cross-selling and promotion of our products, as well as by improving the platforms through which our customers and experts interact. Our ability to further integrate experts into our LegalZoom ecosystem and to increase the consumption of our expert offerings by new and existing customers is key to our future success.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13"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25"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customers adopt additional products and services throughout the lifecycle of their business.</w:t>
      </w:r>
    </w:p>
    <w:p>
      <w:pPr>
        <w:spacing w:after="0" w:line="65" w:lineRule="exact"/>
        <w:rPr>
          <w:sz w:val="20"/>
          <w:szCs w:val="20"/>
          <w:color w:val="auto"/>
        </w:rPr>
      </w:pPr>
    </w:p>
    <w:p>
      <w:pPr>
        <w:ind w:right="220" w:firstLine="405"/>
        <w:spacing w:after="0" w:line="275"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56"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business formations for the three months ended March 31, 2024 and 2023:</w:t>
      </w:r>
    </w:p>
    <w:p>
      <w:pPr>
        <w:spacing w:after="0" w:line="275"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06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8"/>
        </w:trPr>
        <w:tc>
          <w:tcPr>
            <w:tcW w:w="8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Borders>
              <w:top w:val="single" w:sz="8" w:color="auto"/>
            </w:tcBorders>
          </w:tcPr>
          <w:p>
            <w:pPr>
              <w:spacing w:after="0"/>
              <w:rPr>
                <w:sz w:val="18"/>
                <w:szCs w:val="18"/>
                <w:color w:val="auto"/>
              </w:rPr>
            </w:pPr>
          </w:p>
        </w:tc>
      </w:tr>
      <w:tr>
        <w:trPr>
          <w:trHeight w:val="29"/>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220" w:type="dxa"/>
            <w:vAlign w:val="bottom"/>
            <w:gridSpan w:val="2"/>
            <w:shd w:val="clear" w:color="auto" w:fill="CCEEFF"/>
          </w:tcPr>
          <w:p>
            <w:pPr>
              <w:jc w:val="right"/>
              <w:ind w:right="6960"/>
              <w:spacing w:after="0"/>
              <w:rPr>
                <w:sz w:val="20"/>
                <w:szCs w:val="20"/>
                <w:color w:val="auto"/>
              </w:rPr>
            </w:pPr>
            <w:r>
              <w:rPr>
                <w:rFonts w:ascii="Arial" w:cs="Arial" w:eastAsia="Arial" w:hAnsi="Arial"/>
                <w:sz w:val="16"/>
                <w:szCs w:val="16"/>
                <w:color w:val="auto"/>
              </w:rPr>
              <w:t>Number of business formations</w:t>
            </w:r>
          </w:p>
        </w:tc>
        <w:tc>
          <w:tcPr>
            <w:tcW w:w="10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139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bl>
    <w:p>
      <w:pPr>
        <w:spacing w:after="0" w:line="283"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We experienced an 18% decrease in business formation transactions during the three months ended March 31, 2024, compared to the three months ended March 31, 2023. Our business formation transactions decreased during the three months ended March 31, 2024 primarily due to a decrease in LLC formations and the exit of certain channel partner relationships in the third quarter of 2023. Our business formations lagged behind the 2% decrease in overall U.S. business formations during the three months ended March 31, 2024 compared to the three months ended in March 31, 2023 based on a review of U.S. Census data revealing new applications for EINs.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25" w:lineRule="exact"/>
        <w:rPr>
          <w:sz w:val="20"/>
          <w:szCs w:val="20"/>
          <w:color w:val="auto"/>
        </w:rPr>
      </w:pPr>
    </w:p>
    <w:p>
      <w:pPr>
        <w:ind w:right="160" w:firstLine="405"/>
        <w:spacing w:after="0" w:line="261"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6"/>
          <w:szCs w:val="16"/>
          <w:color w:val="auto"/>
        </w:rPr>
        <w:t>The below table sets forth the number of transactions for the three months ended March 31, 2024 and 2023:</w:t>
      </w:r>
    </w:p>
    <w:p>
      <w:pPr>
        <w:spacing w:after="0" w:line="262"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060" w:type="dxa"/>
            <w:vAlign w:val="bottom"/>
          </w:tcPr>
          <w:p>
            <w:pPr>
              <w:spacing w:after="0"/>
              <w:rPr>
                <w:sz w:val="20"/>
                <w:szCs w:val="20"/>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4"/>
        </w:trPr>
        <w:tc>
          <w:tcPr>
            <w:tcW w:w="8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Borders>
              <w:top w:val="single" w:sz="8" w:color="auto"/>
            </w:tcBorders>
          </w:tcPr>
          <w:p>
            <w:pPr>
              <w:spacing w:after="0"/>
              <w:rPr>
                <w:sz w:val="18"/>
                <w:szCs w:val="18"/>
                <w:color w:val="auto"/>
              </w:rPr>
            </w:pPr>
          </w:p>
        </w:tc>
      </w:tr>
      <w:tr>
        <w:trPr>
          <w:trHeight w:val="29"/>
        </w:trPr>
        <w:tc>
          <w:tcPr>
            <w:tcW w:w="8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220" w:type="dxa"/>
            <w:vAlign w:val="bottom"/>
            <w:gridSpan w:val="2"/>
            <w:shd w:val="clear" w:color="auto" w:fill="CCEEFF"/>
          </w:tcPr>
          <w:p>
            <w:pPr>
              <w:jc w:val="right"/>
              <w:ind w:right="7520"/>
              <w:spacing w:after="0"/>
              <w:rPr>
                <w:sz w:val="20"/>
                <w:szCs w:val="20"/>
                <w:color w:val="auto"/>
              </w:rPr>
            </w:pPr>
            <w:r>
              <w:rPr>
                <w:rFonts w:ascii="Arial" w:cs="Arial" w:eastAsia="Arial" w:hAnsi="Arial"/>
                <w:sz w:val="16"/>
                <w:szCs w:val="16"/>
                <w:color w:val="auto"/>
              </w:rPr>
              <w:t>Number of transactions</w:t>
            </w:r>
          </w:p>
        </w:tc>
        <w:tc>
          <w:tcPr>
            <w:tcW w:w="10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336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bl>
    <w:p>
      <w:pPr>
        <w:spacing w:after="0" w:line="296" w:lineRule="exact"/>
        <w:rPr>
          <w:sz w:val="20"/>
          <w:szCs w:val="20"/>
          <w:color w:val="auto"/>
        </w:rPr>
      </w:pPr>
    </w:p>
    <w:p>
      <w:pPr>
        <w:jc w:val="both"/>
        <w:ind w:right="260" w:firstLine="405"/>
        <w:spacing w:after="0" w:line="265" w:lineRule="auto"/>
        <w:rPr>
          <w:sz w:val="20"/>
          <w:szCs w:val="20"/>
          <w:color w:val="auto"/>
        </w:rPr>
      </w:pPr>
      <w:r>
        <w:rPr>
          <w:rFonts w:ascii="Arial" w:cs="Arial" w:eastAsia="Arial" w:hAnsi="Arial"/>
          <w:sz w:val="16"/>
          <w:szCs w:val="16"/>
          <w:color w:val="auto"/>
        </w:rPr>
        <w:t>We experienced a 9% increase in the number of transactions during the three months ended March 31, 2024 compared to the three months ended March 31, 2023. The increase in the number of transactions during the three months ended March 31, 2024 resulted primarily from the introduction of our beneficial ownership information report product along with increases in other small business related transactions, including annual reports and corporate dissolutions. These increases were partially offset by the decrease in business formations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11"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average order value for the three months ended March 31, 2024 and 2023:</w:t>
      </w:r>
    </w:p>
    <w:p>
      <w:pPr>
        <w:spacing w:after="0" w:line="262"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20955</wp:posOffset>
            </wp:positionV>
            <wp:extent cx="1808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8860"/>
        <w:spacing w:after="0"/>
        <w:tabs>
          <w:tab w:leader="none" w:pos="1032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wp:posOffset>
            </wp:positionV>
            <wp:extent cx="708088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53" w:lineRule="exact"/>
        <w:rPr>
          <w:sz w:val="20"/>
          <w:szCs w:val="20"/>
          <w:color w:val="auto"/>
        </w:rPr>
      </w:pPr>
    </w:p>
    <w:p>
      <w:pPr>
        <w:ind w:left="60"/>
        <w:spacing w:after="0"/>
        <w:tabs>
          <w:tab w:leader="none" w:pos="8340" w:val="left"/>
          <w:tab w:leader="none" w:pos="9360" w:val="left"/>
          <w:tab w:leader="none" w:pos="9820" w:val="left"/>
          <w:tab w:leader="none" w:pos="10840" w:val="left"/>
        </w:tabs>
        <w:rPr>
          <w:sz w:val="20"/>
          <w:szCs w:val="20"/>
          <w:color w:val="auto"/>
        </w:rPr>
      </w:pPr>
      <w:r>
        <w:rPr>
          <w:rFonts w:ascii="Arial" w:cs="Arial" w:eastAsia="Arial" w:hAnsi="Arial"/>
          <w:sz w:val="16"/>
          <w:szCs w:val="16"/>
          <w:color w:val="auto"/>
        </w:rPr>
        <w:t>Average order value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198</w:t>
        <w:tab/>
        <w:t>$</w:t>
      </w:r>
      <w:r>
        <w:rPr>
          <w:sz w:val="20"/>
          <w:szCs w:val="20"/>
          <w:color w:val="auto"/>
        </w:rPr>
        <w:tab/>
      </w:r>
      <w:r>
        <w:rPr>
          <w:rFonts w:ascii="Arial" w:cs="Arial" w:eastAsia="Arial" w:hAnsi="Arial"/>
          <w:sz w:val="15"/>
          <w:szCs w:val="15"/>
          <w:color w:val="auto"/>
        </w:rPr>
        <w:t>221</w:t>
      </w:r>
    </w:p>
    <w:p>
      <w:pPr>
        <w:spacing w:after="0" w:line="356" w:lineRule="exact"/>
        <w:rPr>
          <w:sz w:val="20"/>
          <w:szCs w:val="20"/>
          <w:color w:val="auto"/>
        </w:rPr>
      </w:pPr>
    </w:p>
    <w:p>
      <w:pPr>
        <w:ind w:right="180" w:firstLine="405"/>
        <w:spacing w:after="0" w:line="265" w:lineRule="auto"/>
        <w:rPr>
          <w:sz w:val="20"/>
          <w:szCs w:val="20"/>
          <w:color w:val="auto"/>
        </w:rPr>
      </w:pPr>
      <w:r>
        <w:rPr>
          <w:rFonts w:ascii="Arial" w:cs="Arial" w:eastAsia="Arial" w:hAnsi="Arial"/>
          <w:sz w:val="16"/>
          <w:szCs w:val="16"/>
          <w:color w:val="auto"/>
        </w:rPr>
        <w:t>Average order value decreased by 10% during the three months ended March 31, 2024 compared to the three months ended March 31, 2023. The decrease in average order value for the three months ended March 31, 2024 was primarily driven by a shift in the mix of our products towards lower priced transaction products, including annual reports, beneficial ownership information reports and corporate dissolutions, along with a reduction in fees earned from third-party providers from leads generated for such providers through our online platform.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25" w:lineRule="exact"/>
        <w:rPr>
          <w:sz w:val="20"/>
          <w:szCs w:val="20"/>
          <w:color w:val="auto"/>
        </w:rPr>
      </w:pPr>
    </w:p>
    <w:p>
      <w:pPr>
        <w:ind w:right="340" w:firstLine="405"/>
        <w:spacing w:after="0" w:line="275" w:lineRule="auto"/>
        <w:rPr>
          <w:sz w:val="20"/>
          <w:szCs w:val="20"/>
          <w:color w:val="auto"/>
        </w:rPr>
      </w:pPr>
      <w:r>
        <w:rPr>
          <w:rFonts w:ascii="Arial" w:cs="Arial" w:eastAsia="Arial" w:hAnsi="Arial"/>
          <w:sz w:val="16"/>
          <w:szCs w:val="16"/>
          <w:color w:val="auto"/>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56"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the lifetime value of a customer through deeper, longer-term relationships. In addition, as we innovate our product line-up and make a free business formation a foundational element of our business model, we believe the number of subscription units, when viewed together with the number of business formations during a particular period, provides insight into the effectiveness of our “freemium” strategy and its ability to drive growth in our subscription business.</w:t>
      </w:r>
    </w:p>
    <w:p>
      <w:pPr>
        <w:spacing w:after="0" w:line="78" w:lineRule="exact"/>
        <w:rPr>
          <w:sz w:val="20"/>
          <w:szCs w:val="20"/>
          <w:color w:val="auto"/>
        </w:rPr>
      </w:pPr>
    </w:p>
    <w:p>
      <w:pPr>
        <w:ind w:right="100" w:firstLine="405"/>
        <w:spacing w:after="0" w:line="266" w:lineRule="auto"/>
        <w:rPr>
          <w:sz w:val="20"/>
          <w:szCs w:val="20"/>
          <w:color w:val="auto"/>
        </w:rPr>
      </w:pPr>
      <w:r>
        <w:rPr>
          <w:rFonts w:ascii="Arial" w:cs="Arial" w:eastAsia="Arial" w:hAnsi="Arial"/>
          <w:sz w:val="16"/>
          <w:szCs w:val="16"/>
          <w:color w:val="auto"/>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the number of subscription units as of March 31, 2024 and 2023:</w:t>
      </w:r>
    </w:p>
    <w:p>
      <w:pPr>
        <w:spacing w:after="0" w:line="26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As of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8"/>
        </w:trPr>
        <w:tc>
          <w:tcPr>
            <w:tcW w:w="8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9"/>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300" w:type="dxa"/>
            <w:vAlign w:val="bottom"/>
            <w:gridSpan w:val="2"/>
            <w:shd w:val="clear" w:color="auto" w:fill="CCEEFF"/>
          </w:tcPr>
          <w:p>
            <w:pPr>
              <w:jc w:val="right"/>
              <w:ind w:right="7139"/>
              <w:spacing w:after="0"/>
              <w:rPr>
                <w:sz w:val="20"/>
                <w:szCs w:val="20"/>
                <w:color w:val="auto"/>
              </w:rPr>
            </w:pPr>
            <w:r>
              <w:rPr>
                <w:rFonts w:ascii="Arial" w:cs="Arial" w:eastAsia="Arial" w:hAnsi="Arial"/>
                <w:sz w:val="16"/>
                <w:szCs w:val="16"/>
                <w:color w:val="auto"/>
              </w:rPr>
              <w:t>Number of subscription units</w:t>
            </w:r>
          </w:p>
        </w:tc>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1,605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right="360" w:firstLine="405"/>
        <w:spacing w:after="0" w:line="265" w:lineRule="auto"/>
        <w:rPr>
          <w:sz w:val="20"/>
          <w:szCs w:val="20"/>
          <w:color w:val="auto"/>
        </w:rPr>
      </w:pPr>
      <w:r>
        <w:rPr>
          <w:rFonts w:ascii="Arial" w:cs="Arial" w:eastAsia="Arial" w:hAnsi="Arial"/>
          <w:sz w:val="16"/>
          <w:szCs w:val="16"/>
          <w:color w:val="auto"/>
        </w:rPr>
        <w:t>We achieved 7% growth in subscription units from March 31, 2023 to March 31, 2024, primarily driven by an increase in forms and e-signature subscriptions resulting from bundling of these products into certain business formation offerings as well as an increase in virtual mail subscriptions. This growth was partially offset by a decline in registered agent and compliance subscriptions driven by the exit of certain channel partner relationships in the third quarter of 2023.</w:t>
      </w:r>
    </w:p>
    <w:p>
      <w:pPr>
        <w:spacing w:after="0" w:line="7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 sequential basis, the number of subscription units as of March 31, 2024 increased 4% from 1,545 thousand subscription units as of December 31,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25" w:lineRule="exact"/>
        <w:rPr>
          <w:sz w:val="20"/>
          <w:szCs w:val="20"/>
          <w:color w:val="auto"/>
        </w:rPr>
      </w:pPr>
    </w:p>
    <w:p>
      <w:pPr>
        <w:ind w:right="120" w:firstLine="405"/>
        <w:spacing w:after="0" w:line="266"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Arial" w:cs="Arial" w:eastAsia="Arial" w:hAnsi="Arial"/>
          <w:sz w:val="19"/>
          <w:szCs w:val="19"/>
          <w:color w:val="auto"/>
        </w:rPr>
        <w: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below table sets forth ARPU as of March 31, 2024 and 2023:</w:t>
      </w:r>
    </w:p>
    <w:p>
      <w:pPr>
        <w:spacing w:after="0" w:line="26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March 31,</w:t>
      </w:r>
    </w:p>
    <w:p>
      <w:pPr>
        <w:spacing w:after="0" w:line="39"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8380" w:val="left"/>
          <w:tab w:leader="none" w:pos="940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272</w:t>
        <w:tab/>
        <w:t>$</w:t>
      </w:r>
      <w:r>
        <w:rPr>
          <w:sz w:val="20"/>
          <w:szCs w:val="20"/>
          <w:color w:val="auto"/>
        </w:rPr>
        <w:tab/>
      </w:r>
      <w:r>
        <w:rPr>
          <w:rFonts w:ascii="Arial" w:cs="Arial" w:eastAsia="Arial" w:hAnsi="Arial"/>
          <w:sz w:val="15"/>
          <w:szCs w:val="15"/>
          <w:color w:val="auto"/>
        </w:rPr>
        <w:t>260</w:t>
      </w:r>
    </w:p>
    <w:p>
      <w:pPr>
        <w:spacing w:after="0" w:line="356"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ARPU increased 5% as of March 31, 2024 compared to March 31, 2023 driven primarily by a shift in mix towards our higher priced subscription offerings. ARPU was also impacted by the exit of certain channel partner relationships in the third quarter of 2023 and by the introduction of our forms and e-signature subscription offerings, both of which carry lower price points. ARPU as of March 31, 2024 was down 2% sequentially compared to December 31, 2023.</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small business retention rate</w:t>
      </w:r>
    </w:p>
    <w:p>
      <w:pPr>
        <w:spacing w:after="0" w:line="1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color w:val="auto"/>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Inc.,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March 31, 2024 was approximately 64%.</w:t>
      </w:r>
    </w:p>
    <w:p>
      <w:pPr>
        <w:spacing w:after="0" w:line="68" w:lineRule="exact"/>
        <w:rPr>
          <w:sz w:val="20"/>
          <w:szCs w:val="20"/>
          <w:color w:val="auto"/>
        </w:rPr>
      </w:pPr>
    </w:p>
    <w:p>
      <w:pPr>
        <w:ind w:right="180" w:firstLine="405"/>
        <w:spacing w:after="0" w:line="265" w:lineRule="auto"/>
        <w:rPr>
          <w:sz w:val="20"/>
          <w:szCs w:val="20"/>
          <w:color w:val="auto"/>
        </w:rPr>
      </w:pPr>
      <w:r>
        <w:rPr>
          <w:rFonts w:ascii="Arial" w:cs="Arial" w:eastAsia="Arial" w:hAnsi="Arial"/>
          <w:sz w:val="16"/>
          <w:szCs w:val="16"/>
          <w:color w:val="auto"/>
        </w:rPr>
        <w:t>We expect annual retention rate to fluctuate as we continue to test new products, subscription term lengths and price points and seek to optimize our product offerings across our lineup in connection with our “freemium” strategy.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jc w:val="both"/>
        <w:ind w:right="20" w:firstLine="405"/>
        <w:spacing w:after="0" w:line="266" w:lineRule="auto"/>
        <w:rPr>
          <w:sz w:val="20"/>
          <w:szCs w:val="20"/>
          <w:color w:val="auto"/>
        </w:rPr>
      </w:pPr>
      <w:r>
        <w:rPr>
          <w:rFonts w:ascii="Arial" w:cs="Arial" w:eastAsia="Arial" w:hAnsi="Arial"/>
          <w:sz w:val="16"/>
          <w:szCs w:val="16"/>
          <w:color w:val="auto"/>
        </w:rPr>
        <w:t>We generate revenue from the sources identified below.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spacing w:after="0" w:line="77"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ind w:right="40" w:firstLine="405"/>
        <w:spacing w:after="0" w:line="26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compliance packages, attorney advice,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w:t>
      </w:r>
    </w:p>
    <w:p>
      <w:pPr>
        <w:spacing w:after="0" w:line="64" w:lineRule="exact"/>
        <w:rPr>
          <w:sz w:val="20"/>
          <w:szCs w:val="20"/>
          <w:color w:val="auto"/>
        </w:rPr>
      </w:pPr>
    </w:p>
    <w:p>
      <w:pPr>
        <w:jc w:val="both"/>
        <w:ind w:right="120" w:firstLine="405"/>
        <w:spacing w:after="0" w:line="265"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8" w:lineRule="exact"/>
        <w:rPr>
          <w:sz w:val="20"/>
          <w:szCs w:val="20"/>
          <w:color w:val="auto"/>
        </w:rPr>
      </w:pPr>
    </w:p>
    <w:p>
      <w:pPr>
        <w:ind w:right="400" w:firstLine="405"/>
        <w:spacing w:after="0" w:line="266" w:lineRule="auto"/>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Operations—Critical Accounting Estimates—</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in our 2023 Annual Report on Form 10-K for a description of the accounting policies related to revenue recognition,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contain multiple deliverables.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82" w:lineRule="exact"/>
        <w:rPr>
          <w:sz w:val="20"/>
          <w:szCs w:val="20"/>
          <w:color w:val="auto"/>
        </w:rPr>
      </w:pPr>
    </w:p>
    <w:p>
      <w:pPr>
        <w:ind w:right="420" w:firstLine="405"/>
        <w:spacing w:after="0" w:line="286"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1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78"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and attorney-assisted legal offerings, which have lower gross margins than other products in our portfolio. However, we expect our gross margin to increase modestly over the longer term as we continue to focus on growing higher-margin subscription revenue and investing in fulfillment automation technologies. In addition, our gross margin could fluctuate from period to period due to fulfillment rates and seasonality.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5"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3" w:name="page24"/>
    <w:bookmarkEnd w:id="23"/>
    <w:p>
      <w:pPr>
        <w:ind w:right="80" w:firstLine="405"/>
        <w:spacing w:after="0" w:line="275" w:lineRule="auto"/>
        <w:rPr>
          <w:sz w:val="20"/>
          <w:szCs w:val="20"/>
          <w:color w:val="auto"/>
        </w:rPr>
      </w:pPr>
      <w:r>
        <w:rPr>
          <w:rFonts w:ascii="Arial" w:cs="Arial" w:eastAsia="Arial" w:hAnsi="Arial"/>
          <w:sz w:val="16"/>
          <w:szCs w:val="16"/>
          <w:color w:val="auto"/>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25" w:lineRule="exact"/>
        <w:rPr>
          <w:sz w:val="20"/>
          <w:szCs w:val="20"/>
          <w:color w:val="auto"/>
        </w:rPr>
      </w:pPr>
    </w:p>
    <w:p>
      <w:pPr>
        <w:ind w:right="120" w:firstLine="405"/>
        <w:spacing w:after="0" w:line="260" w:lineRule="auto"/>
        <w:rPr>
          <w:sz w:val="20"/>
          <w:szCs w:val="20"/>
          <w:color w:val="auto"/>
        </w:rPr>
      </w:pPr>
      <w:r>
        <w:rPr>
          <w:rFonts w:ascii="Arial" w:cs="Arial" w:eastAsia="Arial" w:hAnsi="Arial"/>
          <w:sz w:val="16"/>
          <w:szCs w:val="16"/>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83"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11"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spacing w:after="0" w:line="33"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consists primarily of amortization of debt issuance costs related to our Amended and Restated Credit and Guaranty Agreement,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2021 Revolving Facility.</w:t>
      </w:r>
    </w:p>
    <w:p>
      <w:pPr>
        <w:spacing w:after="0" w:line="101" w:lineRule="exact"/>
        <w:rPr>
          <w:sz w:val="20"/>
          <w:szCs w:val="20"/>
          <w:color w:val="auto"/>
        </w:rPr>
      </w:pPr>
    </w:p>
    <w:p>
      <w:pPr>
        <w:ind w:right="580" w:firstLine="405"/>
        <w:spacing w:after="0" w:line="304" w:lineRule="auto"/>
        <w:rPr>
          <w:sz w:val="20"/>
          <w:szCs w:val="20"/>
          <w:color w:val="auto"/>
        </w:rPr>
      </w:pPr>
      <w:r>
        <w:rPr>
          <w:rFonts w:ascii="Arial" w:cs="Arial" w:eastAsia="Arial" w:hAnsi="Arial"/>
          <w:sz w:val="16"/>
          <w:szCs w:val="16"/>
          <w:color w:val="auto"/>
        </w:rPr>
        <w:t>We expect interest expense to remain insignificant in the near term as we have no outstanding indebtedness. However, we would incur interest expense in the longer term should we draw down on our 2021 Revolving Facility or incur other indebtedness.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income consists primarily of interest income generated from our investment in money market funds.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right="460" w:firstLine="405"/>
        <w:spacing w:after="0" w:line="304"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165,936</w:t>
            </w:r>
          </w:p>
        </w:tc>
      </w:tr>
      <w:tr>
        <w:trPr>
          <w:trHeight w:val="216"/>
        </w:trPr>
        <w:tc>
          <w:tcPr>
            <w:tcW w:w="8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60,395</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105,541</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60,150</w:t>
            </w:r>
          </w:p>
        </w:tc>
      </w:tr>
      <w:tr>
        <w:trPr>
          <w:trHeight w:val="216"/>
        </w:trPr>
        <w:tc>
          <w:tcPr>
            <w:tcW w:w="8400" w:type="dxa"/>
            <w:vAlign w:val="bottom"/>
          </w:tcPr>
          <w:p>
            <w:pPr>
              <w:ind w:left="240"/>
              <w:spacing w:after="0" w:line="216" w:lineRule="exact"/>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19,683</w:t>
            </w:r>
          </w:p>
        </w:tc>
      </w:tr>
      <w:tr>
        <w:trPr>
          <w:trHeight w:val="216"/>
        </w:trPr>
        <w:tc>
          <w:tcPr>
            <w:tcW w:w="84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26,504</w:t>
            </w:r>
          </w:p>
        </w:tc>
      </w:tr>
      <w:tr>
        <w:trPr>
          <w:trHeight w:val="209"/>
        </w:trPr>
        <w:tc>
          <w:tcPr>
            <w:tcW w:w="8400" w:type="dxa"/>
            <w:vAlign w:val="bottom"/>
          </w:tcPr>
          <w:p>
            <w:pPr>
              <w:ind w:left="56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100,775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106,337</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84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r>
      <w:tr>
        <w:trPr>
          <w:trHeight w:val="215"/>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r>
      <w:tr>
        <w:trPr>
          <w:trHeight w:val="215"/>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09"/>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9,741</w:t>
            </w:r>
          </w:p>
        </w:tc>
      </w:tr>
      <w:tr>
        <w:trPr>
          <w:trHeight w:val="235"/>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Stock-based compensation expense decreased during the three months ended March 31, 2024 compared to the three months ended March 31, 2023 due to the modification of certain equity awards in connection with our IPO. Refer to Note 8 to our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ind w:left="420" w:right="280" w:hanging="412"/>
        <w:spacing w:after="0" w:line="286" w:lineRule="auto"/>
        <w:tabs>
          <w:tab w:leader="none" w:pos="40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819"/>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799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927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 expense</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7,670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Three Months Ended March 31, 2024 and 2023</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7"/>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line="217" w:lineRule="exact"/>
              <w:rPr>
                <w:sz w:val="20"/>
                <w:szCs w:val="20"/>
                <w:color w:val="auto"/>
              </w:rPr>
            </w:pPr>
            <w:r>
              <w:rPr>
                <w:rFonts w:ascii="Arial" w:cs="Arial" w:eastAsia="Arial" w:hAnsi="Arial"/>
                <w:sz w:val="16"/>
                <w:szCs w:val="16"/>
                <w:b w:val="1"/>
                <w:bCs w:val="1"/>
                <w:color w:val="auto"/>
              </w:rPr>
              <w:t>Revenue by type</w:t>
            </w:r>
            <w:r>
              <w:rPr>
                <w:rFonts w:ascii="Arial" w:cs="Arial" w:eastAsia="Arial" w:hAnsi="Arial"/>
                <w:sz w:val="21"/>
                <w:szCs w:val="21"/>
                <w:b w:val="1"/>
                <w:bCs w:val="1"/>
                <w:color w:val="auto"/>
                <w:vertAlign w:val="superscript"/>
              </w:rPr>
              <w:t>(1)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Transaction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66,317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68,027</w:t>
            </w:r>
          </w:p>
        </w:tc>
        <w:tc>
          <w:tcPr>
            <w:tcW w:w="220" w:type="dxa"/>
            <w:vAlign w:val="bottom"/>
          </w:tcPr>
          <w:p>
            <w:pPr>
              <w:spacing w:after="0"/>
              <w:rPr>
                <w:sz w:val="18"/>
                <w:szCs w:val="18"/>
                <w:color w:val="auto"/>
              </w:rPr>
            </w:pPr>
          </w:p>
        </w:tc>
        <w:tc>
          <w:tcPr>
            <w:tcW w:w="220" w:type="dxa"/>
            <w:vAlign w:val="bottom"/>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499"/>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97,909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99"/>
              </w:rPr>
              <w:t>9,988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174,214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165,936</w:t>
            </w:r>
          </w:p>
        </w:tc>
        <w:tc>
          <w:tcPr>
            <w:tcW w:w="22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9"/>
              </w:rPr>
              <w:t>8,278</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right="120" w:hanging="412"/>
        <w:spacing w:after="0" w:line="275" w:lineRule="auto"/>
        <w:tabs>
          <w:tab w:leader="none" w:pos="438" w:val="left"/>
        </w:tabs>
        <w:numPr>
          <w:ilvl w:val="0"/>
          <w:numId w:val="9"/>
        </w:numPr>
        <w:rPr>
          <w:rFonts w:ascii="Arial" w:cs="Arial" w:eastAsia="Arial" w:hAnsi="Arial"/>
          <w:sz w:val="16"/>
          <w:szCs w:val="16"/>
          <w:color w:val="auto"/>
        </w:rPr>
      </w:pPr>
      <w:r>
        <w:rPr>
          <w:rFonts w:ascii="Arial" w:cs="Arial" w:eastAsia="Arial" w:hAnsi="Arial"/>
          <w:sz w:val="16"/>
          <w:szCs w:val="16"/>
          <w:color w:val="auto"/>
        </w:rPr>
        <w:t>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spacing w:after="0" w:line="5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The increase in total revenue for the three months ended March 31, 2024 primarily driven by an increase in subscription revenue. Subscription revenue was 62% and 59% of total revenue for the three months ended March 31, 2024 and 2023, respectively, and transaction revenue was 38% and 41% of total revenue for the three months ended March 31, 2024 and 2023, respectively.</w:t>
      </w:r>
    </w:p>
    <w:p>
      <w:pPr>
        <w:spacing w:after="0" w:line="56" w:lineRule="exact"/>
        <w:rPr>
          <w:sz w:val="20"/>
          <w:szCs w:val="20"/>
          <w:color w:val="auto"/>
        </w:rPr>
      </w:pPr>
    </w:p>
    <w:p>
      <w:pPr>
        <w:ind w:right="40" w:firstLine="405"/>
        <w:spacing w:after="0" w:line="259" w:lineRule="auto"/>
        <w:rPr>
          <w:sz w:val="20"/>
          <w:szCs w:val="20"/>
          <w:color w:val="auto"/>
        </w:rPr>
      </w:pPr>
      <w:r>
        <w:rPr>
          <w:rFonts w:ascii="Arial" w:cs="Arial" w:eastAsia="Arial" w:hAnsi="Arial"/>
          <w:sz w:val="16"/>
          <w:szCs w:val="16"/>
          <w:color w:val="auto"/>
        </w:rPr>
        <w:t>Transaction revenue for the three months ended March 31, 2024 decreased due to a 10% decrease in average order value compared to the three months ended March 31, 2023, partially offset by a 9% increase in transaction units over the same period. The decrease in average order value for the three months ended March 31, 2024 was primarily driven by a shift in the mix of our products towards lower priced transaction products, including annual reports, beneficial ownership information reports and corporate dissolutions, along with a reduction in fees earned from third-party providers from leads generated for such providers through our online platform. The increase in transaction units during the three months ended March 31, 2024 resulted primarily from the introduction of our beneficial ownership information report product, as well as an increase in other small business related transactions, including annual reports and corporate dissolutions. The foregoing increases in transaction units were partially offset by an 18% reduction in business formations primarily due to a decrease in LLC formations and the exit of certain channel partner relationships in the third quarter of 2023.</w:t>
      </w:r>
    </w:p>
    <w:p>
      <w:pPr>
        <w:spacing w:after="0" w:line="72" w:lineRule="exact"/>
        <w:rPr>
          <w:sz w:val="20"/>
          <w:szCs w:val="20"/>
          <w:color w:val="auto"/>
        </w:rPr>
      </w:pPr>
    </w:p>
    <w:p>
      <w:pPr>
        <w:ind w:right="20" w:firstLine="405"/>
        <w:spacing w:after="0" w:line="262" w:lineRule="auto"/>
        <w:rPr>
          <w:sz w:val="20"/>
          <w:szCs w:val="20"/>
          <w:color w:val="auto"/>
        </w:rPr>
      </w:pPr>
      <w:r>
        <w:rPr>
          <w:rFonts w:ascii="Arial" w:cs="Arial" w:eastAsia="Arial" w:hAnsi="Arial"/>
          <w:sz w:val="16"/>
          <w:szCs w:val="16"/>
          <w:color w:val="auto"/>
        </w:rPr>
        <w:t>Subscription revenue for the three months ended March 31, 2024 increased primarily due to a 7% increase in the number of subscription units and a 5% improvement in ARPU compared to the three months ended March 31, 2023. The increase in subscription units was primarily driven by an increase in forms and e-signature subscriptions primarily due to the bundling of these products into certain business formation offerings, as well as an increase in virtual mail subscriptions. This growth was partially offset by a decline in registered agent and compliance subscriptions driven by the exit of certain channel partner relationships in the third quarter of 2023. ARPU as of March 31, 2024 increased 5% compared to March 31, 2023 driven primarily by a shift in mix towards our higher priced subscription offerings. ARPU was also impacted by the exit of certain channel partner relationships in the third quarter of 2023 and by the introduction of our forms and e-signature subscription offerings, both of which carry lower price points.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40"/>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5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of revenue for the three months ended March 31, 2024 increased by $8.0 million mainly due to a $3.2 million increase in filing fees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 million increase in depreciation and amortization expense. The increase in filing fees was primarily driven by filing fees related to business formations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2024 in certain states that temporarily halted charging filing fees in the first half of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4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5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105,541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w w:val="97"/>
              </w:rPr>
              <w:t>—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0" w:firstLine="405"/>
        <w:spacing w:after="0" w:line="304" w:lineRule="auto"/>
        <w:rPr>
          <w:sz w:val="20"/>
          <w:szCs w:val="20"/>
          <w:color w:val="auto"/>
        </w:rPr>
      </w:pPr>
      <w:r>
        <w:rPr>
          <w:rFonts w:ascii="Arial" w:cs="Arial" w:eastAsia="Arial" w:hAnsi="Arial"/>
          <w:sz w:val="16"/>
          <w:szCs w:val="16"/>
          <w:color w:val="auto"/>
        </w:rPr>
        <w:t>Gross profit was flat for the three months ended March 31, 2024 compared to three months ended March 31, 2023, as the $8.3 million increase in revenue was offset by an $8.0 million increase in cost of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Sales and marketing expenses for the three months ended March 31, 2024 decreased primarily due to a $6.0 million reduction in payroll and related benefits largely due to a reduction in sales and marketing headcount. Customer acquisition marketing spend was $40.6 million and $40.7 million for the three months ended March 31, 2024 and 2023,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4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4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80" w:firstLine="405"/>
        <w:spacing w:after="0" w:line="304" w:lineRule="auto"/>
        <w:rPr>
          <w:sz w:val="20"/>
          <w:szCs w:val="20"/>
          <w:color w:val="auto"/>
        </w:rPr>
      </w:pPr>
      <w:r>
        <w:rPr>
          <w:rFonts w:ascii="Arial" w:cs="Arial" w:eastAsia="Arial" w:hAnsi="Arial"/>
          <w:sz w:val="16"/>
          <w:szCs w:val="16"/>
          <w:color w:val="auto"/>
        </w:rPr>
        <w:t>Technology and development expenses for the three months ended March 31, 2024 increased primarily due to an increase in payroll and related benefits largely due to increased technology and development headcount.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32"/>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7"/>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9"/>
        </w:trPr>
        <w:tc>
          <w:tcPr>
            <w:tcW w:w="52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8"/>
                <w:szCs w:val="18"/>
                <w:color w:val="auto"/>
              </w:rPr>
            </w:pPr>
          </w:p>
        </w:tc>
      </w:tr>
      <w:tr>
        <w:trPr>
          <w:trHeight w:val="24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11240" w:type="dxa"/>
            <w:vAlign w:val="bottom"/>
            <w:gridSpan w:val="14"/>
          </w:tcPr>
          <w:p>
            <w:pPr>
              <w:ind w:left="420"/>
              <w:spacing w:after="0"/>
              <w:rPr>
                <w:sz w:val="20"/>
                <w:szCs w:val="20"/>
                <w:color w:val="auto"/>
              </w:rPr>
            </w:pPr>
            <w:r>
              <w:rPr>
                <w:rFonts w:ascii="Arial" w:cs="Arial" w:eastAsia="Arial" w:hAnsi="Arial"/>
                <w:sz w:val="16"/>
                <w:szCs w:val="16"/>
                <w:color w:val="auto"/>
              </w:rPr>
              <w:t>General and administrative expenses for the three months ended March 31, 2024 decreased primarily due to a $3.8 million decrease in stock-based</w:t>
            </w:r>
          </w:p>
        </w:tc>
      </w:tr>
      <w:tr>
        <w:trPr>
          <w:trHeight w:val="215"/>
        </w:trPr>
        <w:tc>
          <w:tcPr>
            <w:tcW w:w="5240" w:type="dxa"/>
            <w:vAlign w:val="bottom"/>
          </w:tcPr>
          <w:p>
            <w:pPr>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27"/>
        </w:trPr>
        <w:tc>
          <w:tcPr>
            <w:tcW w:w="5240" w:type="dxa"/>
            <w:vAlign w:val="bottom"/>
          </w:tcPr>
          <w:p>
            <w:pPr>
              <w:spacing w:after="0"/>
              <w:rPr>
                <w:sz w:val="20"/>
                <w:szCs w:val="20"/>
                <w:color w:val="auto"/>
              </w:rPr>
            </w:pPr>
            <w:r>
              <w:rPr>
                <w:rFonts w:ascii="Arial" w:cs="Arial" w:eastAsia="Arial" w:hAnsi="Arial"/>
                <w:sz w:val="16"/>
                <w:szCs w:val="16"/>
                <w:b w:val="1"/>
                <w:bCs w:val="1"/>
                <w:i w:val="1"/>
                <w:iCs w:val="1"/>
                <w:color w:val="auto"/>
              </w:rPr>
              <w:t>Interest expense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2"/>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7"/>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Borders>
              <w:bottom w:val="single" w:sz="8" w:color="auto"/>
            </w:tcBorders>
          </w:tcPr>
          <w:p>
            <w:pPr>
              <w:spacing w:after="0"/>
              <w:rPr>
                <w:sz w:val="18"/>
                <w:szCs w:val="18"/>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consists primarily of amortization of debt issuance costs related to our 2021 Revolving Facility.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45"/>
        </w:trPr>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09"/>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9"/>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6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52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9"/>
        </w:trPr>
        <w:tc>
          <w:tcPr>
            <w:tcW w:w="11240" w:type="dxa"/>
            <w:vAlign w:val="bottom"/>
            <w:gridSpan w:val="18"/>
          </w:tcPr>
          <w:p>
            <w:pPr>
              <w:ind w:left="420"/>
              <w:spacing w:after="0"/>
              <w:rPr>
                <w:sz w:val="20"/>
                <w:szCs w:val="20"/>
                <w:color w:val="auto"/>
              </w:rPr>
            </w:pPr>
            <w:r>
              <w:rPr>
                <w:rFonts w:ascii="Arial" w:cs="Arial" w:eastAsia="Arial" w:hAnsi="Arial"/>
                <w:sz w:val="16"/>
                <w:szCs w:val="16"/>
                <w:color w:val="auto"/>
              </w:rPr>
              <w:t>The change in interest income was primarily due to dividend income generated from our money market investments during the three months ended</w:t>
            </w:r>
          </w:p>
        </w:tc>
      </w:tr>
      <w:tr>
        <w:trPr>
          <w:trHeight w:val="215"/>
        </w:trPr>
        <w:tc>
          <w:tcPr>
            <w:tcW w:w="5260" w:type="dxa"/>
            <w:vAlign w:val="bottom"/>
          </w:tcPr>
          <w:p>
            <w:pPr>
              <w:spacing w:after="0"/>
              <w:rPr>
                <w:sz w:val="20"/>
                <w:szCs w:val="20"/>
                <w:color w:val="auto"/>
              </w:rPr>
            </w:pPr>
            <w:r>
              <w:rPr>
                <w:rFonts w:ascii="Arial" w:cs="Arial" w:eastAsia="Arial" w:hAnsi="Arial"/>
                <w:sz w:val="16"/>
                <w:szCs w:val="16"/>
                <w:color w:val="auto"/>
              </w:rPr>
              <w:t>March 31,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13"/>
        </w:trPr>
        <w:tc>
          <w:tcPr>
            <w:tcW w:w="52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2"/>
        </w:trPr>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gridSpan w:val="2"/>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9"/>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8"/>
                <w:szCs w:val="18"/>
                <w:color w:val="auto"/>
              </w:rPr>
            </w:pP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00" w:firstLine="405"/>
        <w:spacing w:after="0" w:line="304" w:lineRule="auto"/>
        <w:rPr>
          <w:sz w:val="20"/>
          <w:szCs w:val="20"/>
          <w:color w:val="auto"/>
        </w:rPr>
      </w:pPr>
      <w:r>
        <w:rPr>
          <w:rFonts w:ascii="Arial" w:cs="Arial" w:eastAsia="Arial" w:hAnsi="Arial"/>
          <w:sz w:val="16"/>
          <w:szCs w:val="16"/>
          <w:color w:val="auto"/>
        </w:rPr>
        <w:t>The change in other (expense) income, net, between 2024 and 2023 was primarily due to changes in foreign currency movements related to our intercompany loans which were denominated in British Pound Sterling, or GBP.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40"/>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09"/>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8"/>
                <w:szCs w:val="18"/>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3,837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0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259.4 %</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405"/>
        <w:spacing w:after="0" w:line="257" w:lineRule="auto"/>
        <w:rPr>
          <w:sz w:val="20"/>
          <w:szCs w:val="20"/>
          <w:color w:val="auto"/>
        </w:rPr>
      </w:pPr>
      <w:r>
        <w:rPr>
          <w:rFonts w:ascii="Arial" w:cs="Arial" w:eastAsia="Arial" w:hAnsi="Arial"/>
          <w:sz w:val="16"/>
          <w:szCs w:val="16"/>
          <w:color w:val="auto"/>
        </w:rPr>
        <w:t>The provision for income taxes for the three months ended March 31, 2024 resulted from a $0.6 million favorable change as compared to the three months ended March 31, 2023. The change was primarily due to higher pre-tax book income and non-deductible stock-based compensation for the three months ended March 31, 2024. This resulted in a lower effective tax rate for the three months ended March 31, 2024</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compared to a lower pre-tax income with a higher effective tax rate for the three months ended March 31, 2023.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right="240" w:firstLine="405"/>
        <w:spacing w:after="0" w:line="261" w:lineRule="auto"/>
        <w:rPr>
          <w:sz w:val="20"/>
          <w:szCs w:val="20"/>
          <w:color w:val="auto"/>
        </w:rPr>
      </w:pPr>
      <w:r>
        <w:rPr>
          <w:rFonts w:ascii="Arial" w:cs="Arial" w:eastAsia="Arial" w:hAnsi="Arial"/>
          <w:sz w:val="16"/>
          <w:szCs w:val="16"/>
          <w:color w:val="auto"/>
        </w:rPr>
        <w:t>We fund our operations and capital expenditures from cash flows from operating activities. Our primary requirements for liquidity and capital are to finance working capital, capital expenditures and general corporate purposes. At March 31, 2024, our principal sources of liquidity were cash and cash equivalents of $228.1 million, which consisted of cash on deposit with banks and money market funds, of which approximately $2.7 million related to our foreign subsidiaries. Our cash and cash equivalents increased by $2.4 million from December 31, 2023 to March 31, 2024, primarily as a result of cash provided by operating activities, partially offset by purchases of property and equipment and stock repurchases during the three months ended March 31, 2024.</w:t>
      </w:r>
    </w:p>
    <w:p>
      <w:pPr>
        <w:spacing w:after="0" w:line="82" w:lineRule="exact"/>
        <w:rPr>
          <w:sz w:val="20"/>
          <w:szCs w:val="20"/>
          <w:color w:val="auto"/>
        </w:rPr>
      </w:pPr>
    </w:p>
    <w:p>
      <w:pPr>
        <w:ind w:right="40" w:firstLine="405"/>
        <w:spacing w:after="0" w:line="262"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over the longer term with borrowings under our 2021 Revolving Facility. In addition, we previously announced our intention to sell our operating headquarters in Austin, Texas, which is discussed in more detail in Note 4 to our unaudited condensed consolidated financial statements included elsewhere in this Quarterly Report on Form 10-Q.</w:t>
      </w:r>
    </w:p>
    <w:p>
      <w:pPr>
        <w:spacing w:after="0" w:line="277"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70" w:lineRule="exact"/>
        <w:rPr>
          <w:sz w:val="20"/>
          <w:szCs w:val="20"/>
          <w:color w:val="auto"/>
        </w:rPr>
      </w:pPr>
    </w:p>
    <w:p>
      <w:pPr>
        <w:ind w:firstLine="405"/>
        <w:spacing w:after="0" w:line="271" w:lineRule="auto"/>
        <w:rPr>
          <w:sz w:val="20"/>
          <w:szCs w:val="20"/>
          <w:color w:val="auto"/>
        </w:rPr>
      </w:pPr>
      <w:r>
        <w:rPr>
          <w:rFonts w:ascii="Arial" w:cs="Arial" w:eastAsia="Arial" w:hAnsi="Arial"/>
          <w:sz w:val="16"/>
          <w:szCs w:val="16"/>
          <w:color w:val="auto"/>
        </w:rPr>
        <w:t>In October 2023, our board of directors approved a new stock repurchase program, pursuant to which our management is authorized to repurchase up to $100.0 million of shares of our common stock from time to time. At March 31, 2024, approximately $87.2 million remained available for future repurchases of our common stock under the stock repurchase program. For additional information regarding our stock repurchase program, refer to Note 7 to our unaudited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125"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March 31, 2024, we had no borrowings outstanding and $150.0 million was available for use under our 2021 Revolving Facility.</w:t>
      </w:r>
    </w:p>
    <w:p>
      <w:pPr>
        <w:spacing w:after="0" w:line="65"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Subject to the satisfaction of certain criteria, we will be able to increase the 2021 Revolving Facility by an amount equal to the sum of (i) the greater of $90.0 million and 75% of consolidated last twelve months cash earnings before interest expense, tax, depreciation and amortization, or LTM CEBITDA, plus</w:t>
      </w:r>
    </w:p>
    <w:p>
      <w:pPr>
        <w:spacing w:after="0" w:line="1" w:lineRule="exact"/>
        <w:rPr>
          <w:sz w:val="20"/>
          <w:szCs w:val="20"/>
          <w:color w:val="auto"/>
        </w:rPr>
      </w:pPr>
    </w:p>
    <w:p>
      <w:pPr>
        <w:jc w:val="both"/>
        <w:ind w:right="140" w:firstLine="8"/>
        <w:spacing w:after="0" w:line="264" w:lineRule="auto"/>
        <w:tabs>
          <w:tab w:leader="none" w:pos="2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spacing w:after="0" w:line="65" w:lineRule="exact"/>
        <w:rPr>
          <w:sz w:val="20"/>
          <w:szCs w:val="20"/>
          <w:color w:val="auto"/>
        </w:rPr>
      </w:pPr>
    </w:p>
    <w:p>
      <w:pPr>
        <w:ind w:right="40" w:firstLine="405"/>
        <w:spacing w:after="0" w:line="260" w:lineRule="auto"/>
        <w:rPr>
          <w:sz w:val="20"/>
          <w:szCs w:val="20"/>
          <w:color w:val="auto"/>
        </w:rPr>
      </w:pPr>
      <w:r>
        <w:rPr>
          <w:rFonts w:ascii="Arial" w:cs="Arial" w:eastAsia="Arial" w:hAnsi="Arial"/>
          <w:sz w:val="16"/>
          <w:szCs w:val="16"/>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March 31, 2024, the interest rate applicable to the 2021 Revolving Facility was subject to a 1.0% floor and was at a rate equal to the greatest of: (i) the administrative agent’s prime rate; (ii) the federal funds effective rate plus 1/2 of 1.0%; and</w:t>
      </w:r>
    </w:p>
    <w:p>
      <w:pPr>
        <w:spacing w:after="0" w:line="2" w:lineRule="exact"/>
        <w:rPr>
          <w:sz w:val="20"/>
          <w:szCs w:val="20"/>
          <w:color w:val="auto"/>
        </w:rPr>
      </w:pPr>
    </w:p>
    <w:p>
      <w:pPr>
        <w:ind w:right="160" w:firstLine="8"/>
        <w:spacing w:after="0" w:line="258" w:lineRule="auto"/>
        <w:tabs>
          <w:tab w:leader="none" w:pos="2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further reduction of 0.25% if the total net first lien leverage ratio does not exceed 3.50 to 1.00 and 2.50 to 1.00,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29" w:name="page30"/>
    <w:bookmarkEnd w:id="29"/>
    <w:p>
      <w:pPr>
        <w:ind w:right="20" w:firstLine="405"/>
        <w:spacing w:after="0" w:line="275"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on July 1, 2026.</w:t>
      </w:r>
    </w:p>
    <w:p>
      <w:pPr>
        <w:spacing w:after="0" w:line="56"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56" w:lineRule="exact"/>
        <w:rPr>
          <w:sz w:val="20"/>
          <w:szCs w:val="20"/>
          <w:color w:val="auto"/>
        </w:rPr>
      </w:pPr>
    </w:p>
    <w:p>
      <w:pPr>
        <w:ind w:right="320" w:firstLine="405"/>
        <w:spacing w:after="0" w:line="265"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64" w:lineRule="exact"/>
        <w:rPr>
          <w:sz w:val="20"/>
          <w:szCs w:val="20"/>
          <w:color w:val="auto"/>
        </w:rPr>
      </w:pPr>
    </w:p>
    <w:p>
      <w:pPr>
        <w:ind w:right="180" w:firstLine="405"/>
        <w:spacing w:after="0" w:line="275"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ectPr>
          <w:pgSz w:w="11900" w:h="16838" w:orient="portrait"/>
          <w:cols w:equalWidth="0" w:num="1">
            <w:col w:w="11240"/>
          </w:cols>
          <w:pgMar w:left="320" w:top="1043"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increase in cash and cash equivalents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808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8084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44" w:lineRule="exact"/>
        <w:rPr>
          <w:sz w:val="20"/>
          <w:szCs w:val="20"/>
          <w:color w:val="auto"/>
        </w:rPr>
      </w:pPr>
    </w:p>
    <w:p>
      <w:pPr>
        <w:spacing w:after="0"/>
        <w:tabs>
          <w:tab w:leader="none" w:pos="780" w:val="left"/>
          <w:tab w:leader="none" w:pos="146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34,194</w:t>
        <w:tab/>
        <w:t>$</w:t>
      </w:r>
      <w:r>
        <w:rPr>
          <w:sz w:val="20"/>
          <w:szCs w:val="20"/>
          <w:color w:val="auto"/>
        </w:rPr>
        <w:tab/>
      </w:r>
      <w:r>
        <w:rPr>
          <w:rFonts w:ascii="Arial" w:cs="Arial" w:eastAsia="Arial" w:hAnsi="Arial"/>
          <w:sz w:val="15"/>
          <w:szCs w:val="15"/>
          <w:color w:val="auto"/>
        </w:rPr>
        <w:t>29,208</w:t>
      </w:r>
    </w:p>
    <w:p>
      <w:pPr>
        <w:spacing w:after="0" w:line="59"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(9,477)</w:t>
      </w:r>
      <w:r>
        <w:rPr>
          <w:sz w:val="20"/>
          <w:szCs w:val="20"/>
          <w:color w:val="auto"/>
        </w:rPr>
        <w:tab/>
      </w:r>
      <w:r>
        <w:rPr>
          <w:rFonts w:ascii="Arial" w:cs="Arial" w:eastAsia="Arial" w:hAnsi="Arial"/>
          <w:sz w:val="16"/>
          <w:szCs w:val="16"/>
          <w:color w:val="auto"/>
        </w:rPr>
        <w:t>(7,428)</w:t>
      </w:r>
    </w:p>
    <w:p>
      <w:pPr>
        <w:spacing w:after="0" w:line="59" w:lineRule="exact"/>
        <w:rPr>
          <w:sz w:val="20"/>
          <w:szCs w:val="20"/>
          <w:color w:val="auto"/>
        </w:rPr>
      </w:pPr>
    </w:p>
    <w:p>
      <w:pPr>
        <w:jc w:val="both"/>
        <w:ind w:left="740"/>
        <w:spacing w:after="0"/>
        <w:tabs>
          <w:tab w:leader="none" w:pos="2280" w:val="left"/>
        </w:tabs>
        <w:rPr>
          <w:sz w:val="20"/>
          <w:szCs w:val="20"/>
          <w:color w:val="auto"/>
        </w:rPr>
      </w:pPr>
      <w:r>
        <w:rPr>
          <w:rFonts w:ascii="Arial" w:cs="Arial" w:eastAsia="Arial" w:hAnsi="Arial"/>
          <w:sz w:val="16"/>
          <w:szCs w:val="16"/>
          <w:color w:val="auto"/>
        </w:rPr>
        <w:t>(22,271)</w:t>
      </w:r>
      <w:r>
        <w:rPr>
          <w:sz w:val="20"/>
          <w:szCs w:val="20"/>
          <w:color w:val="auto"/>
        </w:rPr>
        <w:tab/>
      </w:r>
      <w:r>
        <w:rPr>
          <w:rFonts w:ascii="Arial" w:cs="Arial" w:eastAsia="Arial" w:hAnsi="Arial"/>
          <w:sz w:val="16"/>
          <w:szCs w:val="16"/>
          <w:color w:val="auto"/>
        </w:rPr>
        <w:t>(6,755)</w:t>
      </w:r>
    </w:p>
    <w:p>
      <w:pPr>
        <w:spacing w:after="0" w:line="59" w:lineRule="exact"/>
        <w:rPr>
          <w:sz w:val="20"/>
          <w:szCs w:val="20"/>
          <w:color w:val="auto"/>
        </w:rPr>
      </w:pPr>
    </w:p>
    <w:p>
      <w:pPr>
        <w:ind w:left="2580" w:hanging="1526"/>
        <w:spacing w:after="0"/>
        <w:tabs>
          <w:tab w:leader="none" w:pos="2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19</w:t>
      </w:r>
    </w:p>
    <w:p>
      <w:pPr>
        <w:spacing w:after="0" w:line="73" w:lineRule="exact"/>
        <w:rPr>
          <w:sz w:val="20"/>
          <w:szCs w:val="20"/>
          <w:color w:val="auto"/>
        </w:rPr>
      </w:pPr>
    </w:p>
    <w:p>
      <w:pPr>
        <w:spacing w:after="0"/>
        <w:tabs>
          <w:tab w:leader="none" w:pos="880" w:val="left"/>
          <w:tab w:leader="none" w:pos="1460" w:val="left"/>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2,410</w:t>
        <w:tab/>
        <w:t>$</w:t>
      </w:r>
      <w:r>
        <w:rPr>
          <w:sz w:val="20"/>
          <w:szCs w:val="20"/>
          <w:color w:val="auto"/>
        </w:rPr>
        <w:tab/>
      </w:r>
      <w:r>
        <w:rPr>
          <w:rFonts w:ascii="Arial" w:cs="Arial" w:eastAsia="Arial" w:hAnsi="Arial"/>
          <w:sz w:val="15"/>
          <w:szCs w:val="15"/>
          <w:color w:val="auto"/>
        </w:rPr>
        <w:t>15,044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8084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7680" w:space="720"/>
            <w:col w:w="2840"/>
          </w:cols>
          <w:pgMar w:left="320" w:top="1043" w:right="339" w:bottom="1440" w:gutter="0" w:footer="0" w:header="0"/>
          <w:type w:val="continuous"/>
        </w:sectPr>
      </w:pPr>
    </w:p>
    <w:p>
      <w:pPr>
        <w:ind w:firstLine="405"/>
        <w:spacing w:after="0" w:line="265" w:lineRule="auto"/>
        <w:rPr>
          <w:sz w:val="20"/>
          <w:szCs w:val="20"/>
          <w:color w:val="auto"/>
        </w:rPr>
      </w:pPr>
      <w:r>
        <w:rPr>
          <w:rFonts w:ascii="Arial" w:cs="Arial" w:eastAsia="Arial" w:hAnsi="Arial"/>
          <w:sz w:val="16"/>
          <w:szCs w:val="16"/>
          <w:color w:val="auto"/>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(loss) adjusted for certain non-cash items, including depreciation and amortization expense, stock-based compensation and impairments of long-lived assets, as well as the effect of changes in operating assets and liabilities.</w:t>
      </w:r>
    </w:p>
    <w:p>
      <w:pPr>
        <w:spacing w:after="0" w:line="118" w:lineRule="exact"/>
        <w:rPr>
          <w:sz w:val="20"/>
          <w:szCs w:val="20"/>
          <w:color w:val="auto"/>
        </w:rPr>
      </w:pPr>
    </w:p>
    <w:p>
      <w:pPr>
        <w:ind w:right="160" w:firstLine="405"/>
        <w:spacing w:after="0" w:line="261" w:lineRule="auto"/>
        <w:rPr>
          <w:sz w:val="20"/>
          <w:szCs w:val="20"/>
          <w:color w:val="auto"/>
        </w:rPr>
      </w:pPr>
      <w:r>
        <w:rPr>
          <w:rFonts w:ascii="Arial" w:cs="Arial" w:eastAsia="Arial" w:hAnsi="Arial"/>
          <w:sz w:val="16"/>
          <w:szCs w:val="16"/>
          <w:color w:val="auto"/>
        </w:rPr>
        <w:t>In the three months ended March 31, 2024, cash provided by operating activities was $34.2 million resulting from net income of $4.7 million, adjusted for stock-based compensation and other non-cash expenses of $24.9 million and net cash flows provided by changes in operating assets and liabilities of $4.6 million. The $4.6 million of net cash flows provided from changes in our operating assets and liabilities included a $19.6 million increase in deferred revenue largely due to growth of our subscription units, which are predominantly billed in advance of our revenue recognition and a $1.4 million increase in accounts payable, partially offset by a $4.0 million increase in accounts receivable, a $2.8 million increase in prepaid and other current assets, and a $9.7 million reduction in accrued expenses and operating lease liability and other liabilities due to the timing of our payments.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11"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78"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In the three months ended March 31, 2024, net cash used in investing activities was $9.5 million resulting primarily from purchases of property and equipment, including capitalization of internal-use software.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11"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spacing w:after="0" w:line="33" w:lineRule="exact"/>
        <w:rPr>
          <w:sz w:val="20"/>
          <w:szCs w:val="20"/>
          <w:color w:val="auto"/>
        </w:rPr>
      </w:pPr>
    </w:p>
    <w:p>
      <w:pPr>
        <w:ind w:right="240" w:firstLine="405"/>
        <w:spacing w:after="0" w:line="304" w:lineRule="auto"/>
        <w:rPr>
          <w:sz w:val="20"/>
          <w:szCs w:val="20"/>
          <w:color w:val="auto"/>
        </w:rPr>
      </w:pPr>
      <w:r>
        <w:rPr>
          <w:rFonts w:ascii="Arial" w:cs="Arial" w:eastAsia="Arial" w:hAnsi="Arial"/>
          <w:sz w:val="16"/>
          <w:szCs w:val="16"/>
          <w:color w:val="auto"/>
        </w:rPr>
        <w:t>In the three months ended March 31, 2024, net cash used in financing activities was $22.3 million, resulting from $12.8 million in repurchases of our common stock under our stock repurchase program and a $9.6 million settlement of minimum statutory tax withholding upon vesting of RSUs.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Cash Requirements</w:t>
      </w:r>
    </w:p>
    <w:p>
      <w:pPr>
        <w:spacing w:after="0" w:line="111"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125" w:lineRule="exact"/>
        <w:rPr>
          <w:sz w:val="20"/>
          <w:szCs w:val="20"/>
          <w:color w:val="auto"/>
        </w:rPr>
      </w:pPr>
    </w:p>
    <w:p>
      <w:pPr>
        <w:ind w:right="580" w:firstLine="405"/>
        <w:spacing w:after="0" w:line="286" w:lineRule="auto"/>
        <w:rPr>
          <w:sz w:val="20"/>
          <w:szCs w:val="20"/>
          <w:color w:val="auto"/>
        </w:rPr>
      </w:pPr>
      <w:r>
        <w:rPr>
          <w:rFonts w:ascii="Arial" w:cs="Arial" w:eastAsia="Arial" w:hAnsi="Arial"/>
          <w:sz w:val="16"/>
          <w:szCs w:val="16"/>
          <w:color w:val="auto"/>
        </w:rPr>
        <w:t>We have non-cancelable agreements with various vendors, which require us to pay $49.6 million over a four-year period, of which $33.0 million remains to be paid as of March 31,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Obligations</w:t>
      </w:r>
    </w:p>
    <w:p>
      <w:pPr>
        <w:spacing w:after="0" w:line="125"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At March 31, 2024, we had various non-cancelable operating leases for office space and equipment, which expire between May 2024 and November 2029. As of March 31, 2024, we had total minimum operating lease maturities of $9.5 million, $1.7 million of which mature within nine months. See Note 8 of our consolidated financial statements included in our 2023 Annual Report on Form 10-K for additional information regarding our future operating lease payments.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7"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25" w:lineRule="exact"/>
        <w:rPr>
          <w:sz w:val="20"/>
          <w:szCs w:val="20"/>
          <w:color w:val="auto"/>
        </w:rPr>
      </w:pPr>
    </w:p>
    <w:p>
      <w:pPr>
        <w:ind w:right="80" w:firstLine="405"/>
        <w:spacing w:after="0" w:line="262" w:lineRule="auto"/>
        <w:rPr>
          <w:sz w:val="20"/>
          <w:szCs w:val="20"/>
          <w:color w:val="auto"/>
        </w:rPr>
      </w:pPr>
      <w:r>
        <w:rPr>
          <w:rFonts w:ascii="Arial" w:cs="Arial" w:eastAsia="Arial" w:hAnsi="Arial"/>
          <w:sz w:val="16"/>
          <w:szCs w:val="16"/>
          <w:color w:val="auto"/>
        </w:rPr>
        <w:t>We define Adjusted EBITDA as net income (loss) adjusted to exclude interest expense, interest income, provision for (benefit from) income taxes, depreciation and amortization, other expense (income), net, stock-based compensation, impairment of goodwill, long-lived and other assets, restructuring expenses, legal expenses, transaction-related expenses and certain other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consolidated financial statements.</w:t>
      </w:r>
    </w:p>
    <w:p>
      <w:pPr>
        <w:spacing w:after="0" w:line="265"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in isolation of, or as an alternative to, measures prepared and presented in accordance with GAAP. There are a number of limitations related to the use of Adjusted EBITDA rather than net income (loss), which is the nearest GAAP equivalent of Adjusted EBITDA. Some of these limitations include that the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31" w:name="page32"/>
    <w:bookmarkEnd w:id="31"/>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may be calculated differently by other companies in our industry, limiting its usefulness as a comparative measure;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does not reflect our capital expenditures, future requirements for capital expenditures or contractual commitments;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does not reflect changes in, or cash requirements for, our working capital needs;</w:t>
      </w:r>
    </w:p>
    <w:p>
      <w:pPr>
        <w:spacing w:after="0" w:line="126" w:lineRule="exact"/>
        <w:rPr>
          <w:rFonts w:ascii="Arial" w:cs="Arial" w:eastAsia="Arial" w:hAnsi="Arial"/>
          <w:sz w:val="16"/>
          <w:szCs w:val="16"/>
          <w:color w:val="auto"/>
        </w:rPr>
      </w:pPr>
    </w:p>
    <w:p>
      <w:pPr>
        <w:ind w:left="820" w:right="240" w:hanging="326"/>
        <w:spacing w:after="0" w:line="286" w:lineRule="auto"/>
        <w:tabs>
          <w:tab w:leader="none" w:pos="7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stock-based compensation expense, which has been, and will continue to be, a significant recurring expense for our business and an important part of our compensation strategy; and</w:t>
      </w:r>
    </w:p>
    <w:p>
      <w:pPr>
        <w:spacing w:after="0" w:line="47" w:lineRule="exact"/>
        <w:rPr>
          <w:rFonts w:ascii="Arial" w:cs="Arial" w:eastAsia="Arial" w:hAnsi="Arial"/>
          <w:sz w:val="16"/>
          <w:szCs w:val="16"/>
          <w:color w:val="auto"/>
        </w:rPr>
      </w:pPr>
    </w:p>
    <w:p>
      <w:pPr>
        <w:ind w:left="820" w:right="380" w:hanging="326"/>
        <w:spacing w:after="0" w:line="304" w:lineRule="auto"/>
        <w:tabs>
          <w:tab w:leader="none" w:pos="7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does not reflect certain other expenses that we do not consider representative of our underlying operating performance, but that reduce cash available to us.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income (loss) to Adjusted EBITDA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4"/>
          </w:tcPr>
          <w:p>
            <w:pPr>
              <w:jc w:val="right"/>
              <w:ind w:right="219"/>
              <w:spacing w:after="0"/>
              <w:rPr>
                <w:sz w:val="20"/>
                <w:szCs w:val="20"/>
                <w:color w:val="auto"/>
              </w:rPr>
            </w:pPr>
            <w:r>
              <w:rPr>
                <w:rFonts w:ascii="Arial" w:cs="Arial" w:eastAsia="Arial" w:hAnsi="Arial"/>
                <w:sz w:val="16"/>
                <w:szCs w:val="16"/>
                <w:i w:val="1"/>
                <w:iCs w:val="1"/>
                <w:color w:val="auto"/>
              </w:rPr>
              <w:t>(in thousands, except percentages)</w:t>
            </w:r>
          </w:p>
        </w:tc>
        <w:tc>
          <w:tcPr>
            <w:tcW w:w="0" w:type="dxa"/>
            <w:vAlign w:val="bottom"/>
          </w:tcPr>
          <w:p>
            <w:pPr>
              <w:spacing w:after="0"/>
              <w:rPr>
                <w:sz w:val="1"/>
                <w:szCs w:val="1"/>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income (loss) to Adjusted EBITDA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14,856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16,467</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8"/>
        </w:trPr>
        <w:tc>
          <w:tcPr>
            <w:tcW w:w="812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27,902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21,868</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Adjusted EBITDA margin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8"/>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right="120" w:hanging="412"/>
        <w:spacing w:after="0" w:line="304" w:lineRule="auto"/>
        <w:tabs>
          <w:tab w:leader="none" w:pos="438"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2024, restructuring expenses related to the reduction of our U.S. headcount. For 2023, restructuring expenses related to the reduction of our U.K. headcount, which was substantially complete by December 31, 2023.</w:t>
      </w:r>
    </w:p>
    <w:p>
      <w:pPr>
        <w:spacing w:after="0" w:line="3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Adjusted EBITDA increased from $21.9 million for the three months ended March 31, 2023 to $27.9 million for the three months ended March 31, 2024. The increase of $6.0 million resulted primarily from an increase in revenue of $8.3 million and a reduction in operating expenses, excluding non-cash and non-recurring items, of $3.2 million, partially offset by a $5.4 million increase in cost of revenue, excluding non-cash items.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3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34,194</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29,208</w:t>
            </w: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(7,428)</w:t>
            </w:r>
          </w:p>
        </w:tc>
        <w:tc>
          <w:tcPr>
            <w:tcW w:w="0" w:type="dxa"/>
            <w:vAlign w:val="bottom"/>
          </w:tcPr>
          <w:p>
            <w:pPr>
              <w:spacing w:after="0"/>
              <w:rPr>
                <w:sz w:val="1"/>
                <w:szCs w:val="1"/>
                <w:color w:val="auto"/>
              </w:rPr>
            </w:pPr>
          </w:p>
        </w:tc>
      </w:tr>
      <w:tr>
        <w:trPr>
          <w:trHeight w:val="209"/>
        </w:trPr>
        <w:tc>
          <w:tcPr>
            <w:tcW w:w="8320" w:type="dxa"/>
            <w:vAlign w:val="bottom"/>
            <w:vMerge w:val="restart"/>
          </w:tcPr>
          <w:p>
            <w:pPr>
              <w:ind w:left="360"/>
              <w:spacing w:after="0"/>
              <w:rPr>
                <w:sz w:val="20"/>
                <w:szCs w:val="20"/>
                <w:color w:val="auto"/>
              </w:rPr>
            </w:pPr>
            <w:r>
              <w:rPr>
                <w:rFonts w:ascii="Arial" w:cs="Arial" w:eastAsia="Arial" w:hAnsi="Arial"/>
                <w:sz w:val="16"/>
                <w:szCs w:val="16"/>
                <w:color w:val="auto"/>
              </w:rPr>
              <w:t>Free cash flow</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24,717</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21,780</w:t>
            </w:r>
          </w:p>
        </w:tc>
        <w:tc>
          <w:tcPr>
            <w:tcW w:w="0" w:type="dxa"/>
            <w:vAlign w:val="bottom"/>
          </w:tcPr>
          <w:p>
            <w:pPr>
              <w:spacing w:after="0"/>
              <w:rPr>
                <w:sz w:val="1"/>
                <w:szCs w:val="1"/>
                <w:color w:val="auto"/>
              </w:rPr>
            </w:pPr>
          </w:p>
        </w:tc>
      </w:tr>
      <w:tr>
        <w:trPr>
          <w:trHeight w:val="28"/>
        </w:trPr>
        <w:tc>
          <w:tcPr>
            <w:tcW w:w="83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experienced an increase in our free cash flow from $21.8 million for the three months ended March 31, 2023 to $24.7 million for the three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2024, primarily due to a $5.0 million increase in net cash provided by operating activities. The increase in net cash provided by operating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activities resulted from a $7.6 million increase in net income after adjusting for stock-based compensation and other non-cash items, partially offset by 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$2.7 million unfavorable change in our operating assets and liabilities. Free cash flow was also impacted by higher capital expenditures for the purchase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including capitalization of internal-use software.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3" w:lineRule="exact"/>
        <w:rPr>
          <w:sz w:val="20"/>
          <w:szCs w:val="20"/>
          <w:color w:val="auto"/>
        </w:rPr>
      </w:pPr>
    </w:p>
    <w:p>
      <w:pPr>
        <w:ind w:right="120" w:firstLine="405"/>
        <w:spacing w:after="0" w:line="275" w:lineRule="auto"/>
        <w:rPr>
          <w:sz w:val="20"/>
          <w:szCs w:val="20"/>
          <w:color w:val="auto"/>
        </w:rPr>
      </w:pPr>
      <w:r>
        <w:rPr>
          <w:rFonts w:ascii="Arial" w:cs="Arial" w:eastAsia="Arial" w:hAnsi="Arial"/>
          <w:sz w:val="16"/>
          <w:szCs w:val="16"/>
          <w:color w:val="auto"/>
        </w:rPr>
        <w:t>During the three months ended March 31, 2024, there were no significant changes to our critical accounting estimates compared with those disclosed described under the heading “Management’s Discussion and Analysis of Financial Condition and Results of Operations—Critical Accounting Estimates” in our 2023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7" w:lineRule="exact"/>
        <w:rPr>
          <w:sz w:val="20"/>
          <w:szCs w:val="20"/>
          <w:color w:val="auto"/>
        </w:rPr>
      </w:pPr>
    </w:p>
    <w:p>
      <w:pPr>
        <w:ind w:right="160" w:firstLine="405"/>
        <w:spacing w:after="0" w:line="266"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March 31, 2024 and recent accounting announcements that have not yet been required to be implemented and may be applicable to our future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11" w:lineRule="exact"/>
        <w:rPr>
          <w:sz w:val="20"/>
          <w:szCs w:val="20"/>
          <w:color w:val="auto"/>
        </w:rPr>
      </w:pPr>
    </w:p>
    <w:p>
      <w:pPr>
        <w:ind w:right="200" w:firstLine="405"/>
        <w:spacing w:after="0" w:line="275" w:lineRule="auto"/>
        <w:rPr>
          <w:sz w:val="20"/>
          <w:szCs w:val="20"/>
          <w:color w:val="auto"/>
        </w:rPr>
      </w:pPr>
      <w:r>
        <w:rPr>
          <w:rFonts w:ascii="Arial" w:cs="Arial" w:eastAsia="Arial" w:hAnsi="Arial"/>
          <w:sz w:val="16"/>
          <w:szCs w:val="16"/>
          <w:color w:val="auto"/>
        </w:rPr>
        <w:t>At March 31, 2024 and December 31, 2023, we had cash and cash equivalents of $228.1 million and $225.7 million, respectively, which consisted of cash on deposit with banks and short-term highly-liquid money market funds. Interest-earning instruments carry a degree of interest rate risk. To date, fluctuations in interest income have not been significant.</w:t>
      </w:r>
    </w:p>
    <w:p>
      <w:pPr>
        <w:spacing w:after="0" w:line="56"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We had no outstanding debt subject to interest rate risk as of March 31, 2024 and December 31, 2023 and, as a result, we do not expect to be</w:t>
      </w:r>
    </w:p>
    <w:p>
      <w:pPr>
        <w:spacing w:after="0" w:line="31"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exposed to fluctuations in interest rates for the foreseeable future. However, we would be subject to fluctuation in interest rates if we draw down under our 2021 Revolving Facility, including issuance of any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11" w:lineRule="exact"/>
        <w:rPr>
          <w:sz w:val="20"/>
          <w:szCs w:val="20"/>
          <w:color w:val="auto"/>
        </w:rPr>
      </w:pPr>
    </w:p>
    <w:p>
      <w:pPr>
        <w:ind w:right="140" w:firstLine="405"/>
        <w:spacing w:after="0" w:line="258"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 of $0.3 million during the three months ended March 31, 2024. A 10% adverse change in foreign exchange rates on foreign-denominated accounts for the three months ended March 31, 2024, including intercompany balances, would have resulted in a $0.3 million foreign currency loss for the three months ended March 31, 2024.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currency exchange risk. It is difficult to predict the impact hedging activities could have on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11" w:lineRule="exact"/>
        <w:rPr>
          <w:sz w:val="20"/>
          <w:szCs w:val="20"/>
          <w:color w:val="auto"/>
        </w:rPr>
      </w:pPr>
    </w:p>
    <w:p>
      <w:pPr>
        <w:ind w:right="360" w:firstLine="405"/>
        <w:spacing w:after="0" w:line="247" w:lineRule="auto"/>
        <w:rPr>
          <w:sz w:val="20"/>
          <w:szCs w:val="20"/>
          <w:color w:val="auto"/>
        </w:rPr>
      </w:pPr>
      <w:r>
        <w:rPr>
          <w:rFonts w:ascii="Arial" w:cs="Arial" w:eastAsia="Arial" w:hAnsi="Arial"/>
          <w:sz w:val="16"/>
          <w:szCs w:val="16"/>
          <w:color w:val="auto"/>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27" w:lineRule="exact"/>
        <w:rPr>
          <w:sz w:val="20"/>
          <w:szCs w:val="20"/>
          <w:color w:val="auto"/>
        </w:rPr>
      </w:pPr>
    </w:p>
    <w:p>
      <w:pPr>
        <w:ind w:right="100" w:firstLine="405"/>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2024,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7"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During the three months ended March 31, 2024, we implemented a revenue recognition module of our enterprise resource planning system. Aside from the foregoing implementation, there were no changes in our internal control over financial reporting identified in connection with the evaluation required by Rules 13a-15(d) and 15d-15(d) of the Exchange Act during the three months ended March 31, 2024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27"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40" w:firstLine="405"/>
        <w:spacing w:after="0" w:line="262"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2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6"/>
          <w:szCs w:val="16"/>
          <w:color w:val="auto"/>
        </w:rPr>
        <w:t>Our success significantly depends on business formations. The majority of our transaction revenue is generated by providing business formation services to guide our customers through the transition from being aspiring business owners to launching their entities. In 2023 and the first three months of 2024,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compliance or operating costs (including wage and benefit pressures), regulatory obstacles, changes in law (including changes in tax laws and regulations), changes in the business environment from inflation, interest rates, government assistance or other factors, and dissatisfaction with our services. Declines in the overall number of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spacing w:after="0" w:line="1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Our business depends substantially on our customers expanding their use of our platform, including converting our transactional customers to subscribers and our subscribers renewing their subscriptions with us</w:t>
      </w:r>
    </w:p>
    <w:p>
      <w:pPr>
        <w:spacing w:after="0" w:line="47"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For the past few years, a significant amount of our revenue has been derived from our subscriptions for small businesses and individuals. In 2023 and the first three months of 2024, approximately 62% and 62%, respectively, of our revenue came from subscriptions. Subscriptions have primarily originated from transactional customers who opted to become subscribers. For us to maintain or improve our operating results, it is important that we convert transactional customers into subscribers, retain our existing subscribers and that our subscribers renew their subscriptions with us when the existing subscription term expires.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existing or new customers that will subscribe to our subscription services, including whether customers will continue to subscribe at the same rate as they have historically. If we are unable to continue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falls below the expectations of the public market, securities analysts or investors, the price of our common stock could also be harmed.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11" w:lineRule="exact"/>
        <w:rPr>
          <w:sz w:val="20"/>
          <w:szCs w:val="20"/>
          <w:color w:val="auto"/>
        </w:rPr>
      </w:pPr>
    </w:p>
    <w:p>
      <w:pPr>
        <w:ind w:right="20" w:firstLine="405"/>
        <w:spacing w:after="0" w:line="262" w:lineRule="auto"/>
        <w:rPr>
          <w:sz w:val="20"/>
          <w:szCs w:val="20"/>
          <w:color w:val="auto"/>
        </w:rPr>
      </w:pPr>
      <w:r>
        <w:rPr>
          <w:rFonts w:ascii="Arial" w:cs="Arial" w:eastAsia="Arial" w:hAnsi="Arial"/>
          <w:sz w:val="16"/>
          <w:szCs w:val="16"/>
          <w:color w:val="auto"/>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also effectively integrate, develop and motivate our employees, and maintain the beneficial aspects of our corporate culture. Failure to effectively manage our growth could result in declines in service quality or customer satisfaction, increased costs, difficulties or delays in introducing new products or services or other operational difficulties. Any of these difficulties could adversely impact our brand and reputation, business, results of operations, financial condition or future prospects.</w:t>
      </w:r>
    </w:p>
    <w:p>
      <w:pPr>
        <w:spacing w:after="0" w:line="66"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the assumptions regarding these uncertainties, which we use to plan our business, are incorrect or change in reaction to changes in our markets, our results of operations and financial condition could differ materially from our expectations, our business could suffer and the trading price of our stock may decline.</w:t>
      </w:r>
    </w:p>
    <w:p>
      <w:pPr>
        <w:spacing w:after="0" w:line="18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Our future quarterly results of operations may fluctuate significantly due to a wide range of factors, which makes our future results difficult to predict</w:t>
      </w:r>
    </w:p>
    <w:p>
      <w:pPr>
        <w:spacing w:after="0" w:line="33" w:lineRule="exact"/>
        <w:rPr>
          <w:sz w:val="20"/>
          <w:szCs w:val="20"/>
          <w:color w:val="auto"/>
        </w:rPr>
      </w:pPr>
    </w:p>
    <w:p>
      <w:pPr>
        <w:ind w:right="420" w:firstLine="405"/>
        <w:spacing w:after="0" w:line="304"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spacing w:after="0" w:line="33" w:lineRule="exact"/>
        <w:rPr>
          <w:sz w:val="20"/>
          <w:szCs w:val="20"/>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business formations and the rate of failure of small businesses;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13" w:lineRule="exact"/>
        <w:rPr>
          <w:rFonts w:ascii="Arial" w:cs="Arial" w:eastAsia="Arial" w:hAnsi="Arial"/>
          <w:sz w:val="16"/>
          <w:szCs w:val="16"/>
          <w:color w:val="auto"/>
        </w:rPr>
      </w:pPr>
    </w:p>
    <w:p>
      <w:pPr>
        <w:ind w:left="740" w:right="74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attract new customers and retain existing customers, including the rate of renewal of subscriptions by, and extent of sales of additional subscriptions to, existing customers;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13" w:lineRule="exact"/>
        <w:rPr>
          <w:rFonts w:ascii="Arial" w:cs="Arial" w:eastAsia="Arial" w:hAnsi="Arial"/>
          <w:sz w:val="16"/>
          <w:szCs w:val="16"/>
          <w:color w:val="auto"/>
        </w:rPr>
      </w:pPr>
    </w:p>
    <w:p>
      <w:pPr>
        <w:ind w:left="740" w:right="32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our product offerings, including pricing changes and the offering of free or even lower cost products, and our testing of new product line-ups;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113" w:lineRule="exact"/>
        <w:rPr>
          <w:rFonts w:ascii="Arial" w:cs="Arial" w:eastAsia="Arial" w:hAnsi="Arial"/>
          <w:sz w:val="16"/>
          <w:szCs w:val="16"/>
          <w:color w:val="auto"/>
        </w:rPr>
      </w:pPr>
    </w:p>
    <w:p>
      <w:pPr>
        <w:ind w:left="740" w:right="20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33" w:lineRule="exact"/>
        <w:rPr>
          <w:rFonts w:ascii="Arial" w:cs="Arial" w:eastAsia="Arial" w:hAnsi="Arial"/>
          <w:sz w:val="16"/>
          <w:szCs w:val="16"/>
          <w:color w:val="auto"/>
        </w:rPr>
      </w:pPr>
    </w:p>
    <w:p>
      <w:pPr>
        <w:ind w:left="740" w:right="140" w:hanging="317"/>
        <w:spacing w:after="0" w:line="304"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seasonal variations, including those related to orders placed, sales and marketing and other activities or other seasonal fluctuations in our results of operations that are out of our control;</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stock-based compensation;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application of new or changing financial accounting standards or practices;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13" w:lineRule="exact"/>
        <w:rPr>
          <w:rFonts w:ascii="Arial" w:cs="Arial" w:eastAsia="Arial" w:hAnsi="Arial"/>
          <w:sz w:val="16"/>
          <w:szCs w:val="16"/>
          <w:color w:val="auto"/>
        </w:rPr>
      </w:pPr>
    </w:p>
    <w:p>
      <w:pPr>
        <w:ind w:left="740" w:right="34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government agency staffing and other practices and the functionality of their websites, which may cause delay or disruptions in our business, including the processing of business formations or Employer Identification Numbers, or EINs;</w:t>
      </w:r>
    </w:p>
    <w:p>
      <w:pPr>
        <w:spacing w:after="0" w:line="61" w:lineRule="exact"/>
        <w:rPr>
          <w:rFonts w:ascii="Arial" w:cs="Arial" w:eastAsia="Arial" w:hAnsi="Arial"/>
          <w:sz w:val="16"/>
          <w:szCs w:val="16"/>
          <w:color w:val="auto"/>
        </w:rPr>
      </w:pPr>
    </w:p>
    <w:p>
      <w:pPr>
        <w:ind w:left="740" w:right="480" w:hanging="317"/>
        <w:spacing w:after="0" w:line="286" w:lineRule="auto"/>
        <w:tabs>
          <w:tab w:leader="none" w:pos="7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including economic conditions specifically affecting industries in which our customers operate; and</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 such as the war in Ukraine and the Israel-Hamas conflict.</w:t>
      </w:r>
    </w:p>
    <w:p>
      <w:pPr>
        <w:spacing w:after="0" w:line="127"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including due to uncertainty caused by recessionary fears, inflation and rising interest rates and their respective impacts on consumer spending patterns, the success of existing small businesses and the formation of new small businesses. In addition, fluctuations in our quarterly operating results may cause those results to fall below our financial guidance 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6" w:name="page37"/>
    <w:bookmarkEnd w:id="36"/>
    <w:p>
      <w:pPr>
        <w:ind w:right="140"/>
        <w:spacing w:after="0" w:line="275" w:lineRule="auto"/>
        <w:rPr>
          <w:sz w:val="20"/>
          <w:szCs w:val="20"/>
          <w:color w:val="auto"/>
        </w:rPr>
      </w:pPr>
      <w:r>
        <w:rPr>
          <w:rFonts w:ascii="Arial" w:cs="Arial" w:eastAsia="Arial" w:hAnsi="Arial"/>
          <w:sz w:val="16"/>
          <w:szCs w:val="16"/>
          <w:color w:val="auto"/>
        </w:rPr>
        <w:t>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spacing w:after="0" w:line="56" w:lineRule="exact"/>
        <w:rPr>
          <w:sz w:val="20"/>
          <w:szCs w:val="20"/>
          <w:color w:val="auto"/>
        </w:rPr>
      </w:pPr>
    </w:p>
    <w:p>
      <w:pPr>
        <w:ind w:right="40" w:firstLine="405"/>
        <w:spacing w:after="0" w:line="275" w:lineRule="auto"/>
        <w:rPr>
          <w:sz w:val="20"/>
          <w:szCs w:val="20"/>
          <w:color w:val="auto"/>
        </w:rPr>
      </w:pPr>
      <w:r>
        <w:rPr>
          <w:rFonts w:ascii="Arial" w:cs="Arial" w:eastAsia="Arial" w:hAnsi="Arial"/>
          <w:sz w:val="16"/>
          <w:szCs w:val="16"/>
          <w:color w:val="auto"/>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25" w:lineRule="exact"/>
        <w:rPr>
          <w:sz w:val="20"/>
          <w:szCs w:val="20"/>
          <w:color w:val="auto"/>
        </w:rPr>
      </w:pPr>
    </w:p>
    <w:p>
      <w:pPr>
        <w:ind w:right="860" w:firstLine="405"/>
        <w:spacing w:after="0" w:line="28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March 31, 2024, we had an accumulated deficit of $941.1 million.</w:t>
      </w:r>
    </w:p>
    <w:p>
      <w:pPr>
        <w:spacing w:after="0" w:line="61" w:lineRule="exact"/>
        <w:rPr>
          <w:sz w:val="20"/>
          <w:szCs w:val="20"/>
          <w:color w:val="auto"/>
        </w:rPr>
      </w:pPr>
    </w:p>
    <w:p>
      <w:pPr>
        <w:ind w:right="80" w:firstLine="405"/>
        <w:spacing w:after="0" w:line="259"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continue to invest in enhancing our customer experience and in new product development, including expert-assisted offerings for our tax and attorney-assisted legal offerings.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spacing w:after="0" w:line="17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If we fail to provide high-quality products and services, customer care and customer experience and add new products and services that meet our customers’ expectations, we may not be able to attract and retain customers</w:t>
      </w:r>
    </w:p>
    <w:p>
      <w:pPr>
        <w:spacing w:after="0" w:line="21" w:lineRule="exact"/>
        <w:rPr>
          <w:sz w:val="20"/>
          <w:szCs w:val="20"/>
          <w:color w:val="auto"/>
        </w:rPr>
      </w:pPr>
    </w:p>
    <w:p>
      <w:pPr>
        <w:jc w:val="both"/>
        <w:ind w:right="300" w:firstLine="405"/>
        <w:spacing w:after="0" w:line="265"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quality and value of our services, customer care and customer experience, as well as the quality and accuracy of the services provided by our accountants and the independent attorneys who participate in our and our partner’s networks, are critical to the success of our business and our ability to attract and retain customers. The failure or perceived failure of these independent attorneys and accountants to satisfy customer expectations could impede our ability to attract and retain customers.</w:t>
      </w:r>
    </w:p>
    <w:p>
      <w:pPr>
        <w:spacing w:after="0" w:line="64"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In addition, we intend to continue to add new services and enhance our existing product and services,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acceptance. We have in the past invested resources and introduced new products and services that have failed to produce the customer interest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including LZ Tax or LZ Books, fail to engage our customers, we may be unable to attract additional customers or retain our current customers, which may adversely affect our business, results of operations, financial condition or future prospects.</w:t>
      </w:r>
    </w:p>
    <w:p>
      <w:pPr>
        <w:spacing w:after="0" w:line="193"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33"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In addition, we have introduced and intend to continue to introduce significant changes to our platform and to our product offerings, including the offering of free or even lower cost products.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of the foregoing changes, developments or new product introductions will provide us with the benefits we expect.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ind w:firstLine="405"/>
        <w:spacing w:after="0" w:line="258"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76" w:lineRule="exact"/>
        <w:rPr>
          <w:sz w:val="20"/>
          <w:szCs w:val="20"/>
          <w:color w:val="auto"/>
        </w:rPr>
      </w:pPr>
    </w:p>
    <w:p>
      <w:pPr>
        <w:ind w:right="2940"/>
        <w:spacing w:after="0" w:line="294" w:lineRule="auto"/>
        <w:rPr>
          <w:sz w:val="20"/>
          <w:szCs w:val="20"/>
          <w:color w:val="auto"/>
        </w:rPr>
      </w:pPr>
      <w:r>
        <w:rPr>
          <w:rFonts w:ascii="Arial" w:cs="Arial" w:eastAsia="Arial" w:hAnsi="Arial"/>
          <w:sz w:val="16"/>
          <w:szCs w:val="16"/>
          <w:b w:val="1"/>
          <w:bCs w:val="1"/>
          <w:i w:val="1"/>
          <w:iCs w:val="1"/>
          <w:color w:val="auto"/>
        </w:rPr>
        <w:t>The legal solutions market is highly competitive and our failure to effectively compete successfully could materially and adversely affect our business, results of operations, financial condition and future prospects</w:t>
      </w:r>
    </w:p>
    <w:p>
      <w:pPr>
        <w:spacing w:after="0" w:line="4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document services market or business formations, including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For example, certain U.S. states offer online portals where consumers may file their articles of organization for free, other than filing fees. To the extent U.S. states and federal agencies continue to increase or enhance their offerings to our target customers, it could have a significant adverse effect on our business, financial condition or results of operations. We also compete in the tax advisory and preparation services business with several companies, many of which are larger and more experienced. To the extent we are unable to compete, our business, results of operations, financial condition or future prospects may be harmed.</w:t>
      </w:r>
    </w:p>
    <w:p>
      <w:pPr>
        <w:spacing w:after="0" w:line="92" w:lineRule="exact"/>
        <w:rPr>
          <w:sz w:val="20"/>
          <w:szCs w:val="20"/>
          <w:color w:val="auto"/>
        </w:rPr>
      </w:pPr>
    </w:p>
    <w:p>
      <w:pPr>
        <w:ind w:right="40" w:firstLine="405"/>
        <w:spacing w:after="0" w:line="257" w:lineRule="auto"/>
        <w:rPr>
          <w:sz w:val="20"/>
          <w:szCs w:val="20"/>
          <w:color w:val="auto"/>
        </w:rPr>
      </w:pPr>
      <w:r>
        <w:rPr>
          <w:rFonts w:ascii="Arial" w:cs="Arial" w:eastAsia="Arial" w:hAnsi="Arial"/>
          <w:sz w:val="16"/>
          <w:szCs w:val="16"/>
          <w:color w:val="auto"/>
        </w:rPr>
        <w:t>Any of our existing competitors, or other potential competitors that have not yet entered the market, may also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11"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the Better Business Bureau and other sources related to our business practices, as well as customer care, data privacy or security issues, irrespective of their validity, could diminish confidence in our services and adversely affect our brand and reputation and our ability to attract and retain customers.</w:t>
      </w:r>
    </w:p>
    <w:p>
      <w:pPr>
        <w:spacing w:after="0" w:line="68" w:lineRule="exact"/>
        <w:rPr>
          <w:sz w:val="20"/>
          <w:szCs w:val="20"/>
          <w:color w:val="auto"/>
        </w:rPr>
      </w:pPr>
    </w:p>
    <w:p>
      <w:pPr>
        <w:ind w:right="280" w:firstLine="405"/>
        <w:spacing w:after="0" w:line="275" w:lineRule="auto"/>
        <w:rPr>
          <w:sz w:val="20"/>
          <w:szCs w:val="20"/>
          <w:color w:val="auto"/>
        </w:rPr>
      </w:pPr>
      <w:r>
        <w:rPr>
          <w:rFonts w:ascii="Arial" w:cs="Arial" w:eastAsia="Arial" w:hAnsi="Arial"/>
          <w:sz w:val="16"/>
          <w:szCs w:val="16"/>
          <w:color w:val="auto"/>
        </w:rPr>
        <w:t>In addition, 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8" w:name="page39"/>
    <w:bookmarkEnd w:id="38"/>
    <w:p>
      <w:pPr>
        <w:ind w:right="20"/>
        <w:spacing w:after="0" w:line="261" w:lineRule="auto"/>
        <w:rPr>
          <w:sz w:val="20"/>
          <w:szCs w:val="20"/>
          <w:color w:val="auto"/>
        </w:rPr>
      </w:pPr>
      <w:r>
        <w:rPr>
          <w:rFonts w:ascii="Arial" w:cs="Arial" w:eastAsia="Arial" w:hAnsi="Arial"/>
          <w:sz w:val="16"/>
          <w:szCs w:val="16"/>
          <w:color w:val="auto"/>
        </w:rPr>
        <w:t>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6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6"/>
          <w:szCs w:val="16"/>
          <w:color w:val="auto"/>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incorporating generative AI into some of our products, which may present both compliance risks and reputational risks</w:t>
      </w:r>
    </w:p>
    <w:p>
      <w:pPr>
        <w:spacing w:after="0" w:line="111" w:lineRule="exact"/>
        <w:rPr>
          <w:sz w:val="20"/>
          <w:szCs w:val="20"/>
          <w:color w:val="auto"/>
        </w:rPr>
      </w:pPr>
    </w:p>
    <w:p>
      <w:pPr>
        <w:ind w:right="40" w:firstLine="405"/>
        <w:spacing w:after="0" w:line="256" w:lineRule="auto"/>
        <w:rPr>
          <w:sz w:val="20"/>
          <w:szCs w:val="20"/>
          <w:color w:val="auto"/>
        </w:rPr>
      </w:pPr>
      <w:r>
        <w:rPr>
          <w:rFonts w:ascii="Arial" w:cs="Arial" w:eastAsia="Arial" w:hAnsi="Arial"/>
          <w:sz w:val="16"/>
          <w:szCs w:val="16"/>
          <w:color w:val="auto"/>
        </w:rPr>
        <w:t>We have incorporated and intend to continue incorporating a number of generative AI features into our products. For instance, in September 2023 we announced the beta launch of Doc Assist, a document summarization product that uses generative AI to help small businesses review documents. This technology, which is a new and emerging technology that is in its early stages of commercialization, presents a number of risks inherent in its use. Generative AI technologies can create accuracy issues, unintended biases and discriminatory outcomes. If the recommendations, forecasts, content, or analyses that AI applications, including Doc Assist, assist in producing are or are alleged to be deficient or inaccurate, we could be subjected to competitive harm, potential legal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Additionally, potential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marketing efforts are unsuccessful, our business, results of operations, financial condition and future prospects may be adversely affected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The primary</w:t>
      </w:r>
    </w:p>
    <w:p>
      <w:pPr>
        <w:spacing w:after="0" w:line="3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marketing channels that generate traffic for our websites include search engine marketing, social media and other digital channels, television and our sales team.</w:t>
      </w:r>
    </w:p>
    <w:p>
      <w:pPr>
        <w:spacing w:after="0" w:line="6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Our ability to maintain or increase customer traffic to our websites from internet search engines is not entirely within our control. We rely on both</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If competition for paid listings increases or if paid listings prohibit the use of particular words or terms, we may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could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spacing w:after="0" w:line="72" w:lineRule="exact"/>
        <w:rPr>
          <w:sz w:val="20"/>
          <w:szCs w:val="20"/>
          <w:color w:val="auto"/>
        </w:rPr>
      </w:pPr>
    </w:p>
    <w:p>
      <w:pPr>
        <w:ind w:right="520" w:firstLine="405"/>
        <w:spacing w:after="0" w:line="304"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143"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9" w:name="page40"/>
    <w:bookmarkEnd w:id="39"/>
    <w:p>
      <w:pPr>
        <w:ind w:firstLine="405"/>
        <w:spacing w:after="0" w:line="256"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spacing w:after="0" w:line="74"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and, as a result, our business, revenue, results of operations and future prospects may be adversely affected.</w:t>
      </w:r>
    </w:p>
    <w:p>
      <w:pPr>
        <w:spacing w:after="0" w:line="17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may be harmed if we fail to maintain or expand these relationships</w:t>
      </w:r>
    </w:p>
    <w:p>
      <w:pPr>
        <w:spacing w:after="0" w:line="21" w:lineRule="exact"/>
        <w:rPr>
          <w:sz w:val="20"/>
          <w:szCs w:val="20"/>
          <w:color w:val="auto"/>
        </w:rPr>
      </w:pPr>
    </w:p>
    <w:p>
      <w:pPr>
        <w:ind w:right="60" w:firstLine="405"/>
        <w:spacing w:after="0" w:line="262"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currently partner with a variety of third-parties to provide website development, credit card and banking services, productivity tools and business insurance, among others. Our sales and our customers’ user experience depend on our ability to connect and integrate easily to such third party solutions. We have in the past and may in the future determine to exit certain partnership relationships, and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harm our relationship with our customers, our reputation and brand, our business and results of operations, and our future prospects.</w:t>
      </w:r>
    </w:p>
    <w:p>
      <w:pPr>
        <w:spacing w:after="0" w:line="66"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and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party providers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0" w:name="page41"/>
    <w:bookmarkEnd w:id="40"/>
    <w:p>
      <w:pPr>
        <w:ind w:right="60" w:firstLine="405"/>
        <w:spacing w:after="0" w:line="261"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the U.S. Internal Revenue 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tax or intellectual property needs.</w:t>
      </w:r>
    </w:p>
    <w:p>
      <w:pPr>
        <w:spacing w:after="0" w:line="68" w:lineRule="exact"/>
        <w:rPr>
          <w:sz w:val="20"/>
          <w:szCs w:val="20"/>
          <w:color w:val="auto"/>
        </w:rPr>
      </w:pPr>
    </w:p>
    <w:p>
      <w:pPr>
        <w:ind w:right="120" w:firstLine="405"/>
        <w:spacing w:after="0" w:line="258" w:lineRule="auto"/>
        <w:rPr>
          <w:sz w:val="20"/>
          <w:szCs w:val="20"/>
          <w:color w:val="auto"/>
        </w:rPr>
      </w:pPr>
      <w:r>
        <w:rPr>
          <w:rFonts w:ascii="Arial" w:cs="Arial" w:eastAsia="Arial" w:hAnsi="Arial"/>
          <w:sz w:val="16"/>
          <w:szCs w:val="16"/>
          <w:color w:val="auto"/>
        </w:rPr>
        <w:t>We also utilize third parties in connection with the fulfillment and distribution of our services, including the independent attorneys in our legal plan network, the accountants and tax professionals through our subscription plans, and a third party to support our registered agent subscription services. We also outsource certain operational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74"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Our failure to successfully address the evolving market for transactions on mobile devices and to build mobile products could harm our business</w:t>
      </w:r>
    </w:p>
    <w:p>
      <w:pPr>
        <w:spacing w:after="0" w:line="111" w:lineRule="exact"/>
        <w:rPr>
          <w:sz w:val="20"/>
          <w:szCs w:val="20"/>
          <w:color w:val="auto"/>
        </w:rPr>
      </w:pPr>
    </w:p>
    <w:p>
      <w:pPr>
        <w:ind w:right="240" w:firstLine="405"/>
        <w:spacing w:after="0" w:line="261" w:lineRule="auto"/>
        <w:rPr>
          <w:sz w:val="20"/>
          <w:szCs w:val="20"/>
          <w:color w:val="auto"/>
        </w:rPr>
      </w:pPr>
      <w:r>
        <w:rPr>
          <w:rFonts w:ascii="Arial" w:cs="Arial" w:eastAsia="Arial" w:hAnsi="Arial"/>
          <w:sz w:val="16"/>
          <w:szCs w:val="16"/>
          <w:color w:val="auto"/>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25" w:lineRule="exact"/>
        <w:rPr>
          <w:sz w:val="20"/>
          <w:szCs w:val="20"/>
          <w:color w:val="auto"/>
        </w:rPr>
      </w:pPr>
    </w:p>
    <w:p>
      <w:pPr>
        <w:jc w:val="both"/>
        <w:ind w:right="120" w:firstLine="405"/>
        <w:spacing w:after="0" w:line="266"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ind w:right="120"/>
        <w:spacing w:after="0" w:line="286" w:lineRule="auto"/>
        <w:rPr>
          <w:sz w:val="20"/>
          <w:szCs w:val="20"/>
          <w:color w:val="auto"/>
        </w:rPr>
      </w:pPr>
      <w:r>
        <w:rPr>
          <w:rFonts w:ascii="Arial" w:cs="Arial" w:eastAsia="Arial" w:hAnsi="Arial"/>
          <w:sz w:val="16"/>
          <w:szCs w:val="16"/>
          <w:color w:val="auto"/>
        </w:rPr>
        <w:t>technical capabilities or otherwise offer growth opportunities. The risks we face in connection with such acquisitions or investments, whether or not they are consummated, include, but are not limited to:</w:t>
      </w:r>
    </w:p>
    <w:p>
      <w:pPr>
        <w:spacing w:after="0" w:line="61" w:lineRule="exact"/>
        <w:rPr>
          <w:sz w:val="20"/>
          <w:szCs w:val="20"/>
          <w:color w:val="auto"/>
        </w:rPr>
      </w:pPr>
    </w:p>
    <w:p>
      <w:pPr>
        <w:ind w:left="740" w:right="260" w:hanging="317"/>
        <w:spacing w:after="0" w:line="275"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spacing w:after="0" w:line="56" w:lineRule="exact"/>
        <w:rPr>
          <w:rFonts w:ascii="Arial" w:cs="Arial" w:eastAsia="Arial" w:hAnsi="Arial"/>
          <w:sz w:val="16"/>
          <w:szCs w:val="16"/>
          <w:color w:val="auto"/>
        </w:rPr>
      </w:pPr>
    </w:p>
    <w:p>
      <w:pPr>
        <w:ind w:left="740" w:right="48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 on a timely basis, if at all;</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or investment may disrupt our ongoing business, divert resources, increase our expenses and distract our management;</w:t>
      </w:r>
    </w:p>
    <w:p>
      <w:pPr>
        <w:spacing w:after="0" w:line="126" w:lineRule="exact"/>
        <w:rPr>
          <w:rFonts w:ascii="Arial" w:cs="Arial" w:eastAsia="Arial" w:hAnsi="Arial"/>
          <w:sz w:val="16"/>
          <w:szCs w:val="16"/>
          <w:color w:val="auto"/>
        </w:rPr>
      </w:pPr>
    </w:p>
    <w:p>
      <w:pPr>
        <w:ind w:left="740" w:right="40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acquisition or investment may result in a delay or reduction of customer purchases for both us and the company acquired due to customer uncertainty about continuity and effectiveness of service from either company;</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use of cash to pay for acquisitions or other investments would limit other potential uses for our cash;</w:t>
      </w:r>
    </w:p>
    <w:p>
      <w:pPr>
        <w:spacing w:after="0" w:line="113" w:lineRule="exact"/>
        <w:rPr>
          <w:rFonts w:ascii="Arial" w:cs="Arial" w:eastAsia="Arial" w:hAnsi="Arial"/>
          <w:sz w:val="16"/>
          <w:szCs w:val="16"/>
          <w:color w:val="auto"/>
        </w:rPr>
      </w:pPr>
    </w:p>
    <w:p>
      <w:pPr>
        <w:ind w:left="740" w:right="56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61" w:lineRule="exact"/>
        <w:rPr>
          <w:rFonts w:ascii="Arial" w:cs="Arial" w:eastAsia="Arial" w:hAnsi="Arial"/>
          <w:sz w:val="16"/>
          <w:szCs w:val="16"/>
          <w:color w:val="auto"/>
        </w:rPr>
      </w:pPr>
    </w:p>
    <w:p>
      <w:pPr>
        <w:ind w:left="740" w:right="200" w:hanging="317"/>
        <w:spacing w:after="0" w:line="286"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any future acquisitions, existing stockholders may be diluted and earnings per share may decrease.</w:t>
      </w:r>
    </w:p>
    <w:p>
      <w:pPr>
        <w:spacing w:after="0" w:line="61"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our revenue growth rate, we may not maintain profitability in the future</w:t>
      </w:r>
    </w:p>
    <w:p>
      <w:pPr>
        <w:spacing w:after="0" w:line="111" w:lineRule="exact"/>
        <w:rPr>
          <w:sz w:val="20"/>
          <w:szCs w:val="20"/>
          <w:color w:val="auto"/>
        </w:rPr>
      </w:pPr>
    </w:p>
    <w:p>
      <w:pPr>
        <w:ind w:firstLine="405"/>
        <w:spacing w:after="0" w:line="275"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 growth rate may slow in future periods due to a number of reasons. Any success that we may experience in the future will depend in large part on our ability to, among other things:</w:t>
      </w:r>
    </w:p>
    <w:p>
      <w:pPr>
        <w:spacing w:after="0" w:line="56" w:lineRule="exact"/>
        <w:rPr>
          <w:sz w:val="20"/>
          <w:szCs w:val="20"/>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26" w:lineRule="exact"/>
        <w:rPr>
          <w:rFonts w:ascii="Arial" w:cs="Arial" w:eastAsia="Arial" w:hAnsi="Arial"/>
          <w:sz w:val="16"/>
          <w:szCs w:val="16"/>
          <w:color w:val="auto"/>
        </w:rPr>
      </w:pPr>
    </w:p>
    <w:p>
      <w:pPr>
        <w:ind w:left="740" w:right="220" w:hanging="317"/>
        <w:spacing w:after="0" w:line="286"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platform, including through maintaining and/or increasing the rate at which customers purchase our subscriptions;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high-quality services to customers;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 and</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13" w:lineRule="exact"/>
        <w:rPr>
          <w:sz w:val="20"/>
          <w:szCs w:val="20"/>
          <w:color w:val="auto"/>
        </w:rPr>
      </w:pPr>
    </w:p>
    <w:p>
      <w:pPr>
        <w:ind w:right="100" w:firstLine="405"/>
        <w:spacing w:after="0" w:line="304"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2" w:name="page43"/>
    <w:bookmarkEnd w:id="42"/>
    <w:p>
      <w:pPr>
        <w:ind w:right="20"/>
        <w:spacing w:after="0" w:line="294" w:lineRule="auto"/>
        <w:rPr>
          <w:sz w:val="20"/>
          <w:szCs w:val="20"/>
          <w:color w:val="auto"/>
        </w:rPr>
      </w:pPr>
      <w:r>
        <w:rPr>
          <w:rFonts w:ascii="Arial" w:cs="Arial" w:eastAsia="Arial" w:hAnsi="Arial"/>
          <w:sz w:val="16"/>
          <w:szCs w:val="16"/>
          <w:b w:val="1"/>
          <w:bCs w:val="1"/>
          <w:i w:val="1"/>
          <w:iCs w:val="1"/>
          <w:color w:val="auto"/>
        </w:rPr>
        <w:t>time to time, may conflict with short- or medium-term financial interests and business performance, which may negatively impact the value of our common stock</w:t>
      </w:r>
    </w:p>
    <w:p>
      <w:pPr>
        <w:spacing w:after="0" w:line="47" w:lineRule="exact"/>
        <w:rPr>
          <w:sz w:val="20"/>
          <w:szCs w:val="20"/>
          <w:color w:val="auto"/>
        </w:rPr>
      </w:pPr>
    </w:p>
    <w:p>
      <w:pPr>
        <w:ind w:right="20" w:firstLine="405"/>
        <w:spacing w:after="0" w:line="255"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spacing w:after="0" w:line="287" w:lineRule="exact"/>
        <w:rPr>
          <w:sz w:val="20"/>
          <w:szCs w:val="20"/>
          <w:color w:val="auto"/>
        </w:rPr>
      </w:pPr>
    </w:p>
    <w:p>
      <w:pPr>
        <w:ind w:right="140" w:firstLine="405"/>
        <w:spacing w:after="0" w:line="260" w:lineRule="auto"/>
        <w:rPr>
          <w:sz w:val="20"/>
          <w:szCs w:val="20"/>
          <w:color w:val="auto"/>
        </w:rPr>
      </w:pPr>
      <w:r>
        <w:rPr>
          <w:rFonts w:ascii="Arial" w:cs="Arial" w:eastAsia="Arial" w:hAnsi="Arial"/>
          <w:sz w:val="16"/>
          <w:szCs w:val="16"/>
          <w:color w:val="auto"/>
        </w:rPr>
        <w:t>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45"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or we otherwise experience a compromise in customer information, we may have obligations (under laws, contracts, privacy notices or other commitments) to notify relevant stakeholders (such as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43" w:name="page44"/>
    <w:bookmarkEnd w:id="43"/>
    <w:p>
      <w:pPr>
        <w:ind w:right="120" w:firstLine="405"/>
        <w:spacing w:after="0" w:line="256"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1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spacing w:after="0" w:line="33" w:lineRule="exact"/>
        <w:rPr>
          <w:sz w:val="20"/>
          <w:szCs w:val="20"/>
          <w:color w:val="auto"/>
        </w:rPr>
      </w:pPr>
    </w:p>
    <w:p>
      <w:pPr>
        <w:ind w:right="80" w:firstLine="405"/>
        <w:spacing w:after="0" w:line="265" w:lineRule="auto"/>
        <w:rPr>
          <w:sz w:val="20"/>
          <w:szCs w:val="20"/>
          <w:color w:val="auto"/>
        </w:rPr>
      </w:pPr>
      <w:r>
        <w:rPr>
          <w:rFonts w:ascii="Arial" w:cs="Arial" w:eastAsia="Arial" w:hAnsi="Arial"/>
          <w:sz w:val="16"/>
          <w:szCs w:val="16"/>
          <w:color w:val="auto"/>
        </w:rPr>
        <w:t>We are susceptible to various legal claims, lawsuits, arbitration, regulatory action or other proceedings, including those related to the unauthorized practice of law,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to various claims which, if resolved adversely, could have a material adverse effect on our financial position, results of operations, or cash flows. We anticipate that we will continue to be a target for such lawsuits in the future.</w:t>
      </w:r>
    </w:p>
    <w:p>
      <w:pPr>
        <w:spacing w:after="0" w:line="64"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74"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We also may encounter future claims. For example, our United Kingdom, or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w:t>
      </w:r>
    </w:p>
    <w:p>
      <w:pPr>
        <w:spacing w:after="0" w:line="18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21" w:lineRule="exact"/>
        <w:rPr>
          <w:sz w:val="20"/>
          <w:szCs w:val="20"/>
          <w:color w:val="auto"/>
        </w:rPr>
      </w:pPr>
    </w:p>
    <w:p>
      <w:pPr>
        <w:ind w:right="40" w:firstLine="405"/>
        <w:spacing w:after="0" w:line="265"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6"/>
          <w:szCs w:val="16"/>
          <w:color w:val="auto"/>
        </w:rPr>
        <w:t>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82"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23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33"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39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45"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72" w:lineRule="exact"/>
        <w:rPr>
          <w:sz w:val="20"/>
          <w:szCs w:val="20"/>
          <w:color w:val="auto"/>
        </w:rPr>
      </w:pPr>
    </w:p>
    <w:p>
      <w:pPr>
        <w:ind w:right="200" w:firstLine="405"/>
        <w:spacing w:after="0" w:line="265"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5" w:name="page46"/>
    <w:bookmarkEnd w:id="45"/>
    <w:p>
      <w:pPr>
        <w:ind w:right="280"/>
        <w:spacing w:after="0" w:line="294" w:lineRule="auto"/>
        <w:rPr>
          <w:sz w:val="20"/>
          <w:szCs w:val="20"/>
          <w:color w:val="auto"/>
        </w:rPr>
      </w:pPr>
      <w:r>
        <w:rPr>
          <w:rFonts w:ascii="Arial" w:cs="Arial" w:eastAsia="Arial" w:hAnsi="Arial"/>
          <w:sz w:val="16"/>
          <w:szCs w:val="16"/>
          <w:b w:val="1"/>
          <w:bCs w:val="1"/>
          <w:i w:val="1"/>
          <w:iCs w:val="1"/>
          <w:color w:val="auto"/>
        </w:rPr>
        <w:t>We implemented a new revenue recognition accounting software system and any challenges with the continued implementation of the system may impact our business and operations</w:t>
      </w:r>
    </w:p>
    <w:p>
      <w:pPr>
        <w:spacing w:after="0" w:line="47" w:lineRule="exact"/>
        <w:rPr>
          <w:sz w:val="20"/>
          <w:szCs w:val="20"/>
          <w:color w:val="auto"/>
        </w:rPr>
      </w:pPr>
    </w:p>
    <w:p>
      <w:pPr>
        <w:ind w:right="180" w:firstLine="405"/>
        <w:spacing w:after="0" w:line="265" w:lineRule="auto"/>
        <w:rPr>
          <w:sz w:val="20"/>
          <w:szCs w:val="20"/>
          <w:color w:val="auto"/>
        </w:rPr>
      </w:pPr>
      <w:r>
        <w:rPr>
          <w:rFonts w:ascii="Arial" w:cs="Arial" w:eastAsia="Arial" w:hAnsi="Arial"/>
          <w:sz w:val="16"/>
          <w:szCs w:val="16"/>
          <w:color w:val="auto"/>
        </w:rPr>
        <w:t>We implemented a new revenue recognition module of our enterprise resource planning system in the first quarter of 2024. The continued implementation efforts of the revenue recognition accounting software may prove to be more difficult, costly, or time consuming than expected, and it is possible that the system will not yield the benefits anticipated. Any disruptions, delays or deficiencies in the design and implementation of our new revenue accounting software program could materially impact our operations, cause operational difficulties or lead to errors within our financial reporting.</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b w:val="1"/>
          <w:bCs w:val="1"/>
          <w:i w:val="1"/>
          <w:iCs w:val="1"/>
          <w:color w:val="auto"/>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spacing w:after="0" w:line="58" w:lineRule="exact"/>
        <w:rPr>
          <w:sz w:val="20"/>
          <w:szCs w:val="20"/>
          <w:color w:val="auto"/>
        </w:rPr>
      </w:pPr>
    </w:p>
    <w:p>
      <w:pPr>
        <w:ind w:right="20" w:firstLine="405"/>
        <w:spacing w:after="0" w:line="265" w:lineRule="auto"/>
        <w:rPr>
          <w:sz w:val="20"/>
          <w:szCs w:val="20"/>
          <w:color w:val="auto"/>
        </w:rPr>
      </w:pPr>
      <w:r>
        <w:rPr>
          <w:rFonts w:ascii="Arial" w:cs="Arial" w:eastAsia="Arial" w:hAnsi="Arial"/>
          <w:sz w:val="16"/>
          <w:szCs w:val="16"/>
          <w:color w:val="auto"/>
        </w:rPr>
        <w:t>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w:t>
      </w:r>
    </w:p>
    <w:p>
      <w:pPr>
        <w:spacing w:after="0" w:line="65"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spacing w:after="0" w:line="78" w:lineRule="exact"/>
        <w:rPr>
          <w:sz w:val="20"/>
          <w:szCs w:val="20"/>
          <w:color w:val="auto"/>
        </w:rPr>
      </w:pPr>
    </w:p>
    <w:p>
      <w:pPr>
        <w:ind w:right="80" w:firstLine="405"/>
        <w:spacing w:after="0" w:line="256" w:lineRule="auto"/>
        <w:rPr>
          <w:sz w:val="20"/>
          <w:szCs w:val="20"/>
          <w:color w:val="auto"/>
        </w:rPr>
      </w:pPr>
      <w:r>
        <w:rPr>
          <w:rFonts w:ascii="Arial" w:cs="Arial" w:eastAsia="Arial" w:hAnsi="Arial"/>
          <w:sz w:val="16"/>
          <w:szCs w:val="16"/>
          <w:color w:val="auto"/>
        </w:rPr>
        <w:t>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June 30, 2022 and September 30, 2022. Although we remediated our material weaknesses and management concluded that our internal control over financial reporting was effective as of December 31,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spacing w:after="0" w:line="199" w:lineRule="exact"/>
        <w:rPr>
          <w:sz w:val="20"/>
          <w:szCs w:val="20"/>
          <w:color w:val="auto"/>
        </w:rPr>
      </w:pPr>
    </w:p>
    <w:p>
      <w:pPr>
        <w:jc w:val="both"/>
        <w:ind w:right="300"/>
        <w:spacing w:after="0" w:line="270" w:lineRule="auto"/>
        <w:rPr>
          <w:sz w:val="20"/>
          <w:szCs w:val="20"/>
          <w:color w:val="auto"/>
        </w:rPr>
      </w:pPr>
      <w:r>
        <w:rPr>
          <w:rFonts w:ascii="Arial" w:cs="Arial" w:eastAsia="Arial" w:hAnsi="Arial"/>
          <w:sz w:val="16"/>
          <w:szCs w:val="16"/>
          <w:b w:val="1"/>
          <w:bCs w:val="1"/>
          <w:i w:val="1"/>
          <w:iCs w:val="1"/>
          <w:color w:val="auto"/>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66"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The revolving facility that we entered into on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65" w:lineRule="exact"/>
        <w:rPr>
          <w:sz w:val="20"/>
          <w:szCs w:val="20"/>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6" w:name="page47"/>
    <w:bookmarkEnd w:id="46"/>
    <w:p>
      <w:pPr>
        <w:ind w:left="720" w:hanging="297"/>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13" w:lineRule="exact"/>
        <w:rPr>
          <w:sz w:val="20"/>
          <w:szCs w:val="20"/>
          <w:color w:val="auto"/>
        </w:rPr>
      </w:pPr>
    </w:p>
    <w:p>
      <w:pPr>
        <w:ind w:right="120" w:firstLine="405"/>
        <w:spacing w:after="0" w:line="261" w:lineRule="auto"/>
        <w:rPr>
          <w:sz w:val="20"/>
          <w:szCs w:val="20"/>
          <w:color w:val="auto"/>
        </w:rPr>
      </w:pPr>
      <w:r>
        <w:rPr>
          <w:rFonts w:ascii="Arial" w:cs="Arial" w:eastAsia="Arial" w:hAnsi="Arial"/>
          <w:sz w:val="16"/>
          <w:szCs w:val="16"/>
          <w:color w:val="auto"/>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82" w:lineRule="exact"/>
        <w:rPr>
          <w:sz w:val="20"/>
          <w:szCs w:val="20"/>
          <w:color w:val="auto"/>
        </w:rPr>
      </w:pPr>
    </w:p>
    <w:p>
      <w:pPr>
        <w:ind w:right="20" w:firstLine="405"/>
        <w:spacing w:after="0" w:line="258" w:lineRule="auto"/>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spacing w:after="0" w:line="69" w:lineRule="exact"/>
        <w:rPr>
          <w:sz w:val="20"/>
          <w:szCs w:val="20"/>
          <w:color w:val="auto"/>
        </w:rPr>
      </w:pPr>
    </w:p>
    <w:p>
      <w:pPr>
        <w:jc w:val="both"/>
        <w:ind w:right="80" w:firstLine="405"/>
        <w:spacing w:after="0" w:line="275" w:lineRule="auto"/>
        <w:rPr>
          <w:sz w:val="20"/>
          <w:szCs w:val="20"/>
          <w:color w:val="auto"/>
        </w:rPr>
      </w:pPr>
      <w:r>
        <w:rPr>
          <w:rFonts w:ascii="Arial" w:cs="Arial" w:eastAsia="Arial" w:hAnsi="Arial"/>
          <w:sz w:val="16"/>
          <w:szCs w:val="16"/>
          <w:color w:val="auto"/>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25" w:lineRule="exact"/>
        <w:rPr>
          <w:sz w:val="20"/>
          <w:szCs w:val="20"/>
          <w:color w:val="auto"/>
        </w:rPr>
      </w:pPr>
    </w:p>
    <w:p>
      <w:pPr>
        <w:ind w:firstLine="405"/>
        <w:spacing w:after="0" w:line="258" w:lineRule="auto"/>
        <w:rPr>
          <w:sz w:val="20"/>
          <w:szCs w:val="20"/>
          <w:color w:val="auto"/>
        </w:rPr>
      </w:pPr>
      <w:r>
        <w:rPr>
          <w:rFonts w:ascii="Arial" w:cs="Arial" w:eastAsia="Arial" w:hAnsi="Arial"/>
          <w:sz w:val="16"/>
          <w:szCs w:val="16"/>
          <w:color w:val="auto"/>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25" w:lineRule="exact"/>
        <w:rPr>
          <w:sz w:val="20"/>
          <w:szCs w:val="20"/>
          <w:color w:val="auto"/>
        </w:rPr>
      </w:pPr>
    </w:p>
    <w:p>
      <w:pPr>
        <w:ind w:firstLine="405"/>
        <w:spacing w:after="0" w:line="256"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11" w:lineRule="exact"/>
        <w:rPr>
          <w:sz w:val="20"/>
          <w:szCs w:val="20"/>
          <w:color w:val="auto"/>
        </w:rPr>
      </w:pPr>
    </w:p>
    <w:p>
      <w:pPr>
        <w:ind w:right="160" w:firstLine="405"/>
        <w:spacing w:after="0" w:line="271"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13" w:lineRule="exact"/>
        <w:rPr>
          <w:sz w:val="20"/>
          <w:szCs w:val="20"/>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740" w:hanging="317"/>
        <w:spacing w:after="0" w:line="28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Inflation Reduction Act of 2022, or the IRA, the Tax Act and the CARES Act;</w:t>
      </w:r>
    </w:p>
    <w:p>
      <w:pPr>
        <w:spacing w:after="0" w:line="61" w:lineRule="exact"/>
        <w:rPr>
          <w:rFonts w:ascii="Arial" w:cs="Arial" w:eastAsia="Arial" w:hAnsi="Arial"/>
          <w:sz w:val="16"/>
          <w:szCs w:val="16"/>
          <w:color w:val="auto"/>
        </w:rPr>
      </w:pPr>
    </w:p>
    <w:p>
      <w:pPr>
        <w:ind w:left="740" w:right="80" w:hanging="317"/>
        <w:spacing w:after="0" w:line="28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7"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22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21" w:lineRule="exact"/>
        <w:rPr>
          <w:sz w:val="20"/>
          <w:szCs w:val="20"/>
          <w:color w:val="auto"/>
        </w:rPr>
      </w:pPr>
    </w:p>
    <w:p>
      <w:pPr>
        <w:ind w:right="160" w:firstLine="405"/>
        <w:spacing w:after="0" w:line="258" w:lineRule="auto"/>
        <w:rPr>
          <w:sz w:val="20"/>
          <w:szCs w:val="20"/>
          <w:color w:val="auto"/>
        </w:rPr>
      </w:pPr>
      <w:r>
        <w:rPr>
          <w:rFonts w:ascii="Arial" w:cs="Arial" w:eastAsia="Arial" w:hAnsi="Arial"/>
          <w:sz w:val="16"/>
          <w:szCs w:val="16"/>
          <w:color w:val="auto"/>
        </w:rPr>
        <w:t>New tax laws, statutes, rules, regulations or ordinances could be enacted at any time. Further, existing tax laws, statutes, rules, regulations or ordinances could be interpreted differently, changed, modified, or repealed at any time. Any such enactment, interpretation, change, modification, or repeal could adversely 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 Although there have been legislative proposals to repeal or defer such requirement, there can be no assurance that such requirement will be repealed, deferred, or otherwise modified.</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changes in the tax laws of foreign jurisdictions could arise as a result of the global</w:t>
      </w:r>
    </w:p>
    <w:p>
      <w:pPr>
        <w:spacing w:after="0" w:line="2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w:t>
      </w:r>
    </w:p>
    <w:p>
      <w:pPr>
        <w:spacing w:after="0" w:line="65" w:lineRule="exact"/>
        <w:rPr>
          <w:sz w:val="20"/>
          <w:szCs w:val="20"/>
          <w:color w:val="auto"/>
        </w:rPr>
      </w:pPr>
    </w:p>
    <w:p>
      <w:pPr>
        <w:ind w:right="400" w:firstLine="405"/>
        <w:spacing w:after="0" w:line="275" w:lineRule="auto"/>
        <w:rPr>
          <w:sz w:val="20"/>
          <w:szCs w:val="20"/>
          <w:color w:val="auto"/>
        </w:rPr>
      </w:pPr>
      <w:r>
        <w:rPr>
          <w:rFonts w:ascii="Arial" w:cs="Arial" w:eastAsia="Arial" w:hAnsi="Arial"/>
          <w:sz w:val="16"/>
          <w:szCs w:val="16"/>
          <w:color w:val="auto"/>
        </w:rPr>
        <w:t>Changes in corporate tax rates, the realization of net deferred tax assets, the taxation of foreign earnings or any future reform legislation, could potentially have a material impact on the value of our deferred tax assets, could result in significant one-time charges, and could increase our future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w:t>
      </w:r>
    </w:p>
    <w:p>
      <w:pPr>
        <w:spacing w:after="0" w:line="111" w:lineRule="exact"/>
        <w:rPr>
          <w:sz w:val="20"/>
          <w:szCs w:val="20"/>
          <w:color w:val="auto"/>
        </w:rPr>
      </w:pPr>
    </w:p>
    <w:p>
      <w:pPr>
        <w:ind w:right="40" w:firstLine="405"/>
        <w:spacing w:after="0" w:line="304"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33" w:lineRule="exact"/>
        <w:rPr>
          <w:sz w:val="20"/>
          <w:szCs w:val="20"/>
          <w:color w:val="auto"/>
        </w:rPr>
      </w:pPr>
    </w:p>
    <w:p>
      <w:pPr>
        <w:ind w:left="740" w:right="80" w:hanging="317"/>
        <w:spacing w:after="0" w:line="265"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78" w:lineRule="exact"/>
        <w:rPr>
          <w:rFonts w:ascii="Arial" w:cs="Arial" w:eastAsia="Arial" w:hAnsi="Arial"/>
          <w:sz w:val="16"/>
          <w:szCs w:val="16"/>
          <w:color w:val="auto"/>
        </w:rPr>
      </w:pPr>
    </w:p>
    <w:p>
      <w:pPr>
        <w:ind w:left="740" w:hanging="317"/>
        <w:spacing w:after="0" w:line="266" w:lineRule="auto"/>
        <w:tabs>
          <w:tab w:leader="none" w:pos="7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48" w:name="page49"/>
    <w:bookmarkEnd w:id="48"/>
    <w:p>
      <w:pPr>
        <w:jc w:val="both"/>
        <w:ind w:left="740" w:right="320"/>
        <w:spacing w:after="0" w:line="286" w:lineRule="auto"/>
        <w:rPr>
          <w:sz w:val="20"/>
          <w:szCs w:val="20"/>
          <w:color w:val="auto"/>
        </w:rPr>
      </w:pPr>
      <w:r>
        <w:rPr>
          <w:rFonts w:ascii="Arial" w:cs="Arial" w:eastAsia="Arial" w:hAnsi="Arial"/>
          <w:sz w:val="16"/>
          <w:szCs w:val="16"/>
          <w:color w:val="auto"/>
        </w:rPr>
        <w:t>in most U.S. states, laws, regulations and professional responsibility rules impose limitations on business transactions between attorneys and persons who are not licensed attorneys, including those related to the ethics of attorney fee-splitting and the corporate practice of law, or CPL.</w:t>
      </w:r>
    </w:p>
    <w:p>
      <w:pPr>
        <w:spacing w:after="0" w:line="61" w:lineRule="exact"/>
        <w:rPr>
          <w:sz w:val="20"/>
          <w:szCs w:val="20"/>
          <w:color w:val="auto"/>
        </w:rPr>
      </w:pPr>
    </w:p>
    <w:p>
      <w:pPr>
        <w:ind w:left="720" w:hanging="297"/>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13" w:lineRule="exact"/>
        <w:rPr>
          <w:rFonts w:ascii="Arial" w:cs="Arial" w:eastAsia="Arial" w:hAnsi="Arial"/>
          <w:sz w:val="16"/>
          <w:szCs w:val="16"/>
          <w:color w:val="auto"/>
        </w:rPr>
      </w:pPr>
    </w:p>
    <w:p>
      <w:pPr>
        <w:jc w:val="both"/>
        <w:ind w:left="740" w:right="500" w:hanging="317"/>
        <w:spacing w:after="0" w:line="304"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Regulations regarding virtual mail, including those imposed by the U.S. Postal Service, are new and evolving, are generally untested in U.S. courts, and may be interpreted, applied, created or amended by both federal and state agencies in a manner that could harm our business.</w:t>
      </w:r>
    </w:p>
    <w:p>
      <w:pPr>
        <w:spacing w:after="0" w:line="33" w:lineRule="exact"/>
        <w:rPr>
          <w:rFonts w:ascii="Arial" w:cs="Arial" w:eastAsia="Arial" w:hAnsi="Arial"/>
          <w:sz w:val="16"/>
          <w:szCs w:val="16"/>
          <w:color w:val="auto"/>
        </w:rPr>
      </w:pPr>
    </w:p>
    <w:p>
      <w:pPr>
        <w:ind w:left="740" w:right="180" w:hanging="317"/>
        <w:spacing w:after="0" w:line="286"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61"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The scope of the state and federal laws and regulations to which we are subject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challenges to, changes in, or new interpretations of, such laws could require us to significantly change the ways we currently structure our business and services. For instance, in March 2024 the U.S. District Court for the Northern District of Alabama declared the Corporate Transparency Act, or the CTA, unconstitutional. While this ruling has since been appealed, the future of the CTA and its mandate to file beneficial ownership information with the Financial Crimes Enforcement Network, as well as our Beneficial Ownership Information Report, remains uncertain and could continue to remain uncertain during the pendency of the litigation.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spacing w:after="0" w:line="89"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178"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b w:val="1"/>
          <w:bCs w:val="1"/>
          <w:i w:val="1"/>
          <w:iCs w:val="1"/>
          <w:color w:val="auto"/>
        </w:rPr>
        <w:t>Our Arizona subsidiary, which is licensed as an ABS, may not insulate us from claims of the unauthorized practice of law and is subject to restrictions under Arizona Code of Judicial Administration</w:t>
      </w:r>
    </w:p>
    <w:p>
      <w:pPr>
        <w:spacing w:after="0" w:line="21"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w:t>
      </w:r>
    </w:p>
    <w:p>
      <w:pPr>
        <w:spacing w:after="0" w:line="83" w:lineRule="exact"/>
        <w:rPr>
          <w:sz w:val="20"/>
          <w:szCs w:val="20"/>
          <w:color w:val="auto"/>
        </w:rPr>
      </w:pPr>
    </w:p>
    <w:p>
      <w:pPr>
        <w:ind w:right="20" w:firstLine="405"/>
        <w:spacing w:after="0" w:line="260" w:lineRule="auto"/>
        <w:rPr>
          <w:sz w:val="20"/>
          <w:szCs w:val="20"/>
          <w:color w:val="auto"/>
        </w:rPr>
      </w:pPr>
      <w:r>
        <w:rPr>
          <w:rFonts w:ascii="Arial" w:cs="Arial" w:eastAsia="Arial" w:hAnsi="Arial"/>
          <w:sz w:val="16"/>
          <w:szCs w:val="16"/>
          <w:color w:val="auto"/>
        </w:rPr>
        <w:t>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9" w:name="page50"/>
    <w:bookmarkEnd w:id="49"/>
    <w:p>
      <w:pPr>
        <w:ind w:right="100" w:firstLine="405"/>
        <w:spacing w:after="0" w:line="265"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spacing w:after="0" w:line="174" w:lineRule="exact"/>
        <w:rPr>
          <w:sz w:val="20"/>
          <w:szCs w:val="20"/>
          <w:color w:val="auto"/>
        </w:rPr>
      </w:pPr>
    </w:p>
    <w:p>
      <w:pPr>
        <w:ind w:right="800"/>
        <w:spacing w:after="0" w:line="294"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spacing w:after="0" w:line="47" w:lineRule="exact"/>
        <w:rPr>
          <w:sz w:val="20"/>
          <w:szCs w:val="20"/>
          <w:color w:val="auto"/>
        </w:rPr>
      </w:pPr>
    </w:p>
    <w:p>
      <w:pPr>
        <w:ind w:right="20" w:firstLine="405"/>
        <w:spacing w:after="0" w:line="255"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and our intellectual property offerings are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i w:val="1"/>
          <w:iCs w:val="1"/>
          <w:color w:val="auto"/>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spacing w:after="0" w:line="66"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In the ordinary course of business, we collect and otherwise process information from and about our customers and others, which may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or CCPA. Other U.S. states, such as Virginia, Colorado, Connecticut, and Utah, have similarly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Outside the U.S., an increasing number of laws, regulations and industry standards govern data privacy and security. For example, we are also subject to the European Union’s General Data Protection Regulation, or GDPR. In addition, we are subject to the terms of our privacy policies and obligations to third-parties related to privacy, data protection and information security.</w:t>
      </w:r>
    </w:p>
    <w:p>
      <w:pPr>
        <w:spacing w:after="0" w:line="279" w:lineRule="exact"/>
        <w:rPr>
          <w:sz w:val="20"/>
          <w:szCs w:val="20"/>
          <w:color w:val="auto"/>
        </w:rPr>
      </w:pPr>
    </w:p>
    <w:p>
      <w:pPr>
        <w:ind w:right="20" w:firstLine="405"/>
        <w:spacing w:after="0" w:line="256" w:lineRule="auto"/>
        <w:rPr>
          <w:sz w:val="20"/>
          <w:szCs w:val="20"/>
          <w:color w:val="auto"/>
        </w:rPr>
      </w:pPr>
      <w:r>
        <w:rPr>
          <w:rFonts w:ascii="Arial" w:cs="Arial" w:eastAsia="Arial" w:hAnsi="Arial"/>
          <w:sz w:val="16"/>
          <w:szCs w:val="16"/>
          <w:color w:val="auto"/>
        </w:rPr>
        <w:t>Any actual or perceived failure by us or third-parties working on our behalf to comply with applicable privacy and data security laws, rules and regulations, including the GDPR and the CCPA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third-parties that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process personal information on our behalf. In addition, these obligations may require us to change our business model.</w:t>
      </w:r>
    </w:p>
    <w:p>
      <w:pPr>
        <w:spacing w:after="0" w:line="113" w:lineRule="exact"/>
        <w:rPr>
          <w:sz w:val="20"/>
          <w:szCs w:val="20"/>
          <w:color w:val="auto"/>
        </w:rPr>
      </w:pPr>
    </w:p>
    <w:p>
      <w:pPr>
        <w:ind w:right="40" w:firstLine="405"/>
        <w:spacing w:after="0" w:line="262" w:lineRule="auto"/>
        <w:rPr>
          <w:sz w:val="20"/>
          <w:szCs w:val="20"/>
          <w:color w:val="auto"/>
        </w:rPr>
      </w:pPr>
      <w:r>
        <w:rPr>
          <w:rFonts w:ascii="Arial" w:cs="Arial" w:eastAsia="Arial" w:hAnsi="Arial"/>
          <w:sz w:val="16"/>
          <w:szCs w:val="16"/>
          <w:color w:val="auto"/>
        </w:rPr>
        <w:t>In addition, a growing number of legislative and regulatory bodies have adopted consumer notification and other requirements in the event that consumer information (such as personal information) is actually or reasonably believed to be compromised, and additional regulations regarding the use, access, accuracy, and security of such data are possible. In the U.S., state laws provide for disparate data breach notification regimes. If our practices are deemed to be a violation of applicable data privacy or security obligations,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obligations, or any future obligations of a similar nature, could result in substantial regulatory penalties, litigation expense, and loss of revenue.</w:t>
      </w:r>
    </w:p>
    <w:p>
      <w:pPr>
        <w:spacing w:after="0" w:line="66"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381"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58" w:lineRule="exact"/>
        <w:rPr>
          <w:sz w:val="20"/>
          <w:szCs w:val="20"/>
          <w:color w:val="auto"/>
        </w:rPr>
      </w:pPr>
    </w:p>
    <w:p>
      <w:pPr>
        <w:ind w:firstLine="405"/>
        <w:spacing w:after="0" w:line="257" w:lineRule="auto"/>
        <w:rPr>
          <w:sz w:val="20"/>
          <w:szCs w:val="20"/>
          <w:color w:val="auto"/>
        </w:rPr>
      </w:pPr>
      <w:r>
        <w:rPr>
          <w:rFonts w:ascii="Arial" w:cs="Arial" w:eastAsia="Arial" w:hAnsi="Arial"/>
          <w:sz w:val="16"/>
          <w:szCs w:val="16"/>
          <w:color w:val="auto"/>
        </w:rPr>
        <w:t>We collect, use, store, transmit and otherwise process data and information about our customers, employees and others, some of which may be sensitive, personal and/or confidential. Any actual or perceived breach of our security measures or those of our service providers could adversely affect our business, operations and future prospects. Circumvention of our security measures or those of our service providers may result in access, misappropriation, deletion, alteration, publication, modification or other compromise of our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Our internal information systems, cloud-based computing services, and those of our current and any future service providers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79"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We have adopted a remote-first policy, which permits personnel to work remotely or virtually indefinitely unless the nature of the personnel’s job requires their in-office presence. This policy, which results in a predominantly remote workforce, poses additional data security risks to our information technology systems and data, as more of our personnel work from home and utilize network connections outside our premises. Additionally, future or past business transactions (such as acquisitions or integrations) could expose us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1" w:name="page52"/>
    <w:bookmarkEnd w:id="51"/>
    <w:p>
      <w:pPr>
        <w:ind w:right="120"/>
        <w:spacing w:after="0" w:line="265" w:lineRule="auto"/>
        <w:rPr>
          <w:sz w:val="20"/>
          <w:szCs w:val="20"/>
          <w:color w:val="auto"/>
        </w:rPr>
      </w:pPr>
      <w:r>
        <w:rPr>
          <w:rFonts w:ascii="Arial" w:cs="Arial" w:eastAsia="Arial" w:hAnsi="Arial"/>
          <w:sz w:val="16"/>
          <w:szCs w:val="16"/>
          <w:color w:val="auto"/>
        </w:rPr>
        <w:t>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78" w:lineRule="exact"/>
        <w:rPr>
          <w:sz w:val="20"/>
          <w:szCs w:val="20"/>
          <w:color w:val="auto"/>
        </w:rPr>
      </w:pPr>
    </w:p>
    <w:p>
      <w:pPr>
        <w:ind w:right="80" w:firstLine="405"/>
        <w:spacing w:after="0" w:line="255"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91" w:lineRule="exact"/>
        <w:rPr>
          <w:sz w:val="20"/>
          <w:szCs w:val="20"/>
          <w:color w:val="auto"/>
        </w:rPr>
      </w:pPr>
    </w:p>
    <w:p>
      <w:pPr>
        <w:ind w:right="140" w:firstLine="405"/>
        <w:spacing w:after="0" w:line="265" w:lineRule="auto"/>
        <w:rPr>
          <w:sz w:val="20"/>
          <w:szCs w:val="20"/>
          <w:color w:val="auto"/>
        </w:rPr>
      </w:pPr>
      <w:r>
        <w:rPr>
          <w:rFonts w:ascii="Arial" w:cs="Arial" w:eastAsia="Arial" w:hAnsi="Arial"/>
          <w:sz w:val="16"/>
          <w:szCs w:val="16"/>
          <w:color w:val="auto"/>
        </w:rPr>
        <w:t>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third-parties. Our ability to monitor these third-parties’ information security practices is limited, and these third-parties may not have adequate information security measures in place, which could lead to a breach in our information.</w:t>
      </w:r>
    </w:p>
    <w:p>
      <w:pPr>
        <w:spacing w:after="0" w:line="65"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If we, or third-parties upon which we rely,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spacing w:after="0" w:line="70" w:lineRule="exact"/>
        <w:rPr>
          <w:sz w:val="20"/>
          <w:szCs w:val="20"/>
          <w:color w:val="auto"/>
        </w:rPr>
      </w:pPr>
    </w:p>
    <w:p>
      <w:pPr>
        <w:ind w:firstLine="405"/>
        <w:spacing w:after="0" w:line="265" w:lineRule="auto"/>
        <w:rPr>
          <w:sz w:val="20"/>
          <w:szCs w:val="20"/>
          <w:color w:val="auto"/>
        </w:rPr>
      </w:pPr>
      <w:r>
        <w:rPr>
          <w:rFonts w:ascii="Arial" w:cs="Arial" w:eastAsia="Arial" w:hAnsi="Arial"/>
          <w:sz w:val="16"/>
          <w:szCs w:val="16"/>
          <w:color w:val="auto"/>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w:t>
      </w:r>
    </w:p>
    <w:p>
      <w:pPr>
        <w:spacing w:after="0" w:line="65" w:lineRule="exact"/>
        <w:rPr>
          <w:sz w:val="20"/>
          <w:szCs w:val="20"/>
          <w:color w:val="auto"/>
        </w:rPr>
      </w:pPr>
    </w:p>
    <w:p>
      <w:pPr>
        <w:ind w:right="140" w:firstLine="405"/>
        <w:spacing w:after="0" w:line="275"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spacing w:after="0" w:line="56" w:lineRule="exact"/>
        <w:rPr>
          <w:sz w:val="20"/>
          <w:szCs w:val="20"/>
          <w:color w:val="auto"/>
        </w:rPr>
      </w:pPr>
    </w:p>
    <w:p>
      <w:pPr>
        <w:ind w:right="60" w:firstLine="405"/>
        <w:spacing w:after="0" w:line="258" w:lineRule="auto"/>
        <w:rPr>
          <w:sz w:val="20"/>
          <w:szCs w:val="20"/>
          <w:color w:val="auto"/>
        </w:rPr>
      </w:pPr>
      <w:r>
        <w:rPr>
          <w:rFonts w:ascii="Arial" w:cs="Arial" w:eastAsia="Arial" w:hAnsi="Arial"/>
          <w:sz w:val="16"/>
          <w:szCs w:val="16"/>
          <w:color w:val="auto"/>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2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CCPA.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2" w:name="page53"/>
    <w:bookmarkEnd w:id="52"/>
    <w:p>
      <w:pPr>
        <w:ind w:right="300"/>
        <w:spacing w:after="0" w:line="286" w:lineRule="auto"/>
        <w:rPr>
          <w:sz w:val="20"/>
          <w:szCs w:val="20"/>
          <w:color w:val="auto"/>
        </w:rPr>
      </w:pPr>
      <w:r>
        <w:rPr>
          <w:rFonts w:ascii="Arial" w:cs="Arial" w:eastAsia="Arial" w:hAnsi="Arial"/>
          <w:sz w:val="16"/>
          <w:szCs w:val="16"/>
          <w:color w:val="auto"/>
        </w:rPr>
        <w:t>large deductible or co-insurance requirements), could have an adverse effect on our business. Our risks are likely to increase as we continue to expand, grow our customer base, and process increasingly large amounts of sensitive information.</w:t>
      </w:r>
    </w:p>
    <w:p>
      <w:pPr>
        <w:spacing w:after="0" w:line="61" w:lineRule="exact"/>
        <w:rPr>
          <w:sz w:val="20"/>
          <w:szCs w:val="20"/>
          <w:color w:val="auto"/>
        </w:rPr>
      </w:pPr>
    </w:p>
    <w:p>
      <w:pPr>
        <w:ind w:right="260" w:firstLine="405"/>
        <w:spacing w:after="0" w:line="275"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and changing government regulation of our business may harm our operating results</w:t>
      </w:r>
    </w:p>
    <w:p>
      <w:pPr>
        <w:spacing w:after="0" w:line="111" w:lineRule="exact"/>
        <w:rPr>
          <w:sz w:val="20"/>
          <w:szCs w:val="20"/>
          <w:color w:val="auto"/>
        </w:rPr>
      </w:pPr>
    </w:p>
    <w:p>
      <w:pPr>
        <w:ind w:right="60" w:firstLine="405"/>
        <w:spacing w:after="0" w:line="259" w:lineRule="auto"/>
        <w:rPr>
          <w:sz w:val="20"/>
          <w:szCs w:val="20"/>
          <w:color w:val="auto"/>
        </w:rPr>
      </w:pPr>
      <w:r>
        <w:rPr>
          <w:rFonts w:ascii="Arial" w:cs="Arial" w:eastAsia="Arial" w:hAnsi="Arial"/>
          <w:sz w:val="16"/>
          <w:szCs w:val="16"/>
          <w:color w:val="auto"/>
        </w:rPr>
        <w:t>We are subject to federal, state, local and international laws and regulations that affect our and our customers' activities, including, without limitation, labor, advertising, sales and marketing, deceptive trade practices,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w:t>
      </w:r>
    </w:p>
    <w:p>
      <w:pPr>
        <w:spacing w:after="0" w:line="72" w:lineRule="exact"/>
        <w:rPr>
          <w:sz w:val="20"/>
          <w:szCs w:val="20"/>
          <w:color w:val="auto"/>
        </w:rPr>
      </w:pPr>
    </w:p>
    <w:p>
      <w:pPr>
        <w:ind w:right="40" w:firstLine="405"/>
        <w:spacing w:after="0" w:line="261" w:lineRule="auto"/>
        <w:rPr>
          <w:sz w:val="20"/>
          <w:szCs w:val="20"/>
          <w:color w:val="auto"/>
        </w:rPr>
      </w:pPr>
      <w:r>
        <w:rPr>
          <w:rFonts w:ascii="Arial" w:cs="Arial" w:eastAsia="Arial" w:hAnsi="Arial"/>
          <w:sz w:val="16"/>
          <w:szCs w:val="16"/>
          <w:color w:val="auto"/>
        </w:rPr>
        <w:t>In addition, new legislation, regulation, public policy considerations, litigation by the government or private entities, and changes to or new interpretations of existing laws may result in greater oversight of our industry,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in turn increase our cost of doing business and limit our revenue opportunities. In addition, if our practices are not consistent with new interpretations of existing laws, we may become subject to lawsuits, penalties, and other liabilities, any of which could have a negative effect on our business, results of operations, financial condition and future prospects.</w:t>
      </w:r>
    </w:p>
    <w:p>
      <w:pPr>
        <w:spacing w:after="0" w:line="82" w:lineRule="exact"/>
        <w:rPr>
          <w:sz w:val="20"/>
          <w:szCs w:val="20"/>
          <w:color w:val="auto"/>
        </w:rPr>
      </w:pPr>
    </w:p>
    <w:p>
      <w:pPr>
        <w:ind w:right="280" w:firstLine="405"/>
        <w:spacing w:after="0" w:line="286" w:lineRule="auto"/>
        <w:rPr>
          <w:sz w:val="20"/>
          <w:szCs w:val="20"/>
          <w:color w:val="auto"/>
        </w:rPr>
      </w:pPr>
      <w:r>
        <w:rPr>
          <w:rFonts w:ascii="Arial" w:cs="Arial" w:eastAsia="Arial" w:hAnsi="Arial"/>
          <w:sz w:val="16"/>
          <w:szCs w:val="16"/>
          <w:color w:val="auto"/>
        </w:rPr>
        <w:t>Changes in state-imposed requirements by one or more states may also significantly increase the costs of providing services to our customers and may prevent us from delivering a quality product to our customers in a timely manner.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223" w:lineRule="exact"/>
        <w:rPr>
          <w:sz w:val="20"/>
          <w:szCs w:val="20"/>
          <w:color w:val="auto"/>
        </w:rPr>
      </w:pPr>
    </w:p>
    <w:p>
      <w:pPr>
        <w:ind w:right="62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47" w:lineRule="exact"/>
        <w:rPr>
          <w:sz w:val="20"/>
          <w:szCs w:val="20"/>
          <w:color w:val="auto"/>
        </w:rPr>
      </w:pPr>
    </w:p>
    <w:p>
      <w:pPr>
        <w:ind w:firstLine="405"/>
        <w:spacing w:after="0" w:line="255" w:lineRule="auto"/>
        <w:rPr>
          <w:sz w:val="20"/>
          <w:szCs w:val="20"/>
          <w:color w:val="auto"/>
        </w:rPr>
      </w:pPr>
      <w:r>
        <w:rPr>
          <w:rFonts w:ascii="Arial" w:cs="Arial" w:eastAsia="Arial" w:hAnsi="Arial"/>
          <w:sz w:val="16"/>
          <w:szCs w:val="16"/>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3" w:name="page54"/>
    <w:bookmarkEnd w:id="53"/>
    <w:p>
      <w:pPr>
        <w:ind w:right="340"/>
        <w:spacing w:after="0" w:line="294"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4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223"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13" w:lineRule="exact"/>
        <w:rPr>
          <w:sz w:val="20"/>
          <w:szCs w:val="20"/>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increase or loss of customers;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26"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13" w:lineRule="exact"/>
        <w:rPr>
          <w:rFonts w:ascii="Arial" w:cs="Arial" w:eastAsia="Arial" w:hAnsi="Arial"/>
          <w:sz w:val="16"/>
          <w:szCs w:val="16"/>
          <w:color w:val="auto"/>
        </w:rPr>
      </w:pPr>
    </w:p>
    <w:p>
      <w:pPr>
        <w:ind w:left="740" w:right="960" w:hanging="317"/>
        <w:spacing w:after="0" w:line="286"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or capital-raising activities or commitments;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13" w:lineRule="exact"/>
        <w:rPr>
          <w:rFonts w:ascii="Arial" w:cs="Arial" w:eastAsia="Arial" w:hAnsi="Arial"/>
          <w:sz w:val="16"/>
          <w:szCs w:val="16"/>
          <w:color w:val="auto"/>
        </w:rPr>
      </w:pPr>
    </w:p>
    <w:p>
      <w:pPr>
        <w:ind w:left="740" w:right="420" w:hanging="317"/>
        <w:spacing w:after="0" w:line="304"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33"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3" w:lineRule="exact"/>
        <w:rPr>
          <w:rFonts w:ascii="Arial" w:cs="Arial" w:eastAsia="Arial" w:hAnsi="Arial"/>
          <w:sz w:val="16"/>
          <w:szCs w:val="16"/>
          <w:color w:val="auto"/>
        </w:rPr>
      </w:pPr>
    </w:p>
    <w:p>
      <w:pPr>
        <w:ind w:left="740" w:right="120" w:hanging="317"/>
        <w:spacing w:after="0" w:line="271"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spacing w:after="0" w:line="59" w:lineRule="exact"/>
        <w:rPr>
          <w:rFonts w:ascii="Arial" w:cs="Arial" w:eastAsia="Arial" w:hAnsi="Arial"/>
          <w:sz w:val="16"/>
          <w:szCs w:val="16"/>
          <w:color w:val="auto"/>
        </w:rPr>
      </w:pPr>
    </w:p>
    <w:p>
      <w:pPr>
        <w:ind w:left="740" w:right="180" w:hanging="317"/>
        <w:spacing w:after="0" w:line="286"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13" w:lineRule="exact"/>
        <w:rPr>
          <w:rFonts w:ascii="Arial" w:cs="Arial" w:eastAsia="Arial" w:hAnsi="Arial"/>
          <w:sz w:val="16"/>
          <w:szCs w:val="16"/>
          <w:color w:val="auto"/>
        </w:rPr>
      </w:pPr>
    </w:p>
    <w:p>
      <w:pPr>
        <w:ind w:left="740" w:right="20" w:hanging="317"/>
        <w:spacing w:after="0" w:line="286"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a public health pandemic or epidemic, bank failures, or responses to these events;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4" w:name="page55"/>
    <w:bookmarkEnd w:id="54"/>
    <w:p>
      <w:pPr>
        <w:ind w:left="740" w:right="260" w:hanging="317"/>
        <w:spacing w:after="0" w:line="286" w:lineRule="auto"/>
        <w:tabs>
          <w:tab w:leader="none" w:pos="7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recessionary fears, inflation and the rising interest rate environment.</w:t>
      </w:r>
    </w:p>
    <w:p>
      <w:pPr>
        <w:spacing w:after="0" w:line="61" w:lineRule="exact"/>
        <w:rPr>
          <w:sz w:val="20"/>
          <w:szCs w:val="20"/>
          <w:color w:val="auto"/>
        </w:rPr>
      </w:pPr>
    </w:p>
    <w:p>
      <w:pPr>
        <w:jc w:val="both"/>
        <w:ind w:right="40" w:firstLine="405"/>
        <w:spacing w:after="0" w:line="275"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16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which could cause the market price of our common stock to drop significantly, even if our business is performing well</w:t>
      </w:r>
    </w:p>
    <w:p>
      <w:pPr>
        <w:spacing w:after="0" w:line="47" w:lineRule="exact"/>
        <w:rPr>
          <w:sz w:val="20"/>
          <w:szCs w:val="20"/>
          <w:color w:val="auto"/>
        </w:rPr>
      </w:pPr>
    </w:p>
    <w:p>
      <w:pPr>
        <w:ind w:right="20" w:firstLine="405"/>
        <w:spacing w:after="0" w:line="25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March 31, 2024, holders of approximately 65 million shares of our common stock, are entitled to rights pursuant to an investors’ rights agreement, subject to some conditions, to require us to file registration statements covering their shares or to include their shares in registration 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affiliated stockholders may prevent new investors from influencing significant corporate decisions</w:t>
      </w:r>
    </w:p>
    <w:p>
      <w:pPr>
        <w:spacing w:after="0" w:line="47" w:lineRule="exact"/>
        <w:rPr>
          <w:sz w:val="20"/>
          <w:szCs w:val="20"/>
          <w:color w:val="auto"/>
        </w:rPr>
      </w:pPr>
    </w:p>
    <w:p>
      <w:pPr>
        <w:ind w:right="60" w:firstLine="405"/>
        <w:spacing w:after="0" w:line="261" w:lineRule="auto"/>
        <w:rPr>
          <w:sz w:val="20"/>
          <w:szCs w:val="20"/>
          <w:color w:val="auto"/>
        </w:rPr>
      </w:pPr>
      <w:r>
        <w:rPr>
          <w:rFonts w:ascii="Arial" w:cs="Arial" w:eastAsia="Arial" w:hAnsi="Arial"/>
          <w:sz w:val="16"/>
          <w:szCs w:val="16"/>
          <w:color w:val="auto"/>
        </w:rPr>
        <w:t>Based upon shares of our common stock outstanding as of March 31, 2024, our executive officers, directors and affiliated stockholders, in the aggregate, own shares representing approximately 28% of our outstanding common stock. If our executive officers, directors and affiliated stockholders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68" w:lineRule="exact"/>
        <w:rPr>
          <w:sz w:val="20"/>
          <w:szCs w:val="20"/>
          <w:color w:val="auto"/>
        </w:rPr>
      </w:pPr>
    </w:p>
    <w:p>
      <w:pPr>
        <w:ind w:firstLine="405"/>
        <w:spacing w:after="0" w:line="259" w:lineRule="auto"/>
        <w:rPr>
          <w:sz w:val="20"/>
          <w:szCs w:val="20"/>
          <w:color w:val="auto"/>
        </w:rPr>
      </w:pPr>
      <w:r>
        <w:rPr>
          <w:rFonts w:ascii="Arial" w:cs="Arial" w:eastAsia="Arial" w:hAnsi="Arial"/>
          <w:sz w:val="16"/>
          <w:szCs w:val="16"/>
          <w:color w:val="auto"/>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 LucasZoom, LLC ceased to own any shares of our common stock in November 2023 and, as a result, lost its right to nominate a director to our board of directors under the director nomination agreement.</w:t>
      </w:r>
    </w:p>
    <w:p>
      <w:pPr>
        <w:spacing w:after="0" w:line="18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7" w:lineRule="exact"/>
        <w:rPr>
          <w:sz w:val="20"/>
          <w:szCs w:val="20"/>
          <w:color w:val="auto"/>
        </w:rPr>
      </w:pPr>
    </w:p>
    <w:p>
      <w:pPr>
        <w:ind w:left="720" w:hanging="297"/>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5" w:name="page56"/>
    <w:bookmarkEnd w:id="55"/>
    <w:p>
      <w:pPr>
        <w:ind w:left="720" w:hanging="297"/>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26" w:lineRule="exact"/>
        <w:rPr>
          <w:rFonts w:ascii="Arial" w:cs="Arial" w:eastAsia="Arial" w:hAnsi="Arial"/>
          <w:sz w:val="16"/>
          <w:szCs w:val="16"/>
          <w:color w:val="auto"/>
        </w:rPr>
      </w:pPr>
    </w:p>
    <w:p>
      <w:pPr>
        <w:ind w:left="740" w:right="260" w:hanging="317"/>
        <w:spacing w:after="0" w:line="286"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61" w:lineRule="exact"/>
        <w:rPr>
          <w:rFonts w:ascii="Arial" w:cs="Arial" w:eastAsia="Arial" w:hAnsi="Arial"/>
          <w:sz w:val="16"/>
          <w:szCs w:val="16"/>
          <w:color w:val="auto"/>
        </w:rPr>
      </w:pPr>
    </w:p>
    <w:p>
      <w:pPr>
        <w:ind w:left="720" w:hanging="297"/>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13" w:lineRule="exact"/>
        <w:rPr>
          <w:rFonts w:ascii="Arial" w:cs="Arial" w:eastAsia="Arial" w:hAnsi="Arial"/>
          <w:sz w:val="16"/>
          <w:szCs w:val="16"/>
          <w:color w:val="auto"/>
        </w:rPr>
      </w:pPr>
    </w:p>
    <w:p>
      <w:pPr>
        <w:ind w:left="720" w:hanging="297"/>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13" w:lineRule="exact"/>
        <w:rPr>
          <w:rFonts w:ascii="Arial" w:cs="Arial" w:eastAsia="Arial" w:hAnsi="Arial"/>
          <w:sz w:val="16"/>
          <w:szCs w:val="16"/>
          <w:color w:val="auto"/>
        </w:rPr>
      </w:pPr>
    </w:p>
    <w:p>
      <w:pPr>
        <w:jc w:val="both"/>
        <w:ind w:left="740" w:right="20" w:hanging="317"/>
        <w:spacing w:after="0" w:line="275"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9" w:lineRule="exact"/>
        <w:rPr>
          <w:rFonts w:ascii="Arial" w:cs="Arial" w:eastAsia="Arial" w:hAnsi="Arial"/>
          <w:sz w:val="16"/>
          <w:szCs w:val="16"/>
          <w:color w:val="auto"/>
        </w:rPr>
      </w:pPr>
    </w:p>
    <w:p>
      <w:pPr>
        <w:ind w:left="740" w:right="260" w:hanging="317"/>
        <w:spacing w:after="0" w:line="286"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48" w:lineRule="exact"/>
        <w:rPr>
          <w:sz w:val="20"/>
          <w:szCs w:val="20"/>
          <w:color w:val="auto"/>
        </w:rPr>
      </w:pPr>
    </w:p>
    <w:p>
      <w:pPr>
        <w:ind w:firstLine="405"/>
        <w:spacing w:after="0" w:line="26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33" w:lineRule="exact"/>
        <w:rPr>
          <w:sz w:val="20"/>
          <w:szCs w:val="20"/>
          <w:color w:val="auto"/>
        </w:rPr>
      </w:pPr>
    </w:p>
    <w:p>
      <w:pPr>
        <w:ind w:right="60" w:firstLine="405"/>
        <w:spacing w:after="0" w:line="257"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37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6" w:name="page57"/>
    <w:bookmarkEnd w:id="56"/>
    <w:p>
      <w:pPr>
        <w:ind w:firstLine="405"/>
        <w:spacing w:after="0" w:line="261" w:lineRule="auto"/>
        <w:rPr>
          <w:sz w:val="20"/>
          <w:szCs w:val="20"/>
          <w:color w:val="auto"/>
        </w:rPr>
      </w:pPr>
      <w:r>
        <w:rPr>
          <w:rFonts w:ascii="Arial" w:cs="Arial" w:eastAsia="Arial" w:hAnsi="Arial"/>
          <w:sz w:val="16"/>
          <w:szCs w:val="16"/>
          <w:color w:val="auto"/>
        </w:rPr>
        <w:t>The provisions would not apply to suits brought to enforce a duty or liability created by the Securities Exchange Act of 1934, as amended, or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w:t>
      </w:r>
    </w:p>
    <w:p>
      <w:pPr>
        <w:spacing w:after="0" w:line="68"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4" w:lineRule="exact"/>
        <w:rPr>
          <w:sz w:val="20"/>
          <w:szCs w:val="20"/>
          <w:color w:val="auto"/>
        </w:rPr>
      </w:pPr>
    </w:p>
    <w:p>
      <w:pPr>
        <w:ind w:right="240" w:firstLine="405"/>
        <w:spacing w:after="0" w:line="265"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of Equity Securities</w:t>
      </w:r>
    </w:p>
    <w:p>
      <w:pPr>
        <w:spacing w:after="0" w:line="125" w:lineRule="exact"/>
        <w:rPr>
          <w:sz w:val="20"/>
          <w:szCs w:val="20"/>
          <w:color w:val="auto"/>
        </w:rPr>
      </w:pPr>
    </w:p>
    <w:p>
      <w:pPr>
        <w:ind w:firstLine="405"/>
        <w:spacing w:after="0" w:line="260" w:lineRule="auto"/>
        <w:rPr>
          <w:sz w:val="20"/>
          <w:szCs w:val="20"/>
          <w:color w:val="auto"/>
        </w:rPr>
      </w:pPr>
      <w:r>
        <w:rPr>
          <w:rFonts w:ascii="Arial" w:cs="Arial" w:eastAsia="Arial" w:hAnsi="Arial"/>
          <w:sz w:val="16"/>
          <w:szCs w:val="16"/>
          <w:color w:val="auto"/>
        </w:rPr>
        <w:t>In October 2023, our board of directors approved a new stock repurchase program authorizing us to repurchase up to $100.0 million of our common stock, with no fixed expiration. Stock repurchases under this new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Stock repurchase activity during the three months ended March 31, 2024 were as follows:</w:t>
      </w:r>
    </w:p>
    <w:p>
      <w:pPr>
        <w:spacing w:after="0" w:line="24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 Number of</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Dollar Value of</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Average Price</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16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Shares</w:t>
            </w:r>
          </w:p>
        </w:tc>
        <w:tc>
          <w:tcPr>
            <w:tcW w:w="1320" w:type="dxa"/>
            <w:vAlign w:val="bottom"/>
            <w:gridSpan w:val="3"/>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80" w:type="dxa"/>
            <w:vAlign w:val="bottom"/>
          </w:tcPr>
          <w:p>
            <w:pPr>
              <w:spacing w:after="0"/>
              <w:rPr>
                <w:sz w:val="14"/>
                <w:szCs w:val="14"/>
                <w:color w:val="auto"/>
              </w:rPr>
            </w:pPr>
          </w:p>
        </w:tc>
        <w:tc>
          <w:tcPr>
            <w:tcW w:w="15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Yet be purchased</w:t>
            </w:r>
          </w:p>
        </w:tc>
        <w:tc>
          <w:tcPr>
            <w:tcW w:w="0" w:type="dxa"/>
            <w:vAlign w:val="bottom"/>
          </w:tcPr>
          <w:p>
            <w:pPr>
              <w:spacing w:after="0"/>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Purchased</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Paid per Share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Plans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rPr>
              <w:t>Under the Plans</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2024 through January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324,190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96,615,077</w:t>
            </w:r>
          </w:p>
        </w:tc>
        <w:tc>
          <w:tcPr>
            <w:tcW w:w="0" w:type="dxa"/>
            <w:vAlign w:val="bottom"/>
          </w:tcPr>
          <w:p>
            <w:pPr>
              <w:spacing w:after="0"/>
              <w:rPr>
                <w:sz w:val="1"/>
                <w:szCs w:val="1"/>
                <w:color w:val="auto"/>
              </w:rPr>
            </w:pP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February 1, 2024 through February 29, 2024</w:t>
            </w:r>
          </w:p>
        </w:tc>
        <w:tc>
          <w:tcPr>
            <w:tcW w:w="1360" w:type="dxa"/>
            <w:vAlign w:val="bottom"/>
          </w:tcPr>
          <w:p>
            <w:pPr>
              <w:jc w:val="right"/>
              <w:spacing w:after="0"/>
              <w:rPr>
                <w:sz w:val="20"/>
                <w:szCs w:val="20"/>
                <w:color w:val="auto"/>
              </w:rPr>
            </w:pPr>
            <w:r>
              <w:rPr>
                <w:rFonts w:ascii="Arial" w:cs="Arial" w:eastAsia="Arial" w:hAnsi="Arial"/>
                <w:sz w:val="16"/>
                <w:szCs w:val="16"/>
                <w:color w:val="auto"/>
              </w:rPr>
              <w:t>573,195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573,195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90,764,467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2024 through March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87,217,336</w:t>
            </w:r>
          </w:p>
        </w:tc>
        <w:tc>
          <w:tcPr>
            <w:tcW w:w="0" w:type="dxa"/>
            <w:vAlign w:val="bottom"/>
          </w:tcPr>
          <w:p>
            <w:pPr>
              <w:spacing w:after="0"/>
              <w:rPr>
                <w:sz w:val="1"/>
                <w:szCs w:val="1"/>
                <w:color w:val="auto"/>
              </w:rPr>
            </w:pP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1,171,547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1,171,547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Rule 10b5-1 Trading Arrangements</w:t>
      </w:r>
    </w:p>
    <w:p>
      <w:pPr>
        <w:spacing w:after="0" w:line="111"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On March 7, 2024, Dan Wernikoff, our Chief Executive Officer, entered into a trading plan intended to satisfy the affirmative defense of Rule 10b5-1(c) under the Exchange Act. The 10b5-1 plan, which was entered</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57" w:name="page58"/>
    <w:bookmarkEnd w:id="57"/>
    <w:p>
      <w:pPr>
        <w:spacing w:after="0" w:line="286" w:lineRule="auto"/>
        <w:rPr>
          <w:sz w:val="20"/>
          <w:szCs w:val="20"/>
          <w:color w:val="auto"/>
        </w:rPr>
      </w:pPr>
      <w:r>
        <w:rPr>
          <w:rFonts w:ascii="Arial" w:cs="Arial" w:eastAsia="Arial" w:hAnsi="Arial"/>
          <w:sz w:val="16"/>
          <w:szCs w:val="16"/>
          <w:color w:val="auto"/>
        </w:rPr>
        <w:t>into during an open trading window under the Company’s insider trading policy, will be in effect until the earlier of (1) March 7, 2025, and (2) the date on which 1,000,000 shares of the Company’s common stock have been sold under such 10b5-1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exhibits listed below are filed or furnished as part of this Quarterly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80" w:type="dxa"/>
            <w:vAlign w:val="bottom"/>
            <w:gridSpan w:val="10"/>
          </w:tcPr>
          <w:p>
            <w:pPr>
              <w:ind w:left="3220"/>
              <w:spacing w:after="0"/>
              <w:rPr>
                <w:sz w:val="20"/>
                <w:szCs w:val="20"/>
                <w:color w:val="auto"/>
              </w:rPr>
            </w:pPr>
            <w:r>
              <w:rPr>
                <w:rFonts w:ascii="Arial" w:cs="Arial" w:eastAsia="Arial" w:hAnsi="Arial"/>
                <w:sz w:val="16"/>
                <w:szCs w:val="16"/>
                <w:b w:val="1"/>
                <w:bCs w:val="1"/>
                <w:color w:val="auto"/>
              </w:rPr>
              <w:t>Description of Exhibit</w:t>
            </w:r>
          </w:p>
        </w:tc>
      </w:tr>
      <w:tr>
        <w:trPr>
          <w:trHeight w:val="169"/>
        </w:trPr>
        <w:tc>
          <w:tcPr>
            <w:tcW w:w="820" w:type="dxa"/>
            <w:vAlign w:val="bottom"/>
            <w:tcBorders>
              <w:top w:val="single" w:sz="8" w:color="auto"/>
            </w:tcBorders>
            <w:gridSpan w:val="4"/>
          </w:tcPr>
          <w:p>
            <w:pPr>
              <w:jc w:val="right"/>
              <w:ind w:right="260"/>
              <w:spacing w:after="0" w:line="169"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840" w:type="dxa"/>
            <w:vAlign w:val="bottom"/>
            <w:tcBorders>
              <w:top w:val="single" w:sz="8" w:color="auto"/>
            </w:tcBorders>
            <w:gridSpan w:val="11"/>
          </w:tcPr>
          <w:p>
            <w:pPr>
              <w:spacing w:after="0" w:line="169" w:lineRule="exact"/>
              <w:rPr>
                <w:rFonts w:ascii="Arial" w:cs="Arial" w:eastAsia="Arial" w:hAnsi="Arial"/>
                <w:sz w:val="16"/>
                <w:szCs w:val="16"/>
                <w:color w:val="auto"/>
              </w:rPr>
            </w:pPr>
            <w:hyperlink r:id="rId80">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w:t>
              </w:r>
            </w:hyperlink>
          </w:p>
        </w:tc>
      </w:tr>
      <w:tr>
        <w:trPr>
          <w:trHeight w:val="156"/>
        </w:trPr>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5"/>
          </w:tcPr>
          <w:p>
            <w:pPr>
              <w:spacing w:after="0" w:line="155" w:lineRule="exact"/>
              <w:rPr>
                <w:rFonts w:ascii="Arial" w:cs="Arial" w:eastAsia="Arial" w:hAnsi="Arial"/>
                <w:sz w:val="16"/>
                <w:szCs w:val="16"/>
                <w:color w:val="0000FF"/>
              </w:rPr>
            </w:pPr>
            <w:hyperlink r:id="rId80">
              <w:r>
                <w:rPr>
                  <w:rFonts w:ascii="Arial" w:cs="Arial" w:eastAsia="Arial" w:hAnsi="Arial"/>
                  <w:sz w:val="16"/>
                  <w:szCs w:val="16"/>
                  <w:color w:val="0000FF"/>
                </w:rPr>
                <w:t>Company’s Current Report on Form 8-K filed with the SEC on July 2, 2021)</w:t>
              </w:r>
              <w:r>
                <w:rPr>
                  <w:rFonts w:ascii="Arial" w:cs="Arial" w:eastAsia="Arial" w:hAnsi="Arial"/>
                  <w:sz w:val="16"/>
                  <w:szCs w:val="16"/>
                  <w:color w:val="000000"/>
                </w:rPr>
                <w:t>.</w:t>
              </w:r>
            </w:hyperlink>
          </w:p>
        </w:tc>
        <w:tc>
          <w:tcPr>
            <w:tcW w:w="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20" w:type="dxa"/>
            <w:vAlign w:val="bottom"/>
            <w:gridSpan w:val="4"/>
          </w:tcPr>
          <w:p>
            <w:pPr>
              <w:jc w:val="right"/>
              <w:ind w:right="2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40" w:type="dxa"/>
            <w:vAlign w:val="bottom"/>
            <w:gridSpan w:val="11"/>
          </w:tcPr>
          <w:p>
            <w:pPr>
              <w:spacing w:after="0"/>
              <w:rPr>
                <w:rFonts w:ascii="Arial" w:cs="Arial" w:eastAsia="Arial" w:hAnsi="Arial"/>
                <w:sz w:val="16"/>
                <w:szCs w:val="16"/>
                <w:color w:val="auto"/>
              </w:rPr>
            </w:pPr>
            <w:hyperlink r:id="rId81">
              <w:r>
                <w:rPr>
                  <w:rFonts w:ascii="Arial" w:cs="Arial" w:eastAsia="Arial" w:hAnsi="Arial"/>
                  <w:sz w:val="16"/>
                  <w:szCs w:val="16"/>
                  <w:color w:val="auto"/>
                </w:rPr>
                <w:t xml:space="preserve">Amended and Restated Bylaws of LegalZoom.com, Inc. </w:t>
              </w:r>
              <w:r>
                <w:rPr>
                  <w:rFonts w:ascii="Arial" w:cs="Arial" w:eastAsia="Arial" w:hAnsi="Arial"/>
                  <w:sz w:val="16"/>
                  <w:szCs w:val="16"/>
                  <w:color w:val="0000FF"/>
                </w:rPr>
                <w:t>(incorporated by reference to Exhibit 3.4 to Amendment No. 1 to</w:t>
              </w:r>
            </w:hyperlink>
          </w:p>
        </w:tc>
      </w:tr>
      <w:tr>
        <w:trPr>
          <w:trHeight w:val="155"/>
        </w:trPr>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gridSpan w:val="2"/>
          </w:tcPr>
          <w:p>
            <w:pPr>
              <w:spacing w:after="0" w:line="155" w:lineRule="exact"/>
              <w:rPr>
                <w:rFonts w:ascii="Arial" w:cs="Arial" w:eastAsia="Arial" w:hAnsi="Arial"/>
                <w:sz w:val="16"/>
                <w:szCs w:val="16"/>
                <w:color w:val="0000FF"/>
                <w:w w:val="99"/>
              </w:rPr>
            </w:pPr>
            <w:hyperlink r:id="rId81">
              <w:r>
                <w:rPr>
                  <w:rFonts w:ascii="Arial" w:cs="Arial" w:eastAsia="Arial" w:hAnsi="Arial"/>
                  <w:sz w:val="16"/>
                  <w:szCs w:val="16"/>
                  <w:color w:val="0000FF"/>
                  <w:w w:val="99"/>
                </w:rPr>
                <w:t>the Company’s Registration Statement on Form S-1 filed</w:t>
              </w:r>
            </w:hyperlink>
          </w:p>
        </w:tc>
        <w:tc>
          <w:tcPr>
            <w:tcW w:w="4640" w:type="dxa"/>
            <w:vAlign w:val="bottom"/>
            <w:tcBorders>
              <w:top w:val="single" w:sz="8" w:color="0000FF"/>
            </w:tcBorders>
            <w:gridSpan w:val="7"/>
          </w:tcPr>
          <w:p>
            <w:pPr>
              <w:ind w:left="100"/>
              <w:spacing w:after="0" w:line="155" w:lineRule="exact"/>
              <w:rPr>
                <w:rFonts w:ascii="Arial" w:cs="Arial" w:eastAsia="Arial" w:hAnsi="Arial"/>
                <w:sz w:val="16"/>
                <w:szCs w:val="16"/>
                <w:color w:val="0000FF"/>
              </w:rPr>
            </w:pPr>
            <w:hyperlink r:id="rId81">
              <w:r>
                <w:rPr>
                  <w:rFonts w:ascii="Arial" w:cs="Arial" w:eastAsia="Arial" w:hAnsi="Arial"/>
                  <w:sz w:val="16"/>
                  <w:szCs w:val="16"/>
                  <w:color w:val="0000FF"/>
                </w:rPr>
                <w:t>with the SEC on June 21, 2021)</w:t>
              </w:r>
              <w:r>
                <w:rPr>
                  <w:rFonts w:ascii="Arial" w:cs="Arial" w:eastAsia="Arial" w:hAnsi="Arial"/>
                  <w:sz w:val="16"/>
                  <w:szCs w:val="16"/>
                  <w:color w:val="000000"/>
                </w:rPr>
                <w:t>.</w:t>
              </w:r>
            </w:hyperlink>
          </w:p>
        </w:tc>
        <w:tc>
          <w:tcPr>
            <w:tcW w:w="200" w:type="dxa"/>
            <w:vAlign w:val="bottom"/>
            <w:gridSpan w:val="2"/>
          </w:tcPr>
          <w:p>
            <w:pPr>
              <w:spacing w:after="0"/>
              <w:rPr>
                <w:sz w:val="13"/>
                <w:szCs w:val="13"/>
                <w:color w:val="auto"/>
              </w:rPr>
            </w:pPr>
          </w:p>
        </w:tc>
      </w:tr>
      <w:tr>
        <w:trPr>
          <w:trHeight w:val="223"/>
        </w:trPr>
        <w:tc>
          <w:tcPr>
            <w:tcW w:w="220" w:type="dxa"/>
            <w:vAlign w:val="bottom"/>
            <w:gridSpan w:val="2"/>
          </w:tcPr>
          <w:p>
            <w:pPr>
              <w:spacing w:after="0"/>
              <w:rPr>
                <w:sz w:val="19"/>
                <w:szCs w:val="19"/>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Certification of Chief Executive Officer pursuant to Rule 13a-14(a)/15d-14(a)</w:t>
            </w:r>
            <w:r>
              <w:rPr>
                <w:rFonts w:ascii="Arial" w:cs="Arial" w:eastAsia="Arial" w:hAnsi="Arial"/>
                <w:sz w:val="16"/>
                <w:szCs w:val="16"/>
                <w:color w:val="000000"/>
              </w:rPr>
              <w:t>.</w:t>
            </w:r>
          </w:p>
        </w:tc>
        <w:tc>
          <w:tcPr>
            <w:tcW w:w="2460" w:type="dxa"/>
            <w:vAlign w:val="bottom"/>
            <w:gridSpan w:val="4"/>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220" w:type="dxa"/>
            <w:vAlign w:val="bottom"/>
            <w:gridSpan w:val="2"/>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6"/>
                <w:szCs w:val="16"/>
                <w:color w:val="0000FF"/>
              </w:rPr>
              <w:t>Certification of Chief Financial Officer pursuant to Rule 13a-14(a)/15d-14(a)</w:t>
            </w:r>
            <w:r>
              <w:rPr>
                <w:rFonts w:ascii="Arial" w:cs="Arial" w:eastAsia="Arial" w:hAnsi="Arial"/>
                <w:sz w:val="16"/>
                <w:szCs w:val="16"/>
                <w:color w:val="000000"/>
              </w:rPr>
              <w:t>.</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w:t>
            </w:r>
          </w:p>
        </w:tc>
      </w:tr>
      <w:tr>
        <w:trPr>
          <w:trHeight w:val="156"/>
        </w:trPr>
        <w:tc>
          <w:tcPr>
            <w:tcW w:w="2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6"/>
                <w:szCs w:val="16"/>
                <w:color w:val="0000FF"/>
              </w:rPr>
              <w:t>2002</w:t>
            </w:r>
            <w:r>
              <w:rPr>
                <w:rFonts w:ascii="Arial" w:cs="Arial" w:eastAsia="Arial" w:hAnsi="Arial"/>
                <w:sz w:val="16"/>
                <w:szCs w:val="16"/>
                <w:color w:val="000000"/>
              </w:rPr>
              <w:t>.</w:t>
            </w:r>
          </w:p>
        </w:tc>
        <w:tc>
          <w:tcPr>
            <w:tcW w:w="1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 w:lineRule="exact"/>
        <w:rPr>
          <w:sz w:val="20"/>
          <w:szCs w:val="20"/>
          <w:color w:val="auto"/>
        </w:rPr>
      </w:pPr>
    </w:p>
    <w:p>
      <w:pPr>
        <w:ind w:left="920" w:right="1200" w:hanging="642"/>
        <w:spacing w:after="0" w:line="248"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three months ended March 31, 2024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p>
      <w:pPr>
        <w:spacing w:after="0" w:line="2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35" w:right="7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56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3840" w:type="dxa"/>
            <w:vAlign w:val="bottom"/>
          </w:tcPr>
          <w:p>
            <w:pPr>
              <w:spacing w:after="0"/>
              <w:rPr>
                <w:sz w:val="19"/>
                <w:szCs w:val="19"/>
                <w:color w:val="auto"/>
              </w:rPr>
            </w:pPr>
          </w:p>
        </w:tc>
        <w:tc>
          <w:tcPr>
            <w:tcW w:w="7160" w:type="dxa"/>
            <w:vAlign w:val="bottom"/>
            <w:gridSpan w:val="2"/>
          </w:tcPr>
          <w:p>
            <w:pPr>
              <w:ind w:left="2540"/>
              <w:spacing w:after="0"/>
              <w:rPr>
                <w:sz w:val="20"/>
                <w:szCs w:val="20"/>
                <w:color w:val="auto"/>
              </w:rPr>
            </w:pPr>
            <w:r>
              <w:rPr>
                <w:rFonts w:ascii="Arial" w:cs="Arial" w:eastAsia="Arial" w:hAnsi="Arial"/>
                <w:sz w:val="16"/>
                <w:szCs w:val="16"/>
                <w:b w:val="1"/>
                <w:bCs w:val="1"/>
                <w:color w:val="auto"/>
              </w:rPr>
              <w:t>LegalZoom.Com, Inc.</w:t>
            </w:r>
          </w:p>
        </w:tc>
      </w:tr>
      <w:tr>
        <w:trPr>
          <w:trHeight w:val="385"/>
        </w:trPr>
        <w:tc>
          <w:tcPr>
            <w:tcW w:w="3840" w:type="dxa"/>
            <w:vAlign w:val="bottom"/>
          </w:tcPr>
          <w:p>
            <w:pPr>
              <w:spacing w:after="0"/>
              <w:rPr>
                <w:sz w:val="20"/>
                <w:szCs w:val="20"/>
                <w:color w:val="auto"/>
              </w:rPr>
            </w:pPr>
            <w:r>
              <w:rPr>
                <w:rFonts w:ascii="Arial" w:cs="Arial" w:eastAsia="Arial" w:hAnsi="Arial"/>
                <w:sz w:val="16"/>
                <w:szCs w:val="16"/>
                <w:color w:val="auto"/>
              </w:rPr>
              <w:t>Date: May 7, 2024</w:t>
            </w:r>
          </w:p>
        </w:tc>
        <w:tc>
          <w:tcPr>
            <w:tcW w:w="3060" w:type="dxa"/>
            <w:vAlign w:val="bottom"/>
          </w:tcPr>
          <w:p>
            <w:pPr>
              <w:ind w:left="2540"/>
              <w:spacing w:after="0"/>
              <w:rPr>
                <w:sz w:val="20"/>
                <w:szCs w:val="20"/>
                <w:color w:val="auto"/>
              </w:rPr>
            </w:pPr>
            <w:r>
              <w:rPr>
                <w:rFonts w:ascii="Arial" w:cs="Arial" w:eastAsia="Arial" w:hAnsi="Arial"/>
                <w:sz w:val="16"/>
                <w:szCs w:val="16"/>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Dan Wernikoff</w:t>
            </w:r>
          </w:p>
        </w:tc>
      </w:tr>
      <w:tr>
        <w:trPr>
          <w:trHeight w:val="209"/>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Dan Wernikoff</w:t>
            </w:r>
          </w:p>
        </w:tc>
      </w:tr>
      <w:tr>
        <w:trPr>
          <w:trHeight w:val="215"/>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16"/>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r>
        <w:trPr>
          <w:trHeight w:val="474"/>
        </w:trPr>
        <w:tc>
          <w:tcPr>
            <w:tcW w:w="3840" w:type="dxa"/>
            <w:vAlign w:val="bottom"/>
          </w:tcPr>
          <w:p>
            <w:pPr>
              <w:spacing w:after="0"/>
              <w:rPr>
                <w:sz w:val="20"/>
                <w:szCs w:val="20"/>
                <w:color w:val="auto"/>
              </w:rPr>
            </w:pPr>
            <w:r>
              <w:rPr>
                <w:rFonts w:ascii="Arial" w:cs="Arial" w:eastAsia="Arial" w:hAnsi="Arial"/>
                <w:sz w:val="16"/>
                <w:szCs w:val="16"/>
                <w:color w:val="auto"/>
              </w:rPr>
              <w:t>Date: May 7, 2024</w:t>
            </w:r>
          </w:p>
        </w:tc>
        <w:tc>
          <w:tcPr>
            <w:tcW w:w="306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Noel Watson</w:t>
            </w:r>
          </w:p>
        </w:tc>
      </w:tr>
      <w:tr>
        <w:trPr>
          <w:trHeight w:val="209"/>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Noel Watson</w:t>
            </w:r>
          </w:p>
        </w:tc>
      </w:tr>
      <w:tr>
        <w:trPr>
          <w:trHeight w:val="215"/>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3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93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Dan Wernikoff, certify that:</w:t>
      </w:r>
    </w:p>
    <w:p>
      <w:pPr>
        <w:spacing w:after="0" w:line="22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360" w:hanging="492"/>
        <w:spacing w:after="0" w:line="286" w:lineRule="auto"/>
        <w:tabs>
          <w:tab w:leader="none" w:pos="4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20"/>
        <w:spacing w:after="0"/>
        <w:tabs>
          <w:tab w:leader="none" w:pos="5380" w:val="left"/>
          <w:tab w:leader="none" w:pos="7880" w:val="left"/>
        </w:tabs>
        <w:rPr>
          <w:sz w:val="20"/>
          <w:szCs w:val="20"/>
          <w:color w:val="auto"/>
        </w:rPr>
      </w:pPr>
      <w:r>
        <w:rPr>
          <w:rFonts w:ascii="Arial" w:cs="Arial" w:eastAsia="Arial" w:hAnsi="Arial"/>
          <w:sz w:val="16"/>
          <w:szCs w:val="16"/>
          <w:color w:val="auto"/>
        </w:rPr>
        <w:t>Date: May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Dan Wernikoff</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3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2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34" w:lineRule="exact"/>
        <w:rPr>
          <w:rFonts w:ascii="Arial" w:cs="Arial" w:eastAsia="Arial" w:hAnsi="Arial"/>
          <w:sz w:val="16"/>
          <w:szCs w:val="16"/>
          <w:color w:val="auto"/>
        </w:rPr>
      </w:pPr>
    </w:p>
    <w:p>
      <w:pPr>
        <w:jc w:val="both"/>
        <w:ind w:left="500" w:right="280" w:hanging="492"/>
        <w:spacing w:after="0" w:line="266" w:lineRule="auto"/>
        <w:tabs>
          <w:tab w:leader="none" w:pos="4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500" w:right="420" w:hanging="492"/>
        <w:spacing w:after="0" w:line="286" w:lineRule="auto"/>
        <w:tabs>
          <w:tab w:leader="none" w:pos="4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500" w:right="20" w:hanging="492"/>
        <w:spacing w:after="0" w:line="266" w:lineRule="auto"/>
        <w:tabs>
          <w:tab w:leader="none" w:pos="4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980" w:right="80" w:hanging="486"/>
        <w:spacing w:after="0" w:line="266" w:lineRule="auto"/>
        <w:tabs>
          <w:tab w:leader="none" w:pos="9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980" w:right="480" w:hanging="486"/>
        <w:spacing w:after="0" w:line="275" w:lineRule="auto"/>
        <w:tabs>
          <w:tab w:leader="none" w:pos="9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980" w:right="500" w:hanging="486"/>
        <w:spacing w:after="0" w:line="286" w:lineRule="auto"/>
        <w:tabs>
          <w:tab w:leader="none" w:pos="953"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980" w:right="200" w:hanging="486"/>
        <w:spacing w:after="0" w:line="275" w:lineRule="auto"/>
        <w:tabs>
          <w:tab w:leader="none" w:pos="9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00" w:right="640" w:hanging="492"/>
        <w:spacing w:after="0" w:line="286" w:lineRule="auto"/>
        <w:tabs>
          <w:tab w:leader="none" w:pos="19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980" w:right="140" w:hanging="486"/>
        <w:spacing w:after="0" w:line="286" w:lineRule="auto"/>
        <w:tabs>
          <w:tab w:leader="none" w:pos="9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302" w:lineRule="exact"/>
        <w:rPr>
          <w:sz w:val="20"/>
          <w:szCs w:val="20"/>
          <w:color w:val="auto"/>
        </w:rPr>
      </w:pPr>
    </w:p>
    <w:p>
      <w:pPr>
        <w:ind w:left="360"/>
        <w:spacing w:after="0"/>
        <w:tabs>
          <w:tab w:leader="none" w:pos="5320" w:val="left"/>
          <w:tab w:leader="none" w:pos="7640" w:val="left"/>
        </w:tabs>
        <w:rPr>
          <w:sz w:val="20"/>
          <w:szCs w:val="20"/>
          <w:color w:val="auto"/>
        </w:rPr>
      </w:pPr>
      <w:r>
        <w:rPr>
          <w:rFonts w:ascii="Arial" w:cs="Arial" w:eastAsia="Arial" w:hAnsi="Arial"/>
          <w:sz w:val="16"/>
          <w:szCs w:val="16"/>
          <w:color w:val="auto"/>
        </w:rPr>
        <w:t>Date: May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1629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3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3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(the “Company”), and Noel Watson, Chief Financial Officer of the Company, each hereby certifies that, to the best of his knowledge:</w:t>
      </w:r>
    </w:p>
    <w:p>
      <w:pPr>
        <w:spacing w:after="0" w:line="164" w:lineRule="exact"/>
        <w:rPr>
          <w:sz w:val="20"/>
          <w:szCs w:val="20"/>
          <w:color w:val="auto"/>
        </w:rPr>
      </w:pPr>
    </w:p>
    <w:p>
      <w:pPr>
        <w:ind w:left="500" w:right="480" w:hanging="492"/>
        <w:spacing w:after="0" w:line="286" w:lineRule="auto"/>
        <w:tabs>
          <w:tab w:leader="none" w:pos="52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6"/>
          <w:szCs w:val="16"/>
          <w:color w:val="auto"/>
        </w:rPr>
      </w:pPr>
    </w:p>
    <w:p>
      <w:pPr>
        <w:ind w:left="500" w:right="620" w:hanging="492"/>
        <w:spacing w:after="0" w:line="286" w:lineRule="auto"/>
        <w:tabs>
          <w:tab w:leader="none" w:pos="4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set their hands hereto as of the 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May 2024.</w:t>
      </w:r>
    </w:p>
    <w:p>
      <w:pPr>
        <w:spacing w:after="0" w:line="21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89" w:lineRule="exact"/>
        <w:rPr>
          <w:sz w:val="20"/>
          <w:szCs w:val="20"/>
          <w:color w:val="auto"/>
        </w:rPr>
      </w:pPr>
    </w:p>
    <w:p>
      <w:pPr>
        <w:ind w:left="20"/>
        <w:spacing w:after="0"/>
        <w:tabs>
          <w:tab w:leader="none" w:pos="5380" w:val="left"/>
          <w:tab w:leader="none" w:pos="7880" w:val="left"/>
        </w:tabs>
        <w:rPr>
          <w:sz w:val="20"/>
          <w:szCs w:val="20"/>
          <w:color w:val="auto"/>
        </w:rPr>
      </w:pPr>
      <w:r>
        <w:rPr>
          <w:rFonts w:ascii="Arial" w:cs="Arial" w:eastAsia="Arial" w:hAnsi="Arial"/>
          <w:sz w:val="16"/>
          <w:szCs w:val="16"/>
          <w:color w:val="auto"/>
        </w:rPr>
        <w:t>Date: May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Dan Wernikoff</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Executive Officer)</w:t>
      </w:r>
    </w:p>
    <w:p>
      <w:pPr>
        <w:spacing w:after="0" w:line="295" w:lineRule="exact"/>
        <w:rPr>
          <w:sz w:val="20"/>
          <w:szCs w:val="20"/>
          <w:color w:val="auto"/>
        </w:rPr>
      </w:pPr>
    </w:p>
    <w:p>
      <w:pPr>
        <w:ind w:left="20"/>
        <w:spacing w:after="0"/>
        <w:tabs>
          <w:tab w:leader="none" w:pos="5380" w:val="left"/>
          <w:tab w:leader="none" w:pos="7940" w:val="left"/>
        </w:tabs>
        <w:rPr>
          <w:sz w:val="20"/>
          <w:szCs w:val="20"/>
          <w:color w:val="auto"/>
        </w:rPr>
      </w:pPr>
      <w:r>
        <w:rPr>
          <w:rFonts w:ascii="Arial" w:cs="Arial" w:eastAsia="Arial" w:hAnsi="Arial"/>
          <w:sz w:val="16"/>
          <w:szCs w:val="16"/>
          <w:color w:val="auto"/>
        </w:rPr>
        <w:t>Date: May 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20955</wp:posOffset>
            </wp:positionV>
            <wp:extent cx="3411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Noel Watson</w:t>
      </w:r>
    </w:p>
    <w:p>
      <w:pPr>
        <w:spacing w:after="0" w:line="3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8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2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lowerRoman"/>
      <w:start w:val="2"/>
    </w:lvl>
  </w:abstractNum>
  <w:abstractNum w:abstractNumId="10">
    <w:nsid w:val="333AB105"/>
    <w:multiLevelType w:val="hybridMultilevel"/>
    <w:lvl w:ilvl="0">
      <w:lvlJc w:val="left"/>
      <w:lvlText w:val="(%1)"/>
      <w:numFmt w:val="lowerRoman"/>
      <w:start w:val="3"/>
    </w:lvl>
  </w:abstractNum>
  <w:abstractNum w:abstractNumId="11">
    <w:nsid w:val="721DA317"/>
    <w:multiLevelType w:val="hybridMultilevel"/>
    <w:lvl w:ilvl="0">
      <w:lvlJc w:val="left"/>
      <w:lvlText w:val="(%1)"/>
      <w:numFmt w:val="decimal"/>
      <w:start w:val="36"/>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0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0" Type="http://schemas.openxmlformats.org/officeDocument/2006/relationships/hyperlink" Target="https://www.sec.gov/Archives/edgar/data/0001286139/000119312521207613/d65054dex31.htm" TargetMode="External"/><Relationship Id="rId81" Type="http://schemas.openxmlformats.org/officeDocument/2006/relationships/hyperlink" Target="https://www.sec.gov/Archives/edgar/data/1286139/000119312521194089/d146270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2024-05-07T15:33:49Z</dcterms:created>
  <dcterms:modified xsi:type="dcterms:W3CDTF">2024-05-07T15:33:49Z</dcterms:modified>
</cp:coreProperties>
</file>