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395605</wp:posOffset>
            </wp:positionV>
            <wp:extent cx="6767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78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419735</wp:posOffset>
            </wp:positionV>
            <wp:extent cx="6767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7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48895</wp:posOffset>
            </wp:positionV>
            <wp:extent cx="1767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123825</wp:posOffset>
            </wp:positionV>
            <wp:extent cx="1767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41" w:lineRule="exact"/>
        <w:rPr>
          <w:sz w:val="24"/>
          <w:szCs w:val="24"/>
          <w:color w:val="auto"/>
        </w:rPr>
      </w:pPr>
    </w:p>
    <w:p>
      <w:pPr>
        <w:ind w:left="3800" w:right="3060" w:hanging="3783"/>
        <w:spacing w:after="0" w:line="392" w:lineRule="auto"/>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03" w:lineRule="exact"/>
        <w:rPr>
          <w:sz w:val="24"/>
          <w:szCs w:val="24"/>
          <w:color w:val="auto"/>
        </w:rPr>
      </w:pPr>
    </w:p>
    <w:p>
      <w:pPr>
        <w:ind w:left="3600" w:right="3080" w:hanging="3583"/>
        <w:spacing w:after="0" w:line="392" w:lineRule="auto"/>
        <w:tabs>
          <w:tab w:leader="none" w:pos="4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__________</w:t>
      </w:r>
    </w:p>
    <w:p>
      <w:pPr>
        <w:ind w:left="432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Commission File Number: 001-35618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123825</wp:posOffset>
            </wp:positionV>
            <wp:extent cx="1767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112395</wp:posOffset>
            </wp:positionV>
            <wp:extent cx="1767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79" w:lineRule="exact"/>
        <w:rPr>
          <w:sz w:val="24"/>
          <w:szCs w:val="24"/>
          <w:color w:val="auto"/>
        </w:rPr>
      </w:pPr>
    </w:p>
    <w:tbl>
      <w:tblPr>
        <w:tblLayout w:type="fixed"/>
        <w:tblInd w:w="1380" w:type="dxa"/>
        <w:tblCellMar>
          <w:top w:w="0" w:type="dxa"/>
          <w:left w:w="0" w:type="dxa"/>
          <w:bottom w:w="0" w:type="dxa"/>
          <w:right w:w="0" w:type="dxa"/>
        </w:tblCellMar>
      </w:tblPr>
      <w:tr>
        <w:trPr>
          <w:trHeight w:val="198"/>
        </w:trPr>
        <w:tc>
          <w:tcPr>
            <w:tcW w:w="4660" w:type="dxa"/>
            <w:vAlign w:val="bottom"/>
          </w:tcPr>
          <w:p>
            <w:pPr>
              <w:jc w:val="center"/>
              <w:ind w:right="1765"/>
              <w:spacing w:after="0"/>
              <w:rPr>
                <w:sz w:val="20"/>
                <w:szCs w:val="20"/>
                <w:color w:val="auto"/>
              </w:rPr>
            </w:pPr>
            <w:r>
              <w:rPr>
                <w:rFonts w:ascii="Arial" w:cs="Arial" w:eastAsia="Arial" w:hAnsi="Arial"/>
                <w:sz w:val="15"/>
                <w:szCs w:val="15"/>
                <w:b w:val="1"/>
                <w:bCs w:val="1"/>
                <w:color w:val="auto"/>
              </w:rPr>
              <w:t>Delaware</w:t>
            </w:r>
          </w:p>
        </w:tc>
        <w:tc>
          <w:tcPr>
            <w:tcW w:w="3040" w:type="dxa"/>
            <w:vAlign w:val="bottom"/>
          </w:tcPr>
          <w:p>
            <w:pPr>
              <w:jc w:val="right"/>
              <w:ind w:right="145"/>
              <w:spacing w:after="0"/>
              <w:rPr>
                <w:sz w:val="20"/>
                <w:szCs w:val="20"/>
                <w:color w:val="auto"/>
              </w:rPr>
            </w:pPr>
            <w:r>
              <w:rPr>
                <w:rFonts w:ascii="Arial" w:cs="Arial" w:eastAsia="Arial" w:hAnsi="Arial"/>
                <w:sz w:val="15"/>
                <w:szCs w:val="15"/>
                <w:b w:val="1"/>
                <w:bCs w:val="1"/>
                <w:color w:val="auto"/>
              </w:rPr>
              <w:t>95-4752856</w:t>
            </w:r>
          </w:p>
        </w:tc>
      </w:tr>
      <w:tr>
        <w:trPr>
          <w:trHeight w:val="178"/>
        </w:trPr>
        <w:tc>
          <w:tcPr>
            <w:tcW w:w="4660" w:type="dxa"/>
            <w:vAlign w:val="bottom"/>
          </w:tcPr>
          <w:p>
            <w:pPr>
              <w:jc w:val="center"/>
              <w:ind w:right="1765"/>
              <w:spacing w:after="0"/>
              <w:rPr>
                <w:sz w:val="20"/>
                <w:szCs w:val="20"/>
                <w:color w:val="auto"/>
              </w:rPr>
            </w:pPr>
            <w:r>
              <w:rPr>
                <w:rFonts w:ascii="Arial" w:cs="Arial" w:eastAsia="Arial" w:hAnsi="Arial"/>
                <w:sz w:val="15"/>
                <w:szCs w:val="15"/>
                <w:b w:val="1"/>
                <w:bCs w:val="1"/>
                <w:color w:val="auto"/>
              </w:rPr>
              <w:t>(State or other jurisdiction of</w:t>
            </w:r>
          </w:p>
        </w:tc>
        <w:tc>
          <w:tcPr>
            <w:tcW w:w="3040" w:type="dxa"/>
            <w:vAlign w:val="bottom"/>
          </w:tcPr>
          <w:p>
            <w:pPr>
              <w:jc w:val="center"/>
              <w:ind w:left="1745"/>
              <w:spacing w:after="0"/>
              <w:rPr>
                <w:sz w:val="20"/>
                <w:szCs w:val="20"/>
                <w:color w:val="auto"/>
              </w:rPr>
            </w:pPr>
            <w:r>
              <w:rPr>
                <w:rFonts w:ascii="Arial" w:cs="Arial" w:eastAsia="Arial" w:hAnsi="Arial"/>
                <w:sz w:val="15"/>
                <w:szCs w:val="15"/>
                <w:color w:val="auto"/>
                <w:w w:val="99"/>
              </w:rPr>
              <w:t>(I.R.S. Employer</w:t>
            </w:r>
          </w:p>
        </w:tc>
      </w:tr>
      <w:tr>
        <w:trPr>
          <w:trHeight w:val="198"/>
        </w:trPr>
        <w:tc>
          <w:tcPr>
            <w:tcW w:w="4660" w:type="dxa"/>
            <w:vAlign w:val="bottom"/>
          </w:tcPr>
          <w:p>
            <w:pPr>
              <w:jc w:val="center"/>
              <w:ind w:right="1785"/>
              <w:spacing w:after="0"/>
              <w:rPr>
                <w:sz w:val="20"/>
                <w:szCs w:val="20"/>
                <w:color w:val="auto"/>
              </w:rPr>
            </w:pPr>
            <w:r>
              <w:rPr>
                <w:rFonts w:ascii="Arial" w:cs="Arial" w:eastAsia="Arial" w:hAnsi="Arial"/>
                <w:sz w:val="15"/>
                <w:szCs w:val="15"/>
                <w:b w:val="1"/>
                <w:bCs w:val="1"/>
                <w:color w:val="auto"/>
              </w:rPr>
              <w:t>incorporation or organization)</w:t>
            </w:r>
          </w:p>
        </w:tc>
        <w:tc>
          <w:tcPr>
            <w:tcW w:w="3040" w:type="dxa"/>
            <w:vAlign w:val="bottom"/>
          </w:tcPr>
          <w:p>
            <w:pPr>
              <w:jc w:val="center"/>
              <w:ind w:left="1785"/>
              <w:spacing w:after="0"/>
              <w:rPr>
                <w:sz w:val="20"/>
                <w:szCs w:val="20"/>
                <w:color w:val="auto"/>
              </w:rPr>
            </w:pPr>
            <w:r>
              <w:rPr>
                <w:rFonts w:ascii="Arial" w:cs="Arial" w:eastAsia="Arial" w:hAnsi="Arial"/>
                <w:sz w:val="15"/>
                <w:szCs w:val="15"/>
                <w:color w:val="auto"/>
              </w:rPr>
              <w:t>Identification No.)</w:t>
            </w:r>
          </w:p>
        </w:tc>
      </w:tr>
      <w:tr>
        <w:trPr>
          <w:trHeight w:val="395"/>
        </w:trPr>
        <w:tc>
          <w:tcPr>
            <w:tcW w:w="4660" w:type="dxa"/>
            <w:vAlign w:val="bottom"/>
          </w:tcPr>
          <w:p>
            <w:pPr>
              <w:jc w:val="center"/>
              <w:ind w:right="1785"/>
              <w:spacing w:after="0"/>
              <w:rPr>
                <w:sz w:val="20"/>
                <w:szCs w:val="20"/>
                <w:color w:val="auto"/>
              </w:rPr>
            </w:pPr>
            <w:r>
              <w:rPr>
                <w:rFonts w:ascii="Arial" w:cs="Arial" w:eastAsia="Arial" w:hAnsi="Arial"/>
                <w:sz w:val="15"/>
                <w:szCs w:val="15"/>
                <w:b w:val="1"/>
                <w:bCs w:val="1"/>
                <w:color w:val="auto"/>
              </w:rPr>
              <w:t>101 North Brand Boulevard,</w:t>
            </w:r>
          </w:p>
        </w:tc>
        <w:tc>
          <w:tcPr>
            <w:tcW w:w="3040" w:type="dxa"/>
            <w:vAlign w:val="bottom"/>
          </w:tcPr>
          <w:p>
            <w:pPr>
              <w:spacing w:after="0"/>
              <w:rPr>
                <w:sz w:val="24"/>
                <w:szCs w:val="24"/>
                <w:color w:val="auto"/>
              </w:rPr>
            </w:pPr>
          </w:p>
        </w:tc>
      </w:tr>
      <w:tr>
        <w:trPr>
          <w:trHeight w:val="235"/>
        </w:trPr>
        <w:tc>
          <w:tcPr>
            <w:tcW w:w="4660" w:type="dxa"/>
            <w:vAlign w:val="bottom"/>
          </w:tcPr>
          <w:p>
            <w:pPr>
              <w:jc w:val="center"/>
              <w:ind w:right="1765"/>
              <w:spacing w:after="0"/>
              <w:rPr>
                <w:sz w:val="20"/>
                <w:szCs w:val="20"/>
                <w:color w:val="auto"/>
              </w:rPr>
            </w:pPr>
            <w:r>
              <w:rPr>
                <w:rFonts w:ascii="Arial" w:cs="Arial" w:eastAsia="Arial" w:hAnsi="Arial"/>
                <w:sz w:val="15"/>
                <w:szCs w:val="15"/>
                <w:b w:val="1"/>
                <w:bCs w:val="1"/>
                <w:color w:val="auto"/>
                <w:w w:val="99"/>
              </w:rPr>
              <w:t>11</w:t>
            </w:r>
            <w:r>
              <w:rPr>
                <w:rFonts w:ascii="Arial" w:cs="Arial" w:eastAsia="Arial" w:hAnsi="Arial"/>
                <w:sz w:val="19"/>
                <w:szCs w:val="19"/>
                <w:b w:val="1"/>
                <w:bCs w:val="1"/>
                <w:color w:val="auto"/>
                <w:w w:val="99"/>
                <w:vertAlign w:val="superscript"/>
              </w:rPr>
              <w:t>th</w:t>
            </w:r>
            <w:r>
              <w:rPr>
                <w:rFonts w:ascii="Arial" w:cs="Arial" w:eastAsia="Arial" w:hAnsi="Arial"/>
                <w:sz w:val="15"/>
                <w:szCs w:val="15"/>
                <w:b w:val="1"/>
                <w:bCs w:val="1"/>
                <w:color w:val="auto"/>
                <w:w w:val="99"/>
              </w:rPr>
              <w:t xml:space="preserve"> Floor Glendale, California</w:t>
            </w:r>
          </w:p>
        </w:tc>
        <w:tc>
          <w:tcPr>
            <w:tcW w:w="3040" w:type="dxa"/>
            <w:vAlign w:val="bottom"/>
          </w:tcPr>
          <w:p>
            <w:pPr>
              <w:jc w:val="right"/>
              <w:ind w:right="325"/>
              <w:spacing w:after="0"/>
              <w:rPr>
                <w:sz w:val="20"/>
                <w:szCs w:val="20"/>
                <w:color w:val="auto"/>
              </w:rPr>
            </w:pPr>
            <w:r>
              <w:rPr>
                <w:rFonts w:ascii="Arial" w:cs="Arial" w:eastAsia="Arial" w:hAnsi="Arial"/>
                <w:sz w:val="15"/>
                <w:szCs w:val="15"/>
                <w:b w:val="1"/>
                <w:bCs w:val="1"/>
                <w:color w:val="auto"/>
              </w:rPr>
              <w:t>91203</w:t>
            </w:r>
          </w:p>
        </w:tc>
      </w:tr>
      <w:tr>
        <w:trPr>
          <w:trHeight w:val="198"/>
        </w:trPr>
        <w:tc>
          <w:tcPr>
            <w:tcW w:w="4660" w:type="dxa"/>
            <w:vAlign w:val="bottom"/>
          </w:tcPr>
          <w:p>
            <w:pPr>
              <w:jc w:val="center"/>
              <w:ind w:right="1785"/>
              <w:spacing w:after="0"/>
              <w:rPr>
                <w:sz w:val="20"/>
                <w:szCs w:val="20"/>
                <w:color w:val="auto"/>
              </w:rPr>
            </w:pPr>
            <w:r>
              <w:rPr>
                <w:rFonts w:ascii="Arial" w:cs="Arial" w:eastAsia="Arial" w:hAnsi="Arial"/>
                <w:sz w:val="15"/>
                <w:szCs w:val="15"/>
                <w:b w:val="1"/>
                <w:bCs w:val="1"/>
                <w:color w:val="auto"/>
                <w:w w:val="99"/>
              </w:rPr>
              <w:t>(Address of principal executive offices)</w:t>
            </w:r>
          </w:p>
        </w:tc>
        <w:tc>
          <w:tcPr>
            <w:tcW w:w="3040" w:type="dxa"/>
            <w:vAlign w:val="bottom"/>
          </w:tcPr>
          <w:p>
            <w:pPr>
              <w:jc w:val="center"/>
              <w:ind w:left="1745"/>
              <w:spacing w:after="0"/>
              <w:rPr>
                <w:sz w:val="20"/>
                <w:szCs w:val="20"/>
                <w:color w:val="auto"/>
              </w:rPr>
            </w:pPr>
            <w:r>
              <w:rPr>
                <w:rFonts w:ascii="Arial" w:cs="Arial" w:eastAsia="Arial" w:hAnsi="Arial"/>
                <w:sz w:val="15"/>
                <w:szCs w:val="15"/>
                <w:b w:val="1"/>
                <w:bCs w:val="1"/>
                <w:color w:val="auto"/>
                <w:w w:val="99"/>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(323) 962-8600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123825</wp:posOffset>
            </wp:positionV>
            <wp:extent cx="176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Trading</w:t>
            </w:r>
          </w:p>
        </w:tc>
        <w:tc>
          <w:tcPr>
            <w:tcW w:w="3760" w:type="dxa"/>
            <w:vAlign w:val="bottom"/>
          </w:tcPr>
          <w:p>
            <w:pPr>
              <w:jc w:val="center"/>
              <w:spacing w:after="0"/>
              <w:rPr>
                <w:sz w:val="20"/>
                <w:szCs w:val="20"/>
                <w:color w:val="auto"/>
              </w:rPr>
            </w:pPr>
            <w:r>
              <w:rPr>
                <w:rFonts w:ascii="Arial" w:cs="Arial" w:eastAsia="Arial" w:hAnsi="Arial"/>
                <w:sz w:val="15"/>
                <w:szCs w:val="15"/>
                <w:b w:val="1"/>
                <w:bCs w:val="1"/>
                <w:color w:val="auto"/>
              </w:rPr>
              <w:t>Name of each exchange</w:t>
            </w:r>
          </w:p>
        </w:tc>
      </w:tr>
      <w:tr>
        <w:trPr>
          <w:trHeight w:val="222"/>
        </w:trPr>
        <w:tc>
          <w:tcPr>
            <w:tcW w:w="38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Title of each class</w:t>
            </w:r>
          </w:p>
        </w:tc>
        <w:tc>
          <w:tcPr>
            <w:tcW w:w="36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Symbol(s)</w:t>
            </w:r>
          </w:p>
        </w:tc>
        <w:tc>
          <w:tcPr>
            <w:tcW w:w="3760" w:type="dxa"/>
            <w:vAlign w:val="bottom"/>
          </w:tcPr>
          <w:p>
            <w:pPr>
              <w:jc w:val="center"/>
              <w:spacing w:after="0"/>
              <w:rPr>
                <w:sz w:val="20"/>
                <w:szCs w:val="20"/>
                <w:color w:val="auto"/>
              </w:rPr>
            </w:pPr>
            <w:r>
              <w:rPr>
                <w:rFonts w:ascii="Arial" w:cs="Arial" w:eastAsia="Arial" w:hAnsi="Arial"/>
                <w:sz w:val="15"/>
                <w:szCs w:val="15"/>
                <w:b w:val="1"/>
                <w:bCs w:val="1"/>
                <w:color w:val="auto"/>
              </w:rPr>
              <w:t>on which registered</w:t>
            </w:r>
          </w:p>
        </w:tc>
      </w:tr>
      <w:tr>
        <w:trPr>
          <w:trHeight w:val="19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Common Stock, par value $0.001 per share</w:t>
            </w:r>
          </w:p>
        </w:tc>
        <w:tc>
          <w:tcPr>
            <w:tcW w:w="100" w:type="dxa"/>
            <w:vAlign w:val="bottom"/>
          </w:tcPr>
          <w:p>
            <w:pPr>
              <w:spacing w:after="0"/>
              <w:rPr>
                <w:sz w:val="17"/>
                <w:szCs w:val="17"/>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LZ</w:t>
            </w:r>
          </w:p>
        </w:tc>
        <w:tc>
          <w:tcPr>
            <w:tcW w:w="100" w:type="dxa"/>
            <w:vAlign w:val="bottom"/>
          </w:tcPr>
          <w:p>
            <w:pPr>
              <w:spacing w:after="0"/>
              <w:rPr>
                <w:sz w:val="17"/>
                <w:szCs w:val="17"/>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The Nasdaq Global Select Market</w:t>
            </w:r>
          </w:p>
        </w:tc>
      </w:tr>
    </w:tbl>
    <w:p>
      <w:pPr>
        <w:spacing w:after="0" w:line="155" w:lineRule="exact"/>
        <w:rPr>
          <w:sz w:val="24"/>
          <w:szCs w:val="24"/>
          <w:color w:val="auto"/>
        </w:rPr>
      </w:pPr>
    </w:p>
    <w:p>
      <w:pPr>
        <w:jc w:val="both"/>
        <w:ind w:right="60" w:firstLine="451"/>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0" w:lineRule="exact"/>
        <w:rPr>
          <w:sz w:val="24"/>
          <w:szCs w:val="24"/>
          <w:color w:val="auto"/>
        </w:rPr>
      </w:pPr>
    </w:p>
    <w:p>
      <w:pPr>
        <w:ind w:right="40" w:firstLine="451"/>
        <w:spacing w:after="0" w:line="25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36" w:lineRule="exact"/>
        <w:rPr>
          <w:sz w:val="24"/>
          <w:szCs w:val="24"/>
          <w:color w:val="auto"/>
        </w:rPr>
      </w:pPr>
    </w:p>
    <w:p>
      <w:pPr>
        <w:ind w:right="160" w:firstLine="451"/>
        <w:spacing w:after="0" w:line="24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00" w:type="dxa"/>
            <w:vAlign w:val="bottom"/>
          </w:tcPr>
          <w:p>
            <w:pPr>
              <w:ind w:left="560"/>
              <w:spacing w:after="0"/>
              <w:rPr>
                <w:sz w:val="20"/>
                <w:szCs w:val="20"/>
                <w:color w:val="auto"/>
              </w:rPr>
            </w:pPr>
            <w:r>
              <w:rPr>
                <w:rFonts w:ascii="Arial" w:cs="Arial" w:eastAsia="Arial" w:hAnsi="Arial"/>
                <w:sz w:val="15"/>
                <w:szCs w:val="15"/>
                <w:color w:val="auto"/>
              </w:rPr>
              <w:t>o</w:t>
            </w:r>
          </w:p>
        </w:tc>
        <w:tc>
          <w:tcPr>
            <w:tcW w:w="4520" w:type="dxa"/>
            <w:vAlign w:val="bottom"/>
          </w:tcPr>
          <w:p>
            <w:pPr>
              <w:ind w:left="2160"/>
              <w:spacing w:after="0"/>
              <w:rPr>
                <w:sz w:val="20"/>
                <w:szCs w:val="20"/>
                <w:color w:val="auto"/>
              </w:rPr>
            </w:pPr>
            <w:r>
              <w:rPr>
                <w:rFonts w:ascii="Arial" w:cs="Arial" w:eastAsia="Arial" w:hAnsi="Arial"/>
                <w:sz w:val="15"/>
                <w:szCs w:val="15"/>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426"/>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2800" w:type="dxa"/>
            <w:vAlign w:val="bottom"/>
          </w:tcPr>
          <w:p>
            <w:pPr>
              <w:ind w:left="560"/>
              <w:spacing w:after="0"/>
              <w:rPr>
                <w:sz w:val="20"/>
                <w:szCs w:val="20"/>
                <w:color w:val="auto"/>
              </w:rPr>
            </w:pPr>
            <w:r>
              <w:rPr>
                <w:rFonts w:ascii="Arial" w:cs="Arial" w:eastAsia="Arial" w:hAnsi="Arial"/>
                <w:sz w:val="15"/>
                <w:szCs w:val="15"/>
                <w:color w:val="auto"/>
              </w:rPr>
              <w:t>x</w:t>
            </w:r>
          </w:p>
        </w:tc>
        <w:tc>
          <w:tcPr>
            <w:tcW w:w="4520" w:type="dxa"/>
            <w:vAlign w:val="bottom"/>
          </w:tcPr>
          <w:p>
            <w:pPr>
              <w:ind w:left="2160"/>
              <w:spacing w:after="0"/>
              <w:rPr>
                <w:sz w:val="20"/>
                <w:szCs w:val="20"/>
                <w:color w:val="auto"/>
              </w:rPr>
            </w:pPr>
            <w:r>
              <w:rPr>
                <w:rFonts w:ascii="Arial" w:cs="Arial" w:eastAsia="Arial" w:hAnsi="Arial"/>
                <w:sz w:val="15"/>
                <w:szCs w:val="15"/>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426"/>
        </w:trPr>
        <w:tc>
          <w:tcPr>
            <w:tcW w:w="2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800" w:type="dxa"/>
            <w:vAlign w:val="bottom"/>
          </w:tcPr>
          <w:p>
            <w:pPr>
              <w:ind w:left="560"/>
              <w:spacing w:after="0"/>
              <w:rPr>
                <w:sz w:val="20"/>
                <w:szCs w:val="20"/>
                <w:color w:val="auto"/>
              </w:rPr>
            </w:pPr>
            <w:r>
              <w:rPr>
                <w:rFonts w:ascii="Arial" w:cs="Arial" w:eastAsia="Arial" w:hAnsi="Arial"/>
                <w:sz w:val="15"/>
                <w:szCs w:val="15"/>
                <w:color w:val="auto"/>
              </w:rPr>
              <w:t>x</w:t>
            </w:r>
          </w:p>
        </w:tc>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46" w:lineRule="exact"/>
        <w:rPr>
          <w:sz w:val="24"/>
          <w:szCs w:val="24"/>
          <w:color w:val="auto"/>
        </w:rPr>
      </w:pPr>
    </w:p>
    <w:p>
      <w:pPr>
        <w:ind w:right="480" w:firstLine="451"/>
        <w:spacing w:after="0" w:line="254"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6" w:lineRule="exact"/>
        <w:rPr>
          <w:sz w:val="24"/>
          <w:szCs w:val="24"/>
          <w:color w:val="auto"/>
        </w:rPr>
      </w:pPr>
    </w:p>
    <w:p>
      <w:pPr>
        <w:ind w:left="460" w:right="2500"/>
        <w:spacing w:after="0" w:line="324" w:lineRule="auto"/>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 As of October 31, 2021, the registrant had 197,048,778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638175</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6767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78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45720</wp:posOffset>
            </wp:positionV>
            <wp:extent cx="6767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783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21"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This Quarterly Report on Form 10-Q contains forward-looking statements. We intend such forward-looking statements to be covered by the safe harbor provisions for forward-looking statements contained in Section 27A of the Securities Act of 1933, as amended, or Securities Act, and Section 21E of the Securities Exchange Act of 1934, as amended, or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92"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“Risk Factors” included in our final prospectus filed pursuant to Securities Act Rule 424(b)(4) on June 30, 2021, our Prospectus, and other discussed in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6"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20" w:type="dxa"/>
            <w:vAlign w:val="bottom"/>
            <w:gridSpan w:val="11"/>
          </w:tcPr>
          <w:p>
            <w:pPr>
              <w:ind w:left="1200"/>
              <w:spacing w:after="0"/>
              <w:rPr>
                <w:sz w:val="20"/>
                <w:szCs w:val="20"/>
                <w:color w:val="auto"/>
              </w:rPr>
            </w:pPr>
            <w:r>
              <w:rPr>
                <w:rFonts w:ascii="Arial" w:cs="Arial" w:eastAsia="Arial" w:hAnsi="Arial"/>
                <w:sz w:val="15"/>
                <w:szCs w:val="15"/>
                <w:b w:val="1"/>
                <w:bCs w:val="1"/>
                <w:color w:val="auto"/>
              </w:rPr>
              <w:t>TABLE OF CONTENTS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63"/>
        </w:trPr>
        <w:tc>
          <w:tcPr>
            <w:tcW w:w="2600" w:type="dxa"/>
            <w:vAlign w:val="bottom"/>
            <w:tcBorders>
              <w:bottom w:val="single" w:sz="8" w:color="0000FF"/>
            </w:tcBorders>
            <w:gridSpan w:val="8"/>
          </w:tcPr>
          <w:p>
            <w:pPr>
              <w:spacing w:after="0" w:line="163" w:lineRule="exact"/>
              <w:rPr>
                <w:rFonts w:ascii="Arial" w:cs="Arial" w:eastAsia="Arial" w:hAnsi="Arial"/>
                <w:sz w:val="15"/>
                <w:szCs w:val="15"/>
                <w:b w:val="1"/>
                <w:bCs w:val="1"/>
                <w:color w:val="0000FF"/>
                <w:w w:val="98"/>
              </w:rPr>
            </w:pPr>
            <w:hyperlink w:anchor="page3">
              <w:r>
                <w:rPr>
                  <w:rFonts w:ascii="Arial" w:cs="Arial" w:eastAsia="Arial" w:hAnsi="Arial"/>
                  <w:sz w:val="15"/>
                  <w:szCs w:val="15"/>
                  <w:b w:val="1"/>
                  <w:bCs w:val="1"/>
                  <w:color w:val="0000FF"/>
                  <w:w w:val="98"/>
                </w:rPr>
                <w:t>PART I. – FINANCIAL INFORMATION</w:t>
              </w:r>
            </w:hyperlink>
          </w:p>
        </w:tc>
        <w:tc>
          <w:tcPr>
            <w:tcW w:w="7820" w:type="dxa"/>
            <w:vAlign w:val="bottom"/>
            <w:gridSpan w:val="13"/>
          </w:tcPr>
          <w:p>
            <w:pPr>
              <w:spacing w:after="0"/>
              <w:rPr>
                <w:sz w:val="14"/>
                <w:szCs w:val="14"/>
                <w:color w:val="auto"/>
              </w:rPr>
            </w:pPr>
          </w:p>
        </w:tc>
        <w:tc>
          <w:tcPr>
            <w:tcW w:w="70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line="163" w:lineRule="exact"/>
              <w:rPr>
                <w:rFonts w:ascii="Arial" w:cs="Arial" w:eastAsia="Arial" w:hAnsi="Arial"/>
                <w:sz w:val="15"/>
                <w:szCs w:val="15"/>
                <w:color w:val="0000FF"/>
                <w:w w:val="95"/>
              </w:rPr>
            </w:pPr>
            <w:hyperlink w:anchor="page3">
              <w:r>
                <w:rPr>
                  <w:rFonts w:ascii="Arial" w:cs="Arial" w:eastAsia="Arial" w:hAnsi="Arial"/>
                  <w:sz w:val="15"/>
                  <w:szCs w:val="15"/>
                  <w:color w:val="0000FF"/>
                  <w:w w:val="95"/>
                </w:rPr>
                <w:t>4</w:t>
              </w:r>
            </w:hyperlink>
          </w:p>
        </w:tc>
        <w:tc>
          <w:tcPr>
            <w:tcW w:w="0" w:type="dxa"/>
            <w:vAlign w:val="bottom"/>
          </w:tcPr>
          <w:p>
            <w:pPr>
              <w:spacing w:after="0"/>
              <w:rPr>
                <w:sz w:val="1"/>
                <w:szCs w:val="1"/>
                <w:color w:val="auto"/>
              </w:rPr>
            </w:pPr>
          </w:p>
        </w:tc>
      </w:tr>
      <w:tr>
        <w:trPr>
          <w:trHeight w:val="306"/>
        </w:trPr>
        <w:tc>
          <w:tcPr>
            <w:tcW w:w="1080" w:type="dxa"/>
            <w:vAlign w:val="bottom"/>
            <w:gridSpan w:val="2"/>
          </w:tcPr>
          <w:p>
            <w:pPr>
              <w:spacing w:after="0"/>
              <w:rPr>
                <w:rFonts w:ascii="Arial" w:cs="Arial" w:eastAsia="Arial" w:hAnsi="Arial"/>
                <w:sz w:val="15"/>
                <w:szCs w:val="15"/>
                <w:color w:val="auto"/>
              </w:rPr>
            </w:pPr>
            <w:hyperlink w:anchor="page4">
              <w:r>
                <w:rPr>
                  <w:rFonts w:ascii="Arial" w:cs="Arial" w:eastAsia="Arial" w:hAnsi="Arial"/>
                  <w:sz w:val="15"/>
                  <w:szCs w:val="15"/>
                  <w:color w:val="auto"/>
                </w:rPr>
                <w:t>Item 1.</w:t>
              </w:r>
            </w:hyperlink>
          </w:p>
        </w:tc>
        <w:tc>
          <w:tcPr>
            <w:tcW w:w="3980" w:type="dxa"/>
            <w:vAlign w:val="bottom"/>
            <w:tcBorders>
              <w:bottom w:val="single" w:sz="8" w:color="0000FF"/>
            </w:tcBorders>
            <w:gridSpan w:val="11"/>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Condensed Consolidated Financial Statements (Unaudited)</w:t>
              </w:r>
            </w:hyperlink>
          </w:p>
        </w:tc>
        <w:tc>
          <w:tcPr>
            <w:tcW w:w="5360" w:type="dxa"/>
            <w:vAlign w:val="bottom"/>
            <w:gridSpan w:val="8"/>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4">
              <w:r>
                <w:rPr>
                  <w:rFonts w:ascii="Arial" w:cs="Arial" w:eastAsia="Arial" w:hAnsi="Arial"/>
                  <w:sz w:val="15"/>
                  <w:szCs w:val="15"/>
                  <w:color w:val="0000FF"/>
                  <w:w w:val="95"/>
                </w:rPr>
                <w:t>4</w:t>
              </w:r>
            </w:hyperlink>
          </w:p>
        </w:tc>
        <w:tc>
          <w:tcPr>
            <w:tcW w:w="0" w:type="dxa"/>
            <w:vAlign w:val="bottom"/>
          </w:tcPr>
          <w:p>
            <w:pPr>
              <w:spacing w:after="0"/>
              <w:rPr>
                <w:sz w:val="1"/>
                <w:szCs w:val="1"/>
                <w:color w:val="auto"/>
              </w:rPr>
            </w:pPr>
          </w:p>
        </w:tc>
      </w:tr>
      <w:tr>
        <w:trPr>
          <w:trHeight w:val="29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Condensed Consolidated Balance Sheets as of September 30, 2021 and December 31, 2020</w:t>
              </w:r>
            </w:hyperlink>
          </w:p>
        </w:tc>
        <w:tc>
          <w:tcPr>
            <w:tcW w:w="800" w:type="dxa"/>
            <w:vAlign w:val="bottom"/>
            <w:gridSpan w:val="3"/>
          </w:tcPr>
          <w:p>
            <w:pPr>
              <w:jc w:val="right"/>
              <w:spacing w:after="0"/>
              <w:rPr>
                <w:rFonts w:ascii="Arial" w:cs="Arial" w:eastAsia="Arial" w:hAnsi="Arial"/>
                <w:sz w:val="15"/>
                <w:szCs w:val="15"/>
                <w:color w:val="0000FF"/>
              </w:rPr>
            </w:pPr>
            <w:hyperlink w:anchor="page4">
              <w:r>
                <w:rPr>
                  <w:rFonts w:ascii="Arial" w:cs="Arial" w:eastAsia="Arial" w:hAnsi="Arial"/>
                  <w:sz w:val="15"/>
                  <w:szCs w:val="15"/>
                  <w:color w:val="0000FF"/>
                </w:rPr>
                <w:t>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Borders>
              <w:bottom w:val="single" w:sz="8" w:color="0000FF"/>
            </w:tcBorders>
            <w:gridSpan w:val="16"/>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Condensed Consolidated Statements of Operations for the Three and Nine Months Ended September 30, 2021 and 2020</w:t>
              </w:r>
            </w:hyperlink>
          </w:p>
        </w:tc>
        <w:tc>
          <w:tcPr>
            <w:tcW w:w="1260" w:type="dxa"/>
            <w:vAlign w:val="bottom"/>
            <w:gridSpan w:val="3"/>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4">
              <w:r>
                <w:rPr>
                  <w:rFonts w:ascii="Arial" w:cs="Arial" w:eastAsia="Arial" w:hAnsi="Arial"/>
                  <w:sz w:val="15"/>
                  <w:szCs w:val="15"/>
                  <w:color w:val="0000FF"/>
                  <w:w w:val="95"/>
                </w:rPr>
                <w:t>5</w:t>
              </w:r>
            </w:hyperlink>
          </w:p>
        </w:tc>
        <w:tc>
          <w:tcPr>
            <w:tcW w:w="0" w:type="dxa"/>
            <w:vAlign w:val="bottom"/>
          </w:tcPr>
          <w:p>
            <w:pPr>
              <w:spacing w:after="0"/>
              <w:rPr>
                <w:sz w:val="1"/>
                <w:szCs w:val="1"/>
                <w:color w:val="auto"/>
              </w:rPr>
            </w:pPr>
          </w:p>
        </w:tc>
      </w:tr>
      <w:tr>
        <w:trPr>
          <w:trHeight w:val="29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Comprehensive (Loss) Income for the Three and Nine Months Ended September 30, 2021 and</w:t>
              </w:r>
            </w:hyperlink>
          </w:p>
        </w:tc>
        <w:tc>
          <w:tcPr>
            <w:tcW w:w="700" w:type="dxa"/>
            <w:vAlign w:val="bottom"/>
            <w:gridSpan w:val="2"/>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6</w:t>
              </w:r>
            </w:hyperlink>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3"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2020</w:t>
              </w:r>
            </w:hyperlink>
          </w:p>
        </w:tc>
        <w:tc>
          <w:tcPr>
            <w:tcW w:w="2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5"/>
                <w:szCs w:val="15"/>
                <w:color w:val="0000FF"/>
              </w:rPr>
            </w:pPr>
            <w:hyperlink w:anchor="page6">
              <w:r>
                <w:rPr>
                  <w:rFonts w:ascii="Arial" w:cs="Arial" w:eastAsia="Arial" w:hAnsi="Arial"/>
                  <w:sz w:val="15"/>
                  <w:szCs w:val="15"/>
                  <w:color w:val="0000FF"/>
                </w:rPr>
                <w:t>Condensed Consolidated Statements of Redeemable Convertible Preferred Stock and Stockholders’ Equity (Deficit) for the Nine Months</w:t>
              </w:r>
            </w:hyperlink>
          </w:p>
        </w:tc>
        <w:tc>
          <w:tcPr>
            <w:tcW w:w="700" w:type="dxa"/>
            <w:vAlign w:val="bottom"/>
            <w:gridSpan w:val="2"/>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5"/>
                <w:szCs w:val="15"/>
                <w:color w:val="0000FF"/>
                <w:w w:val="95"/>
              </w:rPr>
            </w:pPr>
            <w:hyperlink w:anchor="page6">
              <w:r>
                <w:rPr>
                  <w:rFonts w:ascii="Arial" w:cs="Arial" w:eastAsia="Arial" w:hAnsi="Arial"/>
                  <w:sz w:val="15"/>
                  <w:szCs w:val="15"/>
                  <w:color w:val="0000FF"/>
                  <w:w w:val="95"/>
                </w:rPr>
                <w:t>7</w:t>
              </w:r>
            </w:hyperlink>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8"/>
          </w:tcPr>
          <w:p>
            <w:pPr>
              <w:spacing w:after="0" w:line="143" w:lineRule="exact"/>
              <w:rPr>
                <w:rFonts w:ascii="Arial" w:cs="Arial" w:eastAsia="Arial" w:hAnsi="Arial"/>
                <w:sz w:val="15"/>
                <w:szCs w:val="15"/>
                <w:color w:val="0000FF"/>
                <w:w w:val="99"/>
              </w:rPr>
            </w:pPr>
            <w:hyperlink w:anchor="page6">
              <w:r>
                <w:rPr>
                  <w:rFonts w:ascii="Arial" w:cs="Arial" w:eastAsia="Arial" w:hAnsi="Arial"/>
                  <w:sz w:val="15"/>
                  <w:szCs w:val="15"/>
                  <w:color w:val="0000FF"/>
                  <w:w w:val="99"/>
                </w:rPr>
                <w:t>Ended September 30, 2021 and 2020</w:t>
              </w:r>
            </w:hyperlink>
          </w:p>
        </w:tc>
        <w:tc>
          <w:tcPr>
            <w:tcW w:w="6540" w:type="dxa"/>
            <w:vAlign w:val="bottom"/>
            <w:tcBorders>
              <w:top w:val="single" w:sz="8" w:color="0000FF"/>
            </w:tcBorders>
            <w:gridSpan w:val="10"/>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5"/>
                <w:szCs w:val="15"/>
                <w:color w:val="0000FF"/>
              </w:rPr>
            </w:pPr>
            <w:hyperlink w:anchor="page8">
              <w:r>
                <w:rPr>
                  <w:rFonts w:ascii="Arial" w:cs="Arial" w:eastAsia="Arial" w:hAnsi="Arial"/>
                  <w:sz w:val="15"/>
                  <w:szCs w:val="15"/>
                  <w:color w:val="0000FF"/>
                </w:rPr>
                <w:t>Condensed Consolidated Statements of Cash Flows for the Nine Months Ended September 30, 2021 and 2020</w:t>
              </w:r>
            </w:hyperlink>
          </w:p>
        </w:tc>
        <w:tc>
          <w:tcPr>
            <w:tcW w:w="800" w:type="dxa"/>
            <w:vAlign w:val="bottom"/>
            <w:gridSpan w:val="3"/>
          </w:tcPr>
          <w:p>
            <w:pPr>
              <w:jc w:val="right"/>
              <w:spacing w:after="0"/>
              <w:rPr>
                <w:rFonts w:ascii="Arial" w:cs="Arial" w:eastAsia="Arial" w:hAnsi="Arial"/>
                <w:sz w:val="15"/>
                <w:szCs w:val="15"/>
                <w:color w:val="0000FF"/>
              </w:rPr>
            </w:pPr>
            <w:hyperlink w:anchor="page8">
              <w:r>
                <w:rPr>
                  <w:rFonts w:ascii="Arial" w:cs="Arial" w:eastAsia="Arial" w:hAnsi="Arial"/>
                  <w:sz w:val="15"/>
                  <w:szCs w:val="15"/>
                  <w:color w:val="0000FF"/>
                </w:rPr>
                <w:t>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0" w:type="dxa"/>
            <w:vAlign w:val="bottom"/>
            <w:gridSpan w:val="15"/>
          </w:tcPr>
          <w:p>
            <w:pPr>
              <w:spacing w:after="0"/>
              <w:rPr>
                <w:rFonts w:ascii="Arial" w:cs="Arial" w:eastAsia="Arial" w:hAnsi="Arial"/>
                <w:sz w:val="15"/>
                <w:szCs w:val="15"/>
                <w:color w:val="0000FF"/>
              </w:rPr>
            </w:pPr>
            <w:hyperlink w:anchor="page9">
              <w:r>
                <w:rPr>
                  <w:rFonts w:ascii="Arial" w:cs="Arial" w:eastAsia="Arial" w:hAnsi="Arial"/>
                  <w:sz w:val="15"/>
                  <w:szCs w:val="15"/>
                  <w:color w:val="0000FF"/>
                </w:rPr>
                <w:t>Notes to Condensed Consolidated Financial Statements</w:t>
              </w:r>
            </w:hyperlink>
          </w:p>
        </w:tc>
        <w:tc>
          <w:tcPr>
            <w:tcW w:w="1940" w:type="dxa"/>
            <w:vAlign w:val="bottom"/>
            <w:gridSpan w:val="4"/>
          </w:tcPr>
          <w:p>
            <w:pPr>
              <w:spacing w:after="0"/>
              <w:rPr>
                <w:sz w:val="24"/>
                <w:szCs w:val="24"/>
                <w:color w:val="auto"/>
              </w:rPr>
            </w:pPr>
          </w:p>
        </w:tc>
        <w:tc>
          <w:tcPr>
            <w:tcW w:w="800" w:type="dxa"/>
            <w:vAlign w:val="bottom"/>
            <w:gridSpan w:val="3"/>
          </w:tcPr>
          <w:p>
            <w:pPr>
              <w:jc w:val="right"/>
              <w:spacing w:after="0"/>
              <w:rPr>
                <w:rFonts w:ascii="Arial" w:cs="Arial" w:eastAsia="Arial" w:hAnsi="Arial"/>
                <w:sz w:val="15"/>
                <w:szCs w:val="15"/>
                <w:color w:val="0000FF"/>
              </w:rPr>
            </w:pPr>
            <w:hyperlink w:anchor="page9">
              <w:r>
                <w:rPr>
                  <w:rFonts w:ascii="Arial" w:cs="Arial" w:eastAsia="Arial" w:hAnsi="Arial"/>
                  <w:sz w:val="15"/>
                  <w:szCs w:val="15"/>
                  <w:color w:val="0000FF"/>
                </w:rPr>
                <w:t>10</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auto"/>
              </w:rPr>
            </w:pPr>
            <w:hyperlink w:anchor="page27">
              <w:r>
                <w:rPr>
                  <w:rFonts w:ascii="Arial" w:cs="Arial" w:eastAsia="Arial" w:hAnsi="Arial"/>
                  <w:sz w:val="15"/>
                  <w:szCs w:val="15"/>
                  <w:color w:val="auto"/>
                </w:rPr>
                <w:t>Item 2.</w:t>
              </w:r>
            </w:hyperlink>
          </w:p>
        </w:tc>
        <w:tc>
          <w:tcPr>
            <w:tcW w:w="9340" w:type="dxa"/>
            <w:vAlign w:val="bottom"/>
            <w:gridSpan w:val="19"/>
          </w:tcPr>
          <w:p>
            <w:pPr>
              <w:spacing w:after="0"/>
              <w:rPr>
                <w:rFonts w:ascii="Arial" w:cs="Arial" w:eastAsia="Arial" w:hAnsi="Arial"/>
                <w:sz w:val="15"/>
                <w:szCs w:val="15"/>
                <w:color w:val="0000FF"/>
              </w:rPr>
            </w:pPr>
            <w:hyperlink w:anchor="page27">
              <w:r>
                <w:rPr>
                  <w:rFonts w:ascii="Arial" w:cs="Arial" w:eastAsia="Arial" w:hAnsi="Arial"/>
                  <w:sz w:val="15"/>
                  <w:szCs w:val="15"/>
                  <w:color w:val="0000FF"/>
                </w:rPr>
                <w:t>Management’s Discussion and Analysis of Financial Condition and Results of Operations</w:t>
              </w:r>
            </w:hyperlink>
          </w:p>
        </w:tc>
        <w:tc>
          <w:tcPr>
            <w:tcW w:w="800" w:type="dxa"/>
            <w:vAlign w:val="bottom"/>
            <w:gridSpan w:val="3"/>
          </w:tcPr>
          <w:p>
            <w:pPr>
              <w:jc w:val="right"/>
              <w:spacing w:after="0"/>
              <w:rPr>
                <w:rFonts w:ascii="Arial" w:cs="Arial" w:eastAsia="Arial" w:hAnsi="Arial"/>
                <w:sz w:val="15"/>
                <w:szCs w:val="15"/>
                <w:color w:val="0000FF"/>
              </w:rPr>
            </w:pPr>
            <w:hyperlink w:anchor="page27">
              <w:r>
                <w:rPr>
                  <w:rFonts w:ascii="Arial" w:cs="Arial" w:eastAsia="Arial" w:hAnsi="Arial"/>
                  <w:sz w:val="15"/>
                  <w:szCs w:val="15"/>
                  <w:color w:val="0000FF"/>
                </w:rPr>
                <w:t>28</w:t>
              </w:r>
            </w:hyperlink>
          </w:p>
        </w:tc>
        <w:tc>
          <w:tcPr>
            <w:tcW w:w="0" w:type="dxa"/>
            <w:vAlign w:val="bottom"/>
          </w:tcPr>
          <w:p>
            <w:pPr>
              <w:spacing w:after="0"/>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auto"/>
              </w:rPr>
            </w:pPr>
            <w:hyperlink w:anchor="page46">
              <w:r>
                <w:rPr>
                  <w:rFonts w:ascii="Arial" w:cs="Arial" w:eastAsia="Arial" w:hAnsi="Arial"/>
                  <w:sz w:val="15"/>
                  <w:szCs w:val="15"/>
                  <w:color w:val="auto"/>
                </w:rPr>
                <w:t xml:space="preserve">Item </w:t>
              </w:r>
            </w:hyperlink>
            <w:r>
              <w:rPr>
                <w:rFonts w:ascii="Arial" w:cs="Arial" w:eastAsia="Arial" w:hAnsi="Arial"/>
                <w:sz w:val="15"/>
                <w:szCs w:val="15"/>
                <w:color w:val="auto"/>
              </w:rPr>
              <w:t>3.</w:t>
            </w:r>
          </w:p>
        </w:tc>
        <w:tc>
          <w:tcPr>
            <w:tcW w:w="5920" w:type="dxa"/>
            <w:vAlign w:val="bottom"/>
            <w:tcBorders>
              <w:top w:val="single" w:sz="8" w:color="0000FF"/>
            </w:tcBorders>
            <w:gridSpan w:val="13"/>
          </w:tcPr>
          <w:p>
            <w:pPr>
              <w:spacing w:after="0"/>
              <w:rPr>
                <w:rFonts w:ascii="Arial" w:cs="Arial" w:eastAsia="Arial" w:hAnsi="Arial"/>
                <w:sz w:val="15"/>
                <w:szCs w:val="15"/>
                <w:color w:val="0000FF"/>
              </w:rPr>
            </w:pPr>
            <w:hyperlink w:anchor="page46">
              <w:r>
                <w:rPr>
                  <w:rFonts w:ascii="Arial" w:cs="Arial" w:eastAsia="Arial" w:hAnsi="Arial"/>
                  <w:sz w:val="15"/>
                  <w:szCs w:val="15"/>
                  <w:color w:val="0000FF"/>
                </w:rPr>
                <w:t>Quantitative and Qualitative Disclosures About Market Risk</w:t>
              </w:r>
            </w:hyperlink>
          </w:p>
        </w:tc>
        <w:tc>
          <w:tcPr>
            <w:tcW w:w="34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5"/>
                <w:szCs w:val="15"/>
                <w:color w:val="0000FF"/>
                <w:w w:val="95"/>
              </w:rPr>
            </w:pPr>
            <w:hyperlink w:anchor="page46">
              <w:r>
                <w:rPr>
                  <w:rFonts w:ascii="Arial" w:cs="Arial" w:eastAsia="Arial" w:hAnsi="Arial"/>
                  <w:sz w:val="15"/>
                  <w:szCs w:val="15"/>
                  <w:color w:val="0000FF"/>
                  <w:w w:val="95"/>
                </w:rPr>
                <w:t>46</w:t>
              </w:r>
            </w:hyperlink>
          </w:p>
        </w:tc>
        <w:tc>
          <w:tcPr>
            <w:tcW w:w="0" w:type="dxa"/>
            <w:vAlign w:val="bottom"/>
          </w:tcPr>
          <w:p>
            <w:pPr>
              <w:spacing w:after="0"/>
              <w:rPr>
                <w:sz w:val="1"/>
                <w:szCs w:val="1"/>
                <w:color w:val="auto"/>
              </w:rPr>
            </w:pPr>
          </w:p>
        </w:tc>
      </w:tr>
      <w:tr>
        <w:trPr>
          <w:trHeight w:val="406"/>
        </w:trPr>
        <w:tc>
          <w:tcPr>
            <w:tcW w:w="1080" w:type="dxa"/>
            <w:vAlign w:val="bottom"/>
            <w:gridSpan w:val="2"/>
          </w:tcPr>
          <w:p>
            <w:pPr>
              <w:spacing w:after="0"/>
              <w:rPr>
                <w:rFonts w:ascii="Arial" w:cs="Arial" w:eastAsia="Arial" w:hAnsi="Arial"/>
                <w:sz w:val="15"/>
                <w:szCs w:val="15"/>
                <w:color w:val="auto"/>
              </w:rPr>
            </w:pPr>
            <w:hyperlink w:anchor="page47">
              <w:r>
                <w:rPr>
                  <w:rFonts w:ascii="Arial" w:cs="Arial" w:eastAsia="Arial" w:hAnsi="Arial"/>
                  <w:sz w:val="15"/>
                  <w:szCs w:val="15"/>
                  <w:color w:val="auto"/>
                </w:rPr>
                <w:t>Item 4.</w:t>
              </w:r>
            </w:hyperlink>
          </w:p>
        </w:tc>
        <w:tc>
          <w:tcPr>
            <w:tcW w:w="1680" w:type="dxa"/>
            <w:vAlign w:val="bottom"/>
            <w:tcBorders>
              <w:top w:val="single" w:sz="8" w:color="0000FF"/>
              <w:bottom w:val="single" w:sz="8" w:color="0000FF"/>
            </w:tcBorders>
            <w:gridSpan w:val="7"/>
          </w:tcPr>
          <w:p>
            <w:pPr>
              <w:spacing w:after="0"/>
              <w:rPr>
                <w:rFonts w:ascii="Arial" w:cs="Arial" w:eastAsia="Arial" w:hAnsi="Arial"/>
                <w:sz w:val="15"/>
                <w:szCs w:val="15"/>
                <w:color w:val="0000FF"/>
              </w:rPr>
            </w:pPr>
            <w:hyperlink w:anchor="page47">
              <w:r>
                <w:rPr>
                  <w:rFonts w:ascii="Arial" w:cs="Arial" w:eastAsia="Arial" w:hAnsi="Arial"/>
                  <w:sz w:val="15"/>
                  <w:szCs w:val="15"/>
                  <w:color w:val="0000FF"/>
                </w:rPr>
                <w:t>Controls and Procedures</w:t>
              </w:r>
            </w:hyperlink>
          </w:p>
        </w:tc>
        <w:tc>
          <w:tcPr>
            <w:tcW w:w="2260" w:type="dxa"/>
            <w:vAlign w:val="bottom"/>
            <w:tcBorders>
              <w:top w:val="single" w:sz="8" w:color="0000FF"/>
            </w:tcBorders>
            <w:gridSpan w:val="3"/>
          </w:tcPr>
          <w:p>
            <w:pPr>
              <w:spacing w:after="0"/>
              <w:rPr>
                <w:sz w:val="24"/>
                <w:szCs w:val="24"/>
                <w:color w:val="auto"/>
              </w:rPr>
            </w:pPr>
          </w:p>
        </w:tc>
        <w:tc>
          <w:tcPr>
            <w:tcW w:w="540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w w:val="95"/>
              </w:rPr>
            </w:pPr>
            <w:hyperlink w:anchor="page47">
              <w:r>
                <w:rPr>
                  <w:rFonts w:ascii="Arial" w:cs="Arial" w:eastAsia="Arial" w:hAnsi="Arial"/>
                  <w:sz w:val="15"/>
                  <w:szCs w:val="15"/>
                  <w:color w:val="0000FF"/>
                  <w:w w:val="95"/>
                </w:rPr>
                <w:t>47</w:t>
              </w:r>
            </w:hyperlink>
          </w:p>
        </w:tc>
        <w:tc>
          <w:tcPr>
            <w:tcW w:w="0" w:type="dxa"/>
            <w:vAlign w:val="bottom"/>
          </w:tcPr>
          <w:p>
            <w:pPr>
              <w:spacing w:after="0"/>
              <w:rPr>
                <w:sz w:val="1"/>
                <w:szCs w:val="1"/>
                <w:color w:val="auto"/>
              </w:rPr>
            </w:pPr>
          </w:p>
        </w:tc>
      </w:tr>
      <w:tr>
        <w:trPr>
          <w:trHeight w:val="293"/>
        </w:trPr>
        <w:tc>
          <w:tcPr>
            <w:tcW w:w="2360" w:type="dxa"/>
            <w:vAlign w:val="bottom"/>
            <w:tcBorders>
              <w:bottom w:val="single" w:sz="8" w:color="0000FF"/>
            </w:tcBorders>
            <w:gridSpan w:val="7"/>
          </w:tcPr>
          <w:p>
            <w:pPr>
              <w:spacing w:after="0"/>
              <w:rPr>
                <w:rFonts w:ascii="Arial" w:cs="Arial" w:eastAsia="Arial" w:hAnsi="Arial"/>
                <w:sz w:val="15"/>
                <w:szCs w:val="15"/>
                <w:b w:val="1"/>
                <w:bCs w:val="1"/>
                <w:color w:val="0000FF"/>
                <w:w w:val="98"/>
              </w:rPr>
            </w:pPr>
            <w:hyperlink w:anchor="page48">
              <w:r>
                <w:rPr>
                  <w:rFonts w:ascii="Arial" w:cs="Arial" w:eastAsia="Arial" w:hAnsi="Arial"/>
                  <w:sz w:val="15"/>
                  <w:szCs w:val="15"/>
                  <w:b w:val="1"/>
                  <w:bCs w:val="1"/>
                  <w:color w:val="0000FF"/>
                  <w:w w:val="98"/>
                </w:rPr>
                <w:t>PART II. – OTHER INFORMATION</w:t>
              </w:r>
            </w:hyperlink>
          </w:p>
        </w:tc>
        <w:tc>
          <w:tcPr>
            <w:tcW w:w="806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8">
              <w:r>
                <w:rPr>
                  <w:rFonts w:ascii="Arial" w:cs="Arial" w:eastAsia="Arial" w:hAnsi="Arial"/>
                  <w:sz w:val="15"/>
                  <w:szCs w:val="15"/>
                  <w:color w:val="0000FF"/>
                  <w:w w:val="95"/>
                </w:rPr>
                <w:t>49</w:t>
              </w:r>
            </w:hyperlink>
          </w:p>
        </w:tc>
        <w:tc>
          <w:tcPr>
            <w:tcW w:w="0" w:type="dxa"/>
            <w:vAlign w:val="bottom"/>
          </w:tcPr>
          <w:p>
            <w:pPr>
              <w:spacing w:after="0"/>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auto"/>
              </w:rPr>
            </w:pPr>
            <w:hyperlink w:anchor="page49">
              <w:r>
                <w:rPr>
                  <w:rFonts w:ascii="Arial" w:cs="Arial" w:eastAsia="Arial" w:hAnsi="Arial"/>
                  <w:sz w:val="15"/>
                  <w:szCs w:val="15"/>
                  <w:color w:val="auto"/>
                </w:rPr>
                <w:t>Item 1.</w:t>
              </w:r>
            </w:hyperlink>
          </w:p>
        </w:tc>
        <w:tc>
          <w:tcPr>
            <w:tcW w:w="1260" w:type="dxa"/>
            <w:vAlign w:val="bottom"/>
            <w:tcBorders>
              <w:bottom w:val="single" w:sz="8" w:color="0000FF"/>
            </w:tcBorders>
            <w:gridSpan w:val="4"/>
          </w:tcPr>
          <w:p>
            <w:pPr>
              <w:spacing w:after="0"/>
              <w:rPr>
                <w:rFonts w:ascii="Arial" w:cs="Arial" w:eastAsia="Arial" w:hAnsi="Arial"/>
                <w:sz w:val="15"/>
                <w:szCs w:val="15"/>
                <w:color w:val="0000FF"/>
                <w:w w:val="99"/>
              </w:rPr>
            </w:pPr>
            <w:hyperlink w:anchor="page49">
              <w:r>
                <w:rPr>
                  <w:rFonts w:ascii="Arial" w:cs="Arial" w:eastAsia="Arial" w:hAnsi="Arial"/>
                  <w:sz w:val="15"/>
                  <w:szCs w:val="15"/>
                  <w:color w:val="0000FF"/>
                  <w:w w:val="99"/>
                </w:rPr>
                <w:t>Legal Proceedings</w:t>
              </w:r>
            </w:hyperlink>
          </w:p>
        </w:tc>
        <w:tc>
          <w:tcPr>
            <w:tcW w:w="8080" w:type="dxa"/>
            <w:vAlign w:val="bottom"/>
            <w:gridSpan w:val="15"/>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9">
              <w:r>
                <w:rPr>
                  <w:rFonts w:ascii="Arial" w:cs="Arial" w:eastAsia="Arial" w:hAnsi="Arial"/>
                  <w:sz w:val="15"/>
                  <w:szCs w:val="15"/>
                  <w:color w:val="0000FF"/>
                  <w:w w:val="95"/>
                </w:rPr>
                <w:t>49</w:t>
              </w:r>
            </w:hyperlink>
          </w:p>
        </w:tc>
        <w:tc>
          <w:tcPr>
            <w:tcW w:w="0" w:type="dxa"/>
            <w:vAlign w:val="bottom"/>
          </w:tcPr>
          <w:p>
            <w:pPr>
              <w:spacing w:after="0"/>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auto"/>
              </w:rPr>
            </w:pPr>
            <w:hyperlink w:anchor="page49">
              <w:r>
                <w:rPr>
                  <w:rFonts w:ascii="Arial" w:cs="Arial" w:eastAsia="Arial" w:hAnsi="Arial"/>
                  <w:sz w:val="15"/>
                  <w:szCs w:val="15"/>
                  <w:color w:val="auto"/>
                </w:rPr>
                <w:t>Item 1A.</w:t>
              </w:r>
            </w:hyperlink>
          </w:p>
        </w:tc>
        <w:tc>
          <w:tcPr>
            <w:tcW w:w="9340" w:type="dxa"/>
            <w:vAlign w:val="bottom"/>
            <w:gridSpan w:val="19"/>
          </w:tcPr>
          <w:p>
            <w:pPr>
              <w:spacing w:after="0"/>
              <w:rPr>
                <w:rFonts w:ascii="Arial" w:cs="Arial" w:eastAsia="Arial" w:hAnsi="Arial"/>
                <w:sz w:val="15"/>
                <w:szCs w:val="15"/>
                <w:color w:val="0000FF"/>
              </w:rPr>
            </w:pPr>
            <w:hyperlink w:anchor="page49">
              <w:r>
                <w:rPr>
                  <w:rFonts w:ascii="Arial" w:cs="Arial" w:eastAsia="Arial" w:hAnsi="Arial"/>
                  <w:sz w:val="15"/>
                  <w:szCs w:val="15"/>
                  <w:color w:val="0000FF"/>
                </w:rPr>
                <w:t>Risk Factors</w:t>
              </w:r>
            </w:hyperlink>
          </w:p>
        </w:tc>
        <w:tc>
          <w:tcPr>
            <w:tcW w:w="800" w:type="dxa"/>
            <w:vAlign w:val="bottom"/>
            <w:gridSpan w:val="3"/>
          </w:tcPr>
          <w:p>
            <w:pPr>
              <w:jc w:val="right"/>
              <w:spacing w:after="0"/>
              <w:rPr>
                <w:rFonts w:ascii="Arial" w:cs="Arial" w:eastAsia="Arial" w:hAnsi="Arial"/>
                <w:sz w:val="15"/>
                <w:szCs w:val="15"/>
                <w:color w:val="0000FF"/>
              </w:rPr>
            </w:pPr>
            <w:hyperlink w:anchor="page49">
              <w:r>
                <w:rPr>
                  <w:rFonts w:ascii="Arial" w:cs="Arial" w:eastAsia="Arial" w:hAnsi="Arial"/>
                  <w:sz w:val="15"/>
                  <w:szCs w:val="15"/>
                  <w:color w:val="0000FF"/>
                </w:rPr>
                <w:t>49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auto"/>
              </w:rPr>
            </w:pPr>
            <w:hyperlink w:anchor="page76">
              <w:r>
                <w:rPr>
                  <w:rFonts w:ascii="Arial" w:cs="Arial" w:eastAsia="Arial" w:hAnsi="Arial"/>
                  <w:sz w:val="15"/>
                  <w:szCs w:val="15"/>
                  <w:color w:val="auto"/>
                </w:rPr>
                <w:t>Item 2.</w:t>
              </w:r>
            </w:hyperlink>
          </w:p>
        </w:tc>
        <w:tc>
          <w:tcPr>
            <w:tcW w:w="9340" w:type="dxa"/>
            <w:vAlign w:val="bottom"/>
            <w:gridSpan w:val="19"/>
          </w:tcPr>
          <w:p>
            <w:pPr>
              <w:spacing w:after="0"/>
              <w:rPr>
                <w:rFonts w:ascii="Arial" w:cs="Arial" w:eastAsia="Arial" w:hAnsi="Arial"/>
                <w:sz w:val="15"/>
                <w:szCs w:val="15"/>
                <w:color w:val="0000FF"/>
              </w:rPr>
            </w:pPr>
            <w:hyperlink w:anchor="page76">
              <w:r>
                <w:rPr>
                  <w:rFonts w:ascii="Arial" w:cs="Arial" w:eastAsia="Arial" w:hAnsi="Arial"/>
                  <w:sz w:val="15"/>
                  <w:szCs w:val="15"/>
                  <w:color w:val="0000FF"/>
                </w:rPr>
                <w:t>Unregistered Sales of Equity Securities and Use of Proceeds</w:t>
              </w:r>
            </w:hyperlink>
          </w:p>
        </w:tc>
        <w:tc>
          <w:tcPr>
            <w:tcW w:w="800" w:type="dxa"/>
            <w:vAlign w:val="bottom"/>
            <w:gridSpan w:val="3"/>
          </w:tcPr>
          <w:p>
            <w:pPr>
              <w:jc w:val="right"/>
              <w:spacing w:after="0"/>
              <w:rPr>
                <w:rFonts w:ascii="Arial" w:cs="Arial" w:eastAsia="Arial" w:hAnsi="Arial"/>
                <w:sz w:val="15"/>
                <w:szCs w:val="15"/>
                <w:color w:val="0000FF"/>
              </w:rPr>
            </w:pPr>
            <w:hyperlink w:anchor="page76">
              <w:r>
                <w:rPr>
                  <w:rFonts w:ascii="Arial" w:cs="Arial" w:eastAsia="Arial" w:hAnsi="Arial"/>
                  <w:sz w:val="15"/>
                  <w:szCs w:val="15"/>
                  <w:color w:val="0000FF"/>
                </w:rPr>
                <w:t>76</w:t>
              </w:r>
            </w:hyperlink>
          </w:p>
        </w:tc>
        <w:tc>
          <w:tcPr>
            <w:tcW w:w="0" w:type="dxa"/>
            <w:vAlign w:val="bottom"/>
          </w:tcPr>
          <w:p>
            <w:pPr>
              <w:spacing w:after="0"/>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auto"/>
              </w:rPr>
            </w:pPr>
            <w:hyperlink w:anchor="page76">
              <w:r>
                <w:rPr>
                  <w:rFonts w:ascii="Arial" w:cs="Arial" w:eastAsia="Arial" w:hAnsi="Arial"/>
                  <w:sz w:val="15"/>
                  <w:szCs w:val="15"/>
                  <w:color w:val="auto"/>
                </w:rPr>
                <w:t>Item 6.</w:t>
              </w:r>
            </w:hyperlink>
          </w:p>
        </w:tc>
        <w:tc>
          <w:tcPr>
            <w:tcW w:w="540" w:type="dxa"/>
            <w:vAlign w:val="bottom"/>
            <w:tcBorders>
              <w:top w:val="single" w:sz="8" w:color="0000FF"/>
              <w:bottom w:val="single" w:sz="8" w:color="0000FF"/>
            </w:tcBorders>
            <w:gridSpan w:val="2"/>
          </w:tcPr>
          <w:p>
            <w:pPr>
              <w:spacing w:after="0"/>
              <w:rPr>
                <w:rFonts w:ascii="Arial" w:cs="Arial" w:eastAsia="Arial" w:hAnsi="Arial"/>
                <w:sz w:val="15"/>
                <w:szCs w:val="15"/>
                <w:color w:val="0000FF"/>
                <w:w w:val="98"/>
              </w:rPr>
            </w:pPr>
            <w:hyperlink w:anchor="page76">
              <w:r>
                <w:rPr>
                  <w:rFonts w:ascii="Arial" w:cs="Arial" w:eastAsia="Arial" w:hAnsi="Arial"/>
                  <w:sz w:val="15"/>
                  <w:szCs w:val="15"/>
                  <w:color w:val="0000FF"/>
                  <w:w w:val="98"/>
                </w:rPr>
                <w:t>Exhibits</w:t>
              </w:r>
            </w:hyperlink>
          </w:p>
        </w:tc>
        <w:tc>
          <w:tcPr>
            <w:tcW w:w="3520" w:type="dxa"/>
            <w:vAlign w:val="bottom"/>
            <w:tcBorders>
              <w:top w:val="single" w:sz="8" w:color="0000FF"/>
            </w:tcBorders>
            <w:gridSpan w:val="10"/>
          </w:tcPr>
          <w:p>
            <w:pPr>
              <w:spacing w:after="0"/>
              <w:rPr>
                <w:sz w:val="24"/>
                <w:szCs w:val="24"/>
                <w:color w:val="auto"/>
              </w:rPr>
            </w:pPr>
          </w:p>
        </w:tc>
        <w:tc>
          <w:tcPr>
            <w:tcW w:w="528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w w:val="95"/>
              </w:rPr>
            </w:pPr>
            <w:hyperlink w:anchor="page76">
              <w:r>
                <w:rPr>
                  <w:rFonts w:ascii="Arial" w:cs="Arial" w:eastAsia="Arial" w:hAnsi="Arial"/>
                  <w:sz w:val="15"/>
                  <w:szCs w:val="15"/>
                  <w:color w:val="0000FF"/>
                  <w:w w:val="95"/>
                </w:rPr>
                <w:t>77</w:t>
              </w:r>
            </w:hyperlink>
          </w:p>
        </w:tc>
        <w:tc>
          <w:tcPr>
            <w:tcW w:w="0" w:type="dxa"/>
            <w:vAlign w:val="bottom"/>
          </w:tcPr>
          <w:p>
            <w:pPr>
              <w:spacing w:after="0"/>
              <w:rPr>
                <w:sz w:val="1"/>
                <w:szCs w:val="1"/>
                <w:color w:val="auto"/>
              </w:rPr>
            </w:pPr>
          </w:p>
        </w:tc>
      </w:tr>
      <w:tr>
        <w:trPr>
          <w:trHeight w:val="293"/>
        </w:trPr>
        <w:tc>
          <w:tcPr>
            <w:tcW w:w="1080" w:type="dxa"/>
            <w:vAlign w:val="bottom"/>
            <w:gridSpan w:val="2"/>
          </w:tcPr>
          <w:p>
            <w:pPr>
              <w:spacing w:after="0"/>
              <w:rPr>
                <w:rFonts w:ascii="Arial" w:cs="Arial" w:eastAsia="Arial" w:hAnsi="Arial"/>
                <w:sz w:val="15"/>
                <w:szCs w:val="15"/>
                <w:color w:val="0000FF"/>
              </w:rPr>
            </w:pPr>
            <w:hyperlink w:anchor="page77">
              <w:r>
                <w:rPr>
                  <w:rFonts w:ascii="Arial" w:cs="Arial" w:eastAsia="Arial" w:hAnsi="Arial"/>
                  <w:sz w:val="15"/>
                  <w:szCs w:val="15"/>
                  <w:color w:val="0000FF"/>
                </w:rPr>
                <w:t>SIGNATURES</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jc w:val="right"/>
              <w:spacing w:after="0"/>
              <w:rPr>
                <w:rFonts w:ascii="Arial" w:cs="Arial" w:eastAsia="Arial" w:hAnsi="Arial"/>
                <w:sz w:val="15"/>
                <w:szCs w:val="15"/>
                <w:color w:val="0000FF"/>
              </w:rPr>
            </w:pPr>
            <w:hyperlink w:anchor="page77">
              <w:r>
                <w:rPr>
                  <w:rFonts w:ascii="Arial" w:cs="Arial" w:eastAsia="Arial" w:hAnsi="Arial"/>
                  <w:sz w:val="15"/>
                  <w:szCs w:val="15"/>
                  <w:color w:val="0000FF"/>
                </w:rPr>
                <w:t>78</w:t>
              </w:r>
            </w:hyperlink>
          </w:p>
        </w:tc>
        <w:tc>
          <w:tcPr>
            <w:tcW w:w="0" w:type="dxa"/>
            <w:vAlign w:val="bottom"/>
          </w:tcPr>
          <w:p>
            <w:pPr>
              <w:spacing w:after="0"/>
              <w:rPr>
                <w:sz w:val="1"/>
                <w:szCs w:val="1"/>
                <w:color w:val="auto"/>
              </w:rPr>
            </w:pPr>
          </w:p>
        </w:tc>
      </w:tr>
      <w:tr>
        <w:trPr>
          <w:trHeight w:val="20"/>
        </w:trPr>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Condensed Consolidated Financial Statements (Unaudited)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 except par values)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0" w:type="dxa"/>
            <w:vAlign w:val="bottom"/>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 2020</w:t>
            </w:r>
          </w:p>
        </w:tc>
      </w:tr>
      <w:tr>
        <w:trPr>
          <w:trHeight w:val="184"/>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4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4"/>
        </w:trPr>
        <w:tc>
          <w:tcPr>
            <w:tcW w:w="8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310,704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114,470</w:t>
            </w:r>
          </w:p>
        </w:tc>
      </w:tr>
      <w:tr>
        <w:trPr>
          <w:trHeight w:val="198"/>
        </w:trPr>
        <w:tc>
          <w:tcPr>
            <w:tcW w:w="820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11,595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8,555</w:t>
            </w:r>
          </w:p>
        </w:tc>
      </w:tr>
      <w:tr>
        <w:trPr>
          <w:trHeight w:val="201"/>
        </w:trPr>
        <w:tc>
          <w:tcPr>
            <w:tcW w:w="8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10,536</w:t>
            </w:r>
          </w:p>
        </w:tc>
      </w:tr>
      <w:tr>
        <w:trPr>
          <w:trHeight w:val="193"/>
        </w:trPr>
        <w:tc>
          <w:tcPr>
            <w:tcW w:w="8200" w:type="dxa"/>
            <w:vAlign w:val="bottom"/>
          </w:tcPr>
          <w:p>
            <w:pPr>
              <w:ind w:left="620"/>
              <w:spacing w:after="0"/>
              <w:rPr>
                <w:sz w:val="20"/>
                <w:szCs w:val="20"/>
                <w:color w:val="auto"/>
              </w:rPr>
            </w:pPr>
            <w:r>
              <w:rPr>
                <w:rFonts w:ascii="Arial" w:cs="Arial" w:eastAsia="Arial" w:hAnsi="Arial"/>
                <w:sz w:val="15"/>
                <w:szCs w:val="15"/>
                <w:color w:val="auto"/>
              </w:rPr>
              <w:t>Total current assets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338,637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133,561</w:t>
            </w: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47,112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51,374</w:t>
            </w: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Goodwill</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11,392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11,404</w:t>
            </w: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26,362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22,807</w:t>
            </w: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 equivalent</w:t>
            </w: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Available-for-sale debt securities</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1,050</w:t>
            </w:r>
          </w:p>
        </w:tc>
      </w:tr>
      <w:tr>
        <w:trPr>
          <w:trHeight w:val="201"/>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9,408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6,053</w:t>
            </w:r>
          </w:p>
        </w:tc>
      </w:tr>
      <w:tr>
        <w:trPr>
          <w:trHeight w:val="196"/>
        </w:trPr>
        <w:tc>
          <w:tcPr>
            <w:tcW w:w="8200" w:type="dxa"/>
            <w:vAlign w:val="bottom"/>
          </w:tcPr>
          <w:p>
            <w:pPr>
              <w:ind w:left="620"/>
              <w:spacing w:after="0"/>
              <w:rPr>
                <w:sz w:val="20"/>
                <w:szCs w:val="20"/>
                <w:color w:val="auto"/>
              </w:rPr>
            </w:pPr>
            <w:r>
              <w:rPr>
                <w:rFonts w:ascii="Arial" w:cs="Arial" w:eastAsia="Arial" w:hAnsi="Arial"/>
                <w:sz w:val="15"/>
                <w:szCs w:val="15"/>
                <w:color w:val="auto"/>
              </w:rPr>
              <w:t>Total assets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434,472</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252,064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6"/>
        </w:trPr>
        <w:tc>
          <w:tcPr>
            <w:tcW w:w="82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Liabilities, redeemable convertible preferred stock and stockholders’ equity (deficit)</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4"/>
        </w:trPr>
        <w:tc>
          <w:tcPr>
            <w:tcW w:w="8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43,196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28,734</w:t>
            </w:r>
          </w:p>
        </w:tc>
      </w:tr>
      <w:tr>
        <w:trPr>
          <w:trHeight w:val="198"/>
        </w:trPr>
        <w:tc>
          <w:tcPr>
            <w:tcW w:w="8200" w:type="dxa"/>
            <w:vAlign w:val="bottom"/>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42,958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41,028</w:t>
            </w:r>
          </w:p>
        </w:tc>
      </w:tr>
      <w:tr>
        <w:trPr>
          <w:trHeight w:val="204"/>
        </w:trPr>
        <w:tc>
          <w:tcPr>
            <w:tcW w:w="8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revenue</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152,314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127,142</w:t>
            </w:r>
          </w:p>
        </w:tc>
      </w:tr>
      <w:tr>
        <w:trPr>
          <w:trHeight w:val="198"/>
        </w:trPr>
        <w:tc>
          <w:tcPr>
            <w:tcW w:w="8200" w:type="dxa"/>
            <w:vAlign w:val="bottom"/>
          </w:tcPr>
          <w:p>
            <w:pPr>
              <w:ind w:left="320"/>
              <w:spacing w:after="0"/>
              <w:rPr>
                <w:sz w:val="20"/>
                <w:szCs w:val="20"/>
                <w:color w:val="auto"/>
              </w:rPr>
            </w:pPr>
            <w:r>
              <w:rPr>
                <w:rFonts w:ascii="Arial" w:cs="Arial" w:eastAsia="Arial" w:hAnsi="Arial"/>
                <w:sz w:val="15"/>
                <w:szCs w:val="15"/>
                <w:color w:val="auto"/>
              </w:rPr>
              <w:t>Current portion of long-term debt</w:t>
            </w:r>
          </w:p>
        </w:tc>
        <w:tc>
          <w:tcPr>
            <w:tcW w:w="4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3,029</w:t>
            </w:r>
          </w:p>
        </w:tc>
      </w:tr>
      <w:tr>
        <w:trPr>
          <w:trHeight w:val="196"/>
        </w:trPr>
        <w:tc>
          <w:tcPr>
            <w:tcW w:w="820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current liabilities</w:t>
            </w: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238,468</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199,933</w:t>
            </w: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Long-term debt, net of current portion</w:t>
            </w:r>
          </w:p>
        </w:tc>
        <w:tc>
          <w:tcPr>
            <w:tcW w:w="4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512,362</w:t>
            </w: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revenue</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2,937</w:t>
            </w:r>
          </w:p>
        </w:tc>
      </w:tr>
      <w:tr>
        <w:trPr>
          <w:trHeight w:val="198"/>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3,263</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16,558</w:t>
            </w:r>
          </w:p>
        </w:tc>
      </w:tr>
      <w:tr>
        <w:trPr>
          <w:trHeight w:val="196"/>
        </w:trPr>
        <w:tc>
          <w:tcPr>
            <w:tcW w:w="82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liabilities</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243,428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731,790</w:t>
            </w:r>
          </w:p>
        </w:tc>
      </w:tr>
      <w:tr>
        <w:trPr>
          <w:trHeight w:val="178"/>
        </w:trPr>
        <w:tc>
          <w:tcPr>
            <w:tcW w:w="8200" w:type="dxa"/>
            <w:vAlign w:val="bottom"/>
          </w:tcPr>
          <w:p>
            <w:pPr>
              <w:ind w:left="20"/>
              <w:spacing w:after="0"/>
              <w:rPr>
                <w:sz w:val="20"/>
                <w:szCs w:val="20"/>
                <w:color w:val="auto"/>
              </w:rPr>
            </w:pPr>
            <w:r>
              <w:rPr>
                <w:rFonts w:ascii="Arial" w:cs="Arial" w:eastAsia="Arial" w:hAnsi="Arial"/>
                <w:sz w:val="15"/>
                <w:szCs w:val="15"/>
                <w:color w:val="auto"/>
              </w:rPr>
              <w:t>Commitments and contingencies (Note 8)</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8"/>
        </w:trPr>
        <w:tc>
          <w:tcPr>
            <w:tcW w:w="820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Series A redeemable convertible preferred stock, $0.001 par value; 30,512 shares authorized at December 31, 2020;</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2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23,081 shares issued and outstanding at December 31, 2020</w:t>
            </w: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70,906</w:t>
            </w:r>
          </w:p>
        </w:tc>
      </w:tr>
      <w:tr>
        <w:trPr>
          <w:trHeight w:val="198"/>
        </w:trPr>
        <w:tc>
          <w:tcPr>
            <w:tcW w:w="8200" w:type="dxa"/>
            <w:vAlign w:val="bottom"/>
          </w:tcPr>
          <w:p>
            <w:pPr>
              <w:ind w:left="20"/>
              <w:spacing w:after="0"/>
              <w:rPr>
                <w:sz w:val="20"/>
                <w:szCs w:val="20"/>
                <w:color w:val="auto"/>
              </w:rPr>
            </w:pPr>
            <w:r>
              <w:rPr>
                <w:rFonts w:ascii="Arial" w:cs="Arial" w:eastAsia="Arial" w:hAnsi="Arial"/>
                <w:sz w:val="15"/>
                <w:szCs w:val="15"/>
                <w:color w:val="auto"/>
              </w:rPr>
              <w:t>Stockholders’ equity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8"/>
        </w:trPr>
        <w:tc>
          <w:tcPr>
            <w:tcW w:w="8200" w:type="dxa"/>
            <w:vAlign w:val="bottom"/>
            <w:shd w:val="clear" w:color="auto" w:fill="CCEEFF"/>
          </w:tcPr>
          <w:p>
            <w:pPr>
              <w:ind w:left="320"/>
              <w:spacing w:after="0" w:line="168" w:lineRule="exact"/>
              <w:rPr>
                <w:sz w:val="20"/>
                <w:szCs w:val="20"/>
                <w:color w:val="auto"/>
              </w:rPr>
            </w:pPr>
            <w:r>
              <w:rPr>
                <w:rFonts w:ascii="Arial" w:cs="Arial" w:eastAsia="Arial" w:hAnsi="Arial"/>
                <w:sz w:val="15"/>
                <w:szCs w:val="15"/>
                <w:color w:val="auto"/>
              </w:rPr>
              <w:t>Preferred stock, $0.001 par value; 100,000 shares authorized at September 30, 2021, none issued or outstanding at</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2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September 30, 2021</w:t>
            </w: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5"/>
        </w:trPr>
        <w:tc>
          <w:tcPr>
            <w:tcW w:w="8200" w:type="dxa"/>
            <w:vAlign w:val="bottom"/>
          </w:tcPr>
          <w:p>
            <w:pPr>
              <w:ind w:left="320"/>
              <w:spacing w:after="0" w:line="165" w:lineRule="exact"/>
              <w:rPr>
                <w:sz w:val="20"/>
                <w:szCs w:val="20"/>
                <w:color w:val="auto"/>
              </w:rPr>
            </w:pPr>
            <w:r>
              <w:rPr>
                <w:rFonts w:ascii="Arial" w:cs="Arial" w:eastAsia="Arial" w:hAnsi="Arial"/>
                <w:sz w:val="15"/>
                <w:szCs w:val="15"/>
                <w:color w:val="auto"/>
              </w:rPr>
              <w:t>Common stock, $0.001 par value; 1,000,000 and 264,720 shares authorized; 197,048 and 125,037 shares issued and</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200" w:type="dxa"/>
            <w:vAlign w:val="bottom"/>
          </w:tcPr>
          <w:p>
            <w:pPr>
              <w:ind w:left="460"/>
              <w:spacing w:after="0"/>
              <w:rPr>
                <w:sz w:val="20"/>
                <w:szCs w:val="20"/>
                <w:color w:val="auto"/>
              </w:rPr>
            </w:pPr>
            <w:r>
              <w:rPr>
                <w:rFonts w:ascii="Arial" w:cs="Arial" w:eastAsia="Arial" w:hAnsi="Arial"/>
                <w:sz w:val="15"/>
                <w:szCs w:val="15"/>
                <w:color w:val="auto"/>
              </w:rPr>
              <w:t>outstanding at September 30, 2021 and December 31, 2020, respectively</w:t>
            </w: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126</w:t>
            </w:r>
          </w:p>
        </w:tc>
      </w:tr>
      <w:tr>
        <w:trPr>
          <w:trHeight w:val="204"/>
        </w:trPr>
        <w:tc>
          <w:tcPr>
            <w:tcW w:w="8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919,712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102,417</w:t>
            </w:r>
          </w:p>
        </w:tc>
      </w:tr>
      <w:tr>
        <w:trPr>
          <w:trHeight w:val="198"/>
        </w:trPr>
        <w:tc>
          <w:tcPr>
            <w:tcW w:w="8200" w:type="dxa"/>
            <w:vAlign w:val="bottom"/>
          </w:tcPr>
          <w:p>
            <w:pPr>
              <w:ind w:left="320"/>
              <w:spacing w:after="0"/>
              <w:rPr>
                <w:sz w:val="20"/>
                <w:szCs w:val="20"/>
                <w:color w:val="auto"/>
              </w:rPr>
            </w:pPr>
            <w:r>
              <w:rPr>
                <w:rFonts w:ascii="Arial" w:cs="Arial" w:eastAsia="Arial" w:hAnsi="Arial"/>
                <w:sz w:val="15"/>
                <w:szCs w:val="15"/>
                <w:color w:val="auto"/>
              </w:rPr>
              <w:t>Accumulated deficit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(727,241)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(639,348)</w:t>
            </w:r>
          </w:p>
        </w:tc>
      </w:tr>
      <w:tr>
        <w:trPr>
          <w:trHeight w:val="201"/>
        </w:trPr>
        <w:tc>
          <w:tcPr>
            <w:tcW w:w="8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(1,624)</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(13,827)</w:t>
            </w:r>
          </w:p>
        </w:tc>
      </w:tr>
      <w:tr>
        <w:trPr>
          <w:trHeight w:val="193"/>
        </w:trPr>
        <w:tc>
          <w:tcPr>
            <w:tcW w:w="820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stockholders’ equity (deficit)</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191,044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(550,632)</w:t>
            </w: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redeemable convertible preferred stock and stockholders’ equity (deficit)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434,472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252,064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147,879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432,943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348,397</w:t>
            </w:r>
          </w:p>
        </w:tc>
        <w:tc>
          <w:tcPr>
            <w:tcW w:w="0" w:type="dxa"/>
            <w:vAlign w:val="bottom"/>
          </w:tcPr>
          <w:p>
            <w:pPr>
              <w:spacing w:after="0"/>
              <w:rPr>
                <w:sz w:val="1"/>
                <w:szCs w:val="1"/>
                <w:color w:val="auto"/>
              </w:rPr>
            </w:pPr>
          </w:p>
        </w:tc>
      </w:tr>
      <w:tr>
        <w:trPr>
          <w:trHeight w:val="19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47,267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141,086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114,712</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100,612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291,857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233,685</w:t>
            </w: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Sales and marketing</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72,572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209,364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130,487</w:t>
            </w:r>
          </w:p>
        </w:tc>
        <w:tc>
          <w:tcPr>
            <w:tcW w:w="0" w:type="dxa"/>
            <w:vAlign w:val="bottom"/>
          </w:tcPr>
          <w:p>
            <w:pPr>
              <w:spacing w:after="0"/>
              <w:rPr>
                <w:sz w:val="1"/>
                <w:szCs w:val="1"/>
                <w:color w:val="auto"/>
              </w:rPr>
            </w:pPr>
          </w:p>
        </w:tc>
      </w:tr>
      <w:tr>
        <w:trPr>
          <w:trHeight w:val="198"/>
        </w:trPr>
        <w:tc>
          <w:tcPr>
            <w:tcW w:w="5040" w:type="dxa"/>
            <w:vAlign w:val="bottom"/>
          </w:tcPr>
          <w:p>
            <w:pPr>
              <w:ind w:left="320"/>
              <w:spacing w:after="0"/>
              <w:rPr>
                <w:sz w:val="20"/>
                <w:szCs w:val="20"/>
                <w:color w:val="auto"/>
              </w:rPr>
            </w:pPr>
            <w:r>
              <w:rPr>
                <w:rFonts w:ascii="Arial" w:cs="Arial" w:eastAsia="Arial" w:hAnsi="Arial"/>
                <w:sz w:val="15"/>
                <w:szCs w:val="15"/>
                <w:color w:val="auto"/>
              </w:rPr>
              <w:t>Technology and development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26,865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10,911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65,790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31,619</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28,192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35,697</w:t>
            </w:r>
          </w:p>
        </w:tc>
        <w:tc>
          <w:tcPr>
            <w:tcW w:w="0" w:type="dxa"/>
            <w:vAlign w:val="bottom"/>
          </w:tcPr>
          <w:p>
            <w:pPr>
              <w:spacing w:after="0"/>
              <w:rPr>
                <w:sz w:val="1"/>
                <w:szCs w:val="1"/>
                <w:color w:val="auto"/>
              </w:rPr>
            </w:pPr>
          </w:p>
        </w:tc>
      </w:tr>
      <w:tr>
        <w:trPr>
          <w:trHeight w:val="198"/>
        </w:trPr>
        <w:tc>
          <w:tcPr>
            <w:tcW w:w="5040" w:type="dxa"/>
            <w:vAlign w:val="bottom"/>
          </w:tcPr>
          <w:p>
            <w:pPr>
              <w:ind w:left="320"/>
              <w:spacing w:after="0"/>
              <w:rPr>
                <w:sz w:val="20"/>
                <w:szCs w:val="20"/>
                <w:color w:val="auto"/>
              </w:rPr>
            </w:pPr>
            <w:r>
              <w:rPr>
                <w:rFonts w:ascii="Arial" w:cs="Arial" w:eastAsia="Arial" w:hAnsi="Arial"/>
                <w:sz w:val="15"/>
                <w:szCs w:val="15"/>
                <w:color w:val="auto"/>
              </w:rPr>
              <w:t>Impairment of long-lived and other assets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201"/>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on sale of business</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0" w:type="dxa"/>
            <w:vAlign w:val="bottom"/>
          </w:tcPr>
          <w:p>
            <w:pPr>
              <w:spacing w:after="0"/>
              <w:rPr>
                <w:sz w:val="1"/>
                <w:szCs w:val="1"/>
                <w:color w:val="auto"/>
              </w:rPr>
            </w:pPr>
          </w:p>
        </w:tc>
      </w:tr>
      <w:tr>
        <w:trPr>
          <w:trHeight w:val="193"/>
        </w:trPr>
        <w:tc>
          <w:tcPr>
            <w:tcW w:w="5040" w:type="dxa"/>
            <w:vAlign w:val="bottom"/>
          </w:tcPr>
          <w:p>
            <w:pPr>
              <w:ind w:left="72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128,122</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68,168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351,228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200,122</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income from operations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33,563</w:t>
            </w:r>
          </w:p>
        </w:tc>
        <w:tc>
          <w:tcPr>
            <w:tcW w:w="0" w:type="dxa"/>
            <w:vAlign w:val="bottom"/>
          </w:tcPr>
          <w:p>
            <w:pPr>
              <w:spacing w:after="0"/>
              <w:rPr>
                <w:sz w:val="1"/>
                <w:szCs w:val="1"/>
                <w:color w:val="auto"/>
              </w:rPr>
            </w:pPr>
          </w:p>
        </w:tc>
      </w:tr>
      <w:tr>
        <w:trPr>
          <w:trHeight w:val="198"/>
        </w:trPr>
        <w:tc>
          <w:tcPr>
            <w:tcW w:w="5040" w:type="dxa"/>
            <w:vAlign w:val="bottom"/>
          </w:tcPr>
          <w:p>
            <w:pPr>
              <w:ind w:left="320"/>
              <w:spacing w:after="0"/>
              <w:rPr>
                <w:sz w:val="20"/>
                <w:szCs w:val="20"/>
                <w:color w:val="auto"/>
              </w:rPr>
            </w:pPr>
            <w:r>
              <w:rPr>
                <w:rFonts w:ascii="Arial" w:cs="Arial" w:eastAsia="Arial" w:hAnsi="Arial"/>
                <w:sz w:val="15"/>
                <w:szCs w:val="15"/>
                <w:color w:val="auto"/>
              </w:rPr>
              <w:t>Interest expense, net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(9,957)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(8,658)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(27,923)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(26,785)</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(expense) income, net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98"/>
        </w:trPr>
        <w:tc>
          <w:tcPr>
            <w:tcW w:w="5040" w:type="dxa"/>
            <w:vAlign w:val="bottom"/>
          </w:tcPr>
          <w:p>
            <w:pPr>
              <w:ind w:left="320"/>
              <w:spacing w:after="0"/>
              <w:rPr>
                <w:sz w:val="20"/>
                <w:szCs w:val="20"/>
                <w:color w:val="auto"/>
              </w:rPr>
            </w:pPr>
            <w:r>
              <w:rPr>
                <w:rFonts w:ascii="Arial" w:cs="Arial" w:eastAsia="Arial" w:hAnsi="Arial"/>
                <w:sz w:val="15"/>
                <w:szCs w:val="15"/>
                <w:color w:val="auto"/>
              </w:rPr>
              <w:t>Loss on debt extinguishment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(7,748)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320"/>
              <w:spacing w:after="0" w:line="168" w:lineRule="exact"/>
              <w:rPr>
                <w:sz w:val="20"/>
                <w:szCs w:val="20"/>
                <w:color w:val="auto"/>
              </w:rPr>
            </w:pPr>
            <w:r>
              <w:rPr>
                <w:rFonts w:ascii="Arial" w:cs="Arial" w:eastAsia="Arial" w:hAnsi="Arial"/>
                <w:sz w:val="15"/>
                <w:szCs w:val="15"/>
                <w:color w:val="auto"/>
              </w:rPr>
              <w:t>Impairment of available-for-sale debt securities of $4,912, net of $94</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loss recognized in other comprehensive loss</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(4,818)</w:t>
            </w:r>
          </w:p>
        </w:tc>
        <w:tc>
          <w:tcPr>
            <w:tcW w:w="0" w:type="dxa"/>
            <w:vAlign w:val="bottom"/>
          </w:tcPr>
          <w:p>
            <w:pPr>
              <w:spacing w:after="0"/>
              <w:rPr>
                <w:sz w:val="1"/>
                <w:szCs w:val="1"/>
                <w:color w:val="auto"/>
              </w:rPr>
            </w:pPr>
          </w:p>
        </w:tc>
      </w:tr>
      <w:tr>
        <w:trPr>
          <w:trHeight w:val="193"/>
        </w:trPr>
        <w:tc>
          <w:tcPr>
            <w:tcW w:w="5040" w:type="dxa"/>
            <w:vAlign w:val="bottom"/>
          </w:tcPr>
          <w:p>
            <w:pPr>
              <w:ind w:left="20"/>
              <w:spacing w:after="0"/>
              <w:rPr>
                <w:sz w:val="20"/>
                <w:szCs w:val="20"/>
                <w:color w:val="auto"/>
              </w:rPr>
            </w:pPr>
            <w:r>
              <w:rPr>
                <w:rFonts w:ascii="Arial" w:cs="Arial" w:eastAsia="Arial" w:hAnsi="Arial"/>
                <w:sz w:val="15"/>
                <w:szCs w:val="15"/>
                <w:color w:val="auto"/>
              </w:rPr>
              <w:t>(Loss) income before income taxes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(45,583)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12,538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(94,742)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2,109</w:t>
            </w:r>
          </w:p>
        </w:tc>
        <w:tc>
          <w:tcPr>
            <w:tcW w:w="0" w:type="dxa"/>
            <w:vAlign w:val="bottom"/>
          </w:tcPr>
          <w:p>
            <w:pPr>
              <w:spacing w:after="0"/>
              <w:rPr>
                <w:sz w:val="1"/>
                <w:szCs w:val="1"/>
                <w:color w:val="auto"/>
              </w:rPr>
            </w:pPr>
          </w:p>
        </w:tc>
      </w:tr>
      <w:tr>
        <w:trPr>
          <w:trHeight w:val="201"/>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(Benefit from) provision for from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(39,675)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per share attributable to common stockholders – basic:</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gridSpan w:val="2"/>
          </w:tcPr>
          <w:p>
            <w:pPr>
              <w:ind w:left="20"/>
              <w:spacing w:after="0"/>
              <w:rPr>
                <w:sz w:val="20"/>
                <w:szCs w:val="20"/>
                <w:color w:val="auto"/>
              </w:rPr>
            </w:pPr>
            <w:r>
              <w:rPr>
                <w:rFonts w:ascii="Arial" w:cs="Arial" w:eastAsia="Arial" w:hAnsi="Arial"/>
                <w:sz w:val="15"/>
                <w:szCs w:val="15"/>
                <w:color w:val="auto"/>
              </w:rPr>
              <w:t>Net (loss) income per share attributable to common stockholders – diluted: $</w:t>
            </w:r>
          </w:p>
        </w:tc>
        <w:tc>
          <w:tcPr>
            <w:tcW w:w="1300" w:type="dxa"/>
            <w:vAlign w:val="bottom"/>
          </w:tcPr>
          <w:p>
            <w:pPr>
              <w:jc w:val="right"/>
              <w:spacing w:after="0"/>
              <w:rPr>
                <w:sz w:val="20"/>
                <w:szCs w:val="20"/>
                <w:color w:val="auto"/>
              </w:rPr>
            </w:pPr>
            <w:r>
              <w:rPr>
                <w:rFonts w:ascii="Arial" w:cs="Arial" w:eastAsia="Arial" w:hAnsi="Arial"/>
                <w:sz w:val="15"/>
                <w:szCs w:val="15"/>
                <w:color w:val="auto"/>
              </w:rPr>
              <w:t>(0.20)</w:t>
            </w:r>
          </w:p>
        </w:tc>
        <w:tc>
          <w:tcPr>
            <w:tcW w:w="80" w:type="dxa"/>
            <w:vAlign w:val="bottom"/>
          </w:tcPr>
          <w:p>
            <w:pPr>
              <w:spacing w:after="0"/>
              <w:rPr>
                <w:sz w:val="15"/>
                <w:szCs w:val="15"/>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5"/>
                <w:szCs w:val="15"/>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(0.59)</w:t>
            </w:r>
          </w:p>
        </w:tc>
        <w:tc>
          <w:tcPr>
            <w:tcW w:w="100" w:type="dxa"/>
            <w:vAlign w:val="bottom"/>
          </w:tcPr>
          <w:p>
            <w:pPr>
              <w:spacing w:after="0"/>
              <w:rPr>
                <w:sz w:val="15"/>
                <w:szCs w:val="15"/>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040" w:type="dxa"/>
            <w:vAlign w:val="bottom"/>
            <w:shd w:val="clear" w:color="auto" w:fill="CCEEFF"/>
          </w:tcPr>
          <w:p>
            <w:pPr>
              <w:ind w:left="20"/>
              <w:spacing w:after="0" w:line="130" w:lineRule="exact"/>
              <w:rPr>
                <w:sz w:val="20"/>
                <w:szCs w:val="20"/>
                <w:color w:val="auto"/>
              </w:rPr>
            </w:pPr>
            <w:r>
              <w:rPr>
                <w:rFonts w:ascii="Arial" w:cs="Arial" w:eastAsia="Arial" w:hAnsi="Arial"/>
                <w:sz w:val="15"/>
                <w:szCs w:val="15"/>
                <w:color w:val="auto"/>
              </w:rPr>
              <w:t>Weighted-average shares used to compute net (loss) income per share</w:t>
            </w:r>
          </w:p>
        </w:tc>
        <w:tc>
          <w:tcPr>
            <w:tcW w:w="18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196,351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124,846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149,207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124,647</w:t>
            </w: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shd w:val="clear" w:color="auto" w:fill="CCEEFF"/>
          </w:tcPr>
          <w:p>
            <w:pPr>
              <w:ind w:left="320"/>
              <w:spacing w:after="0" w:line="161" w:lineRule="exact"/>
              <w:rPr>
                <w:sz w:val="20"/>
                <w:szCs w:val="20"/>
                <w:color w:val="auto"/>
              </w:rPr>
            </w:pPr>
            <w:r>
              <w:rPr>
                <w:rFonts w:ascii="Arial" w:cs="Arial" w:eastAsia="Arial" w:hAnsi="Arial"/>
                <w:sz w:val="15"/>
                <w:szCs w:val="15"/>
                <w:color w:val="auto"/>
              </w:rPr>
              <w:t>attributable to common stockholder – basic:</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150" w:lineRule="exact"/>
              <w:rPr>
                <w:sz w:val="20"/>
                <w:szCs w:val="20"/>
                <w:color w:val="auto"/>
              </w:rPr>
            </w:pPr>
            <w:r>
              <w:rPr>
                <w:rFonts w:ascii="Arial" w:cs="Arial" w:eastAsia="Arial" w:hAnsi="Arial"/>
                <w:sz w:val="15"/>
                <w:szCs w:val="15"/>
                <w:color w:val="auto"/>
              </w:rPr>
              <w:t>Weighted-average shares used to compute net (loss)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0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196,351</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127,238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149,207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127,339</w:t>
            </w:r>
          </w:p>
        </w:tc>
        <w:tc>
          <w:tcPr>
            <w:tcW w:w="0" w:type="dxa"/>
            <w:vAlign w:val="bottom"/>
          </w:tcPr>
          <w:p>
            <w:pPr>
              <w:spacing w:after="0"/>
              <w:rPr>
                <w:sz w:val="1"/>
                <w:szCs w:val="1"/>
                <w:color w:val="auto"/>
              </w:rPr>
            </w:pPr>
          </w:p>
        </w:tc>
      </w:tr>
      <w:tr>
        <w:trPr>
          <w:trHeight w:val="161"/>
        </w:trPr>
        <w:tc>
          <w:tcPr>
            <w:tcW w:w="5040" w:type="dxa"/>
            <w:vAlign w:val="bottom"/>
          </w:tcPr>
          <w:p>
            <w:pPr>
              <w:ind w:left="320"/>
              <w:spacing w:after="0" w:line="161" w:lineRule="exact"/>
              <w:rPr>
                <w:sz w:val="20"/>
                <w:szCs w:val="20"/>
                <w:color w:val="auto"/>
              </w:rPr>
            </w:pPr>
            <w:r>
              <w:rPr>
                <w:rFonts w:ascii="Arial" w:cs="Arial" w:eastAsia="Arial" w:hAnsi="Arial"/>
                <w:sz w:val="15"/>
                <w:szCs w:val="15"/>
                <w:color w:val="auto"/>
              </w:rPr>
              <w:t>attributable to common stockholder – diluted:</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Statements of Comprehensive (Loss)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195"/>
        </w:trPr>
        <w:tc>
          <w:tcPr>
            <w:tcW w:w="50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19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income</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(39,675)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w:t>
            </w:r>
          </w:p>
        </w:tc>
      </w:tr>
      <w:tr>
        <w:trPr>
          <w:trHeight w:val="198"/>
        </w:trPr>
        <w:tc>
          <w:tcPr>
            <w:tcW w:w="5040" w:type="dxa"/>
            <w:vAlign w:val="bottom"/>
          </w:tcPr>
          <w:p>
            <w:pPr>
              <w:ind w:left="20"/>
              <w:spacing w:after="0"/>
              <w:rPr>
                <w:sz w:val="20"/>
                <w:szCs w:val="20"/>
                <w:color w:val="auto"/>
              </w:rPr>
            </w:pPr>
            <w:r>
              <w:rPr>
                <w:rFonts w:ascii="Arial" w:cs="Arial" w:eastAsia="Arial" w:hAnsi="Arial"/>
                <w:sz w:val="15"/>
                <w:szCs w:val="15"/>
                <w:color w:val="auto"/>
              </w:rPr>
              <w:t>Other comprehensive (loss) income, net of tax:</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foreign currency translation adjustments: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1,514</w:t>
            </w:r>
          </w:p>
        </w:tc>
      </w:tr>
      <w:tr>
        <w:trPr>
          <w:trHeight w:val="178"/>
        </w:trPr>
        <w:tc>
          <w:tcPr>
            <w:tcW w:w="5040" w:type="dxa"/>
            <w:vAlign w:val="bottom"/>
          </w:tcPr>
          <w:p>
            <w:pPr>
              <w:ind w:left="20"/>
              <w:spacing w:after="0"/>
              <w:rPr>
                <w:sz w:val="20"/>
                <w:szCs w:val="20"/>
                <w:color w:val="auto"/>
              </w:rPr>
            </w:pPr>
            <w:r>
              <w:rPr>
                <w:rFonts w:ascii="Arial" w:cs="Arial" w:eastAsia="Arial" w:hAnsi="Arial"/>
                <w:sz w:val="15"/>
                <w:szCs w:val="15"/>
                <w:color w:val="auto"/>
              </w:rPr>
              <w:t>Change in available-for-sale debt securities: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gain from available-for-sale debt securities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0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Loss from impairment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r>
      <w:tr>
        <w:trPr>
          <w:trHeight w:val="196"/>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net changes in available-for-sale debt securities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198"/>
        </w:trPr>
        <w:tc>
          <w:tcPr>
            <w:tcW w:w="5040" w:type="dxa"/>
            <w:vAlign w:val="bottom"/>
          </w:tcPr>
          <w:p>
            <w:pPr>
              <w:ind w:left="20"/>
              <w:spacing w:after="0"/>
              <w:rPr>
                <w:sz w:val="20"/>
                <w:szCs w:val="20"/>
                <w:color w:val="auto"/>
              </w:rPr>
            </w:pPr>
            <w:r>
              <w:rPr>
                <w:rFonts w:ascii="Arial" w:cs="Arial" w:eastAsia="Arial" w:hAnsi="Arial"/>
                <w:sz w:val="15"/>
                <w:szCs w:val="15"/>
                <w:color w:val="auto"/>
              </w:rPr>
              <w:t>Change in unrealized gain (loss) on cash flow hedges: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(loss) gain on interest rate cap and swaps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(9,738)</w:t>
            </w:r>
          </w:p>
        </w:tc>
      </w:tr>
      <w:tr>
        <w:trPr>
          <w:trHeight w:val="165"/>
        </w:trPr>
        <w:tc>
          <w:tcPr>
            <w:tcW w:w="5040" w:type="dxa"/>
            <w:vAlign w:val="bottom"/>
          </w:tcPr>
          <w:p>
            <w:pPr>
              <w:ind w:left="320"/>
              <w:spacing w:after="0" w:line="165" w:lineRule="exact"/>
              <w:rPr>
                <w:sz w:val="20"/>
                <w:szCs w:val="20"/>
                <w:color w:val="auto"/>
              </w:rPr>
            </w:pPr>
            <w:r>
              <w:rPr>
                <w:rFonts w:ascii="Arial" w:cs="Arial" w:eastAsia="Arial" w:hAnsi="Arial"/>
                <w:sz w:val="15"/>
                <w:szCs w:val="15"/>
                <w:color w:val="auto"/>
              </w:rPr>
              <w:t>Reclassification of prior hedge effectiveness and losses from interest</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3"/>
        </w:trPr>
        <w:tc>
          <w:tcPr>
            <w:tcW w:w="5040" w:type="dxa"/>
            <w:vAlign w:val="bottom"/>
          </w:tcPr>
          <w:p>
            <w:pPr>
              <w:ind w:left="620"/>
              <w:spacing w:after="0"/>
              <w:rPr>
                <w:sz w:val="20"/>
                <w:szCs w:val="20"/>
                <w:color w:val="auto"/>
              </w:rPr>
            </w:pPr>
            <w:r>
              <w:rPr>
                <w:rFonts w:ascii="Arial" w:cs="Arial" w:eastAsia="Arial" w:hAnsi="Arial"/>
                <w:sz w:val="15"/>
                <w:szCs w:val="15"/>
                <w:color w:val="auto"/>
              </w:rPr>
              <w:t>rate cap and swaps to net (loss) income</w:t>
            </w: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2,315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1,791</w:t>
            </w:r>
          </w:p>
        </w:tc>
      </w:tr>
      <w:tr>
        <w:trPr>
          <w:trHeight w:val="168"/>
        </w:trPr>
        <w:tc>
          <w:tcPr>
            <w:tcW w:w="5040" w:type="dxa"/>
            <w:vAlign w:val="bottom"/>
            <w:shd w:val="clear" w:color="auto" w:fill="CCEEFF"/>
          </w:tcPr>
          <w:p>
            <w:pPr>
              <w:ind w:left="320"/>
              <w:spacing w:after="0" w:line="168" w:lineRule="exact"/>
              <w:rPr>
                <w:sz w:val="20"/>
                <w:szCs w:val="20"/>
                <w:color w:val="auto"/>
              </w:rPr>
            </w:pPr>
            <w:r>
              <w:rPr>
                <w:rFonts w:ascii="Arial" w:cs="Arial" w:eastAsia="Arial" w:hAnsi="Arial"/>
                <w:sz w:val="15"/>
                <w:szCs w:val="15"/>
                <w:color w:val="auto"/>
              </w:rPr>
              <w:t>Reclassification to net (loss) income upon discontinuance of interest</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3"/>
        </w:trPr>
        <w:tc>
          <w:tcPr>
            <w:tcW w:w="50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rate swaps and prior hedge effectiveness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5040" w:type="dxa"/>
            <w:vAlign w:val="bottom"/>
          </w:tcPr>
          <w:p>
            <w:pPr>
              <w:ind w:left="320"/>
              <w:spacing w:after="0"/>
              <w:rPr>
                <w:sz w:val="20"/>
                <w:szCs w:val="20"/>
                <w:color w:val="auto"/>
              </w:rPr>
            </w:pPr>
            <w:r>
              <w:rPr>
                <w:rFonts w:ascii="Arial" w:cs="Arial" w:eastAsia="Arial" w:hAnsi="Arial"/>
                <w:sz w:val="15"/>
                <w:szCs w:val="15"/>
                <w:color w:val="auto"/>
              </w:rPr>
              <w:t>Total net changes in cash flow hedges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6,392</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11,058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(7,947)</w:t>
            </w:r>
          </w:p>
        </w:tc>
      </w:tr>
      <w:tr>
        <w:trPr>
          <w:trHeight w:val="201"/>
        </w:trPr>
        <w:tc>
          <w:tcPr>
            <w:tcW w:w="50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other comprehensive income (loss)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(6,527)</w:t>
            </w:r>
          </w:p>
        </w:tc>
      </w:tr>
      <w:tr>
        <w:trPr>
          <w:trHeight w:val="196"/>
        </w:trPr>
        <w:tc>
          <w:tcPr>
            <w:tcW w:w="5040" w:type="dxa"/>
            <w:vAlign w:val="bottom"/>
          </w:tcPr>
          <w:p>
            <w:pPr>
              <w:ind w:left="620"/>
              <w:spacing w:after="0"/>
              <w:rPr>
                <w:sz w:val="20"/>
                <w:szCs w:val="20"/>
                <w:color w:val="auto"/>
              </w:rPr>
            </w:pPr>
            <w:r>
              <w:rPr>
                <w:rFonts w:ascii="Arial" w:cs="Arial" w:eastAsia="Arial" w:hAnsi="Arial"/>
                <w:sz w:val="15"/>
                <w:szCs w:val="15"/>
                <w:color w:val="auto"/>
              </w:rPr>
              <w:t>Total comprehensive (loss) income</w:t>
            </w: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(31,759)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8,802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(6,052)</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Statements of Redeemable Convertible Preferred Stock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Stockholders’ Equity (Deficit)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000" w:type="dxa"/>
            <w:vAlign w:val="bottom"/>
            <w:gridSpan w:val="3"/>
          </w:tcPr>
          <w:p>
            <w:pPr>
              <w:jc w:val="center"/>
              <w:ind w:left="550"/>
              <w:spacing w:after="0"/>
              <w:rPr>
                <w:sz w:val="20"/>
                <w:szCs w:val="20"/>
                <w:color w:val="auto"/>
              </w:rPr>
            </w:pPr>
            <w:r>
              <w:rPr>
                <w:rFonts w:ascii="Arial" w:cs="Arial" w:eastAsia="Arial" w:hAnsi="Arial"/>
                <w:sz w:val="10"/>
                <w:szCs w:val="10"/>
                <w:b w:val="1"/>
                <w:bCs w:val="1"/>
                <w:color w:val="auto"/>
                <w:w w:val="99"/>
              </w:rPr>
              <w:t>Series A</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820" w:type="dxa"/>
            <w:vAlign w:val="bottom"/>
          </w:tcPr>
          <w:p>
            <w:pPr>
              <w:spacing w:after="0"/>
              <w:rPr>
                <w:sz w:val="8"/>
                <w:szCs w:val="8"/>
                <w:color w:val="auto"/>
              </w:rPr>
            </w:pPr>
          </w:p>
        </w:tc>
        <w:tc>
          <w:tcPr>
            <w:tcW w:w="1660" w:type="dxa"/>
            <w:vAlign w:val="bottom"/>
            <w:gridSpan w:val="5"/>
          </w:tcPr>
          <w:p>
            <w:pPr>
              <w:jc w:val="center"/>
              <w:ind w:right="80"/>
              <w:spacing w:after="0" w:line="101" w:lineRule="exact"/>
              <w:rPr>
                <w:sz w:val="20"/>
                <w:szCs w:val="20"/>
                <w:color w:val="auto"/>
              </w:rPr>
            </w:pPr>
            <w:r>
              <w:rPr>
                <w:rFonts w:ascii="Arial" w:cs="Arial" w:eastAsia="Arial" w:hAnsi="Arial"/>
                <w:sz w:val="10"/>
                <w:szCs w:val="10"/>
                <w:b w:val="1"/>
                <w:bCs w:val="1"/>
                <w:color w:val="auto"/>
                <w:w w:val="98"/>
              </w:rPr>
              <w:t>Redeemable</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8"/>
              </w:rPr>
              <w:t>Accumulated</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820" w:type="dxa"/>
            <w:vAlign w:val="bottom"/>
          </w:tcPr>
          <w:p>
            <w:pPr>
              <w:spacing w:after="0"/>
              <w:rPr>
                <w:sz w:val="8"/>
                <w:szCs w:val="8"/>
                <w:color w:val="auto"/>
              </w:rPr>
            </w:pPr>
          </w:p>
        </w:tc>
        <w:tc>
          <w:tcPr>
            <w:tcW w:w="1660" w:type="dxa"/>
            <w:vAlign w:val="bottom"/>
            <w:gridSpan w:val="5"/>
          </w:tcPr>
          <w:p>
            <w:pPr>
              <w:jc w:val="center"/>
              <w:ind w:right="80"/>
              <w:spacing w:after="0" w:line="101" w:lineRule="exact"/>
              <w:rPr>
                <w:sz w:val="20"/>
                <w:szCs w:val="20"/>
                <w:color w:val="auto"/>
              </w:rPr>
            </w:pPr>
            <w:r>
              <w:rPr>
                <w:rFonts w:ascii="Arial" w:cs="Arial" w:eastAsia="Arial" w:hAnsi="Arial"/>
                <w:sz w:val="10"/>
                <w:szCs w:val="10"/>
                <w:b w:val="1"/>
                <w:bCs w:val="1"/>
                <w:color w:val="auto"/>
                <w:w w:val="98"/>
              </w:rPr>
              <w:t>Convertible</w:t>
            </w:r>
          </w:p>
        </w:tc>
        <w:tc>
          <w:tcPr>
            <w:tcW w:w="1780" w:type="dxa"/>
            <w:vAlign w:val="bottom"/>
            <w:gridSpan w:val="5"/>
            <w:vMerge w:val="restart"/>
          </w:tcPr>
          <w:p>
            <w:pPr>
              <w:ind w:left="480"/>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8"/>
                <w:szCs w:val="8"/>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8"/>
              </w:rPr>
              <w:t>Additional</w:t>
            </w: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vMerge w:val="restart"/>
          </w:tcPr>
          <w:p>
            <w:pPr>
              <w:jc w:val="center"/>
              <w:ind w:right="11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0"/>
        </w:trPr>
        <w:tc>
          <w:tcPr>
            <w:tcW w:w="2820" w:type="dxa"/>
            <w:vAlign w:val="bottom"/>
          </w:tcPr>
          <w:p>
            <w:pPr>
              <w:spacing w:after="0"/>
              <w:rPr>
                <w:sz w:val="8"/>
                <w:szCs w:val="8"/>
                <w:color w:val="auto"/>
              </w:rPr>
            </w:pPr>
          </w:p>
        </w:tc>
        <w:tc>
          <w:tcPr>
            <w:tcW w:w="1660" w:type="dxa"/>
            <w:vAlign w:val="bottom"/>
            <w:gridSpan w:val="5"/>
          </w:tcPr>
          <w:p>
            <w:pPr>
              <w:jc w:val="center"/>
              <w:ind w:right="80"/>
              <w:spacing w:after="0" w:line="101" w:lineRule="exact"/>
              <w:rPr>
                <w:sz w:val="20"/>
                <w:szCs w:val="20"/>
                <w:color w:val="auto"/>
              </w:rPr>
            </w:pPr>
            <w:r>
              <w:rPr>
                <w:rFonts w:ascii="Arial" w:cs="Arial" w:eastAsia="Arial" w:hAnsi="Arial"/>
                <w:sz w:val="10"/>
                <w:szCs w:val="10"/>
                <w:b w:val="1"/>
                <w:bCs w:val="1"/>
                <w:color w:val="auto"/>
                <w:w w:val="99"/>
              </w:rPr>
              <w:t>Preferred Stock</w:t>
            </w:r>
          </w:p>
        </w:tc>
        <w:tc>
          <w:tcPr>
            <w:tcW w:w="178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tcPr>
          <w:p>
            <w:pPr>
              <w:jc w:val="center"/>
              <w:ind w:right="260"/>
              <w:spacing w:after="0" w:line="101" w:lineRule="exact"/>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8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restart"/>
          </w:tcPr>
          <w:p>
            <w:pPr>
              <w:jc w:val="center"/>
              <w:ind w:right="260"/>
              <w:spacing w:after="0" w:line="101"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01" w:lineRule="exact"/>
              <w:rPr>
                <w:sz w:val="20"/>
                <w:szCs w:val="20"/>
                <w:color w:val="auto"/>
              </w:rPr>
            </w:pPr>
            <w:r>
              <w:rPr>
                <w:rFonts w:ascii="Arial" w:cs="Arial" w:eastAsia="Arial" w:hAnsi="Arial"/>
                <w:sz w:val="10"/>
                <w:szCs w:val="10"/>
                <w:b w:val="1"/>
                <w:bCs w:val="1"/>
                <w:color w:val="auto"/>
                <w:w w:val="98"/>
              </w:rPr>
              <w:t>Accumulated</w:t>
            </w:r>
          </w:p>
        </w:tc>
        <w:tc>
          <w:tcPr>
            <w:tcW w:w="180" w:type="dxa"/>
            <w:vAlign w:val="bottom"/>
          </w:tcPr>
          <w:p>
            <w:pPr>
              <w:spacing w:after="0"/>
              <w:rPr>
                <w:sz w:val="4"/>
                <w:szCs w:val="4"/>
                <w:color w:val="auto"/>
              </w:rPr>
            </w:pPr>
          </w:p>
        </w:tc>
        <w:tc>
          <w:tcPr>
            <w:tcW w:w="1240" w:type="dxa"/>
            <w:vAlign w:val="bottom"/>
            <w:gridSpan w:val="2"/>
            <w:vMerge w:val="restart"/>
          </w:tcPr>
          <w:p>
            <w:pPr>
              <w:jc w:val="center"/>
              <w:ind w:right="280"/>
              <w:spacing w:after="0" w:line="101"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040" w:type="dxa"/>
            <w:vAlign w:val="bottom"/>
            <w:vMerge w:val="restart"/>
          </w:tcPr>
          <w:p>
            <w:pPr>
              <w:jc w:val="center"/>
              <w:ind w:right="90"/>
              <w:spacing w:after="0" w:line="101"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2"/>
                <w:szCs w:val="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Capital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Deficit</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Loss</w:t>
            </w:r>
          </w:p>
        </w:tc>
        <w:tc>
          <w:tcPr>
            <w:tcW w:w="160" w:type="dxa"/>
            <w:vAlign w:val="bottom"/>
          </w:tcPr>
          <w:p>
            <w:pPr>
              <w:spacing w:after="0"/>
              <w:rPr>
                <w:sz w:val="12"/>
                <w:szCs w:val="12"/>
                <w:color w:val="auto"/>
              </w:rPr>
            </w:pPr>
          </w:p>
        </w:tc>
        <w:tc>
          <w:tcPr>
            <w:tcW w:w="1040" w:type="dxa"/>
            <w:vAlign w:val="bottom"/>
          </w:tcPr>
          <w:p>
            <w:pPr>
              <w:jc w:val="center"/>
              <w:ind w:right="90"/>
              <w:spacing w:after="0"/>
              <w:rPr>
                <w:sz w:val="20"/>
                <w:szCs w:val="20"/>
                <w:color w:val="auto"/>
              </w:rPr>
            </w:pPr>
            <w:r>
              <w:rPr>
                <w:rFonts w:ascii="Arial" w:cs="Arial" w:eastAsia="Arial" w:hAnsi="Arial"/>
                <w:sz w:val="10"/>
                <w:szCs w:val="10"/>
                <w:b w:val="1"/>
                <w:bCs w:val="1"/>
                <w:color w:val="auto"/>
                <w:w w:val="99"/>
              </w:rPr>
              <w:t>Equity (Deficit)</w:t>
            </w:r>
          </w:p>
        </w:tc>
        <w:tc>
          <w:tcPr>
            <w:tcW w:w="0" w:type="dxa"/>
            <w:vAlign w:val="bottom"/>
          </w:tcPr>
          <w:p>
            <w:pPr>
              <w:spacing w:after="0"/>
              <w:rPr>
                <w:sz w:val="1"/>
                <w:szCs w:val="1"/>
                <w:color w:val="auto"/>
              </w:rPr>
            </w:pPr>
          </w:p>
        </w:tc>
      </w:tr>
      <w:tr>
        <w:trPr>
          <w:trHeight w:val="130"/>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23,081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70,906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125,037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126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102,417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(639,348)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(13,827)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(550,632)</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Issuance of common stock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0"/>
              <w:spacing w:after="0"/>
              <w:rPr>
                <w:sz w:val="20"/>
                <w:szCs w:val="20"/>
                <w:color w:val="auto"/>
              </w:rPr>
            </w:pPr>
            <w:r>
              <w:rPr>
                <w:rFonts w:ascii="Arial" w:cs="Arial" w:eastAsia="Arial" w:hAnsi="Arial"/>
                <w:sz w:val="10"/>
                <w:szCs w:val="10"/>
                <w:color w:val="auto"/>
              </w:rPr>
              <w:t>244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151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151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Issuance of common stock upon vesting of restricted stock</w:t>
            </w: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awards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27</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2820" w:type="dxa"/>
            <w:vAlign w:val="bottom"/>
          </w:tcPr>
          <w:p>
            <w:pPr>
              <w:ind w:left="20"/>
              <w:spacing w:after="0" w:line="110" w:lineRule="exact"/>
              <w:rPr>
                <w:sz w:val="20"/>
                <w:szCs w:val="20"/>
                <w:color w:val="auto"/>
              </w:rPr>
            </w:pPr>
            <w:r>
              <w:rPr>
                <w:rFonts w:ascii="Arial" w:cs="Arial" w:eastAsia="Arial" w:hAnsi="Arial"/>
                <w:sz w:val="10"/>
                <w:szCs w:val="10"/>
                <w:color w:val="auto"/>
              </w:rPr>
              <w:t>Shares surrendered for settlement of minimum statutory tax</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160"/>
              <w:spacing w:after="0"/>
              <w:rPr>
                <w:sz w:val="20"/>
                <w:szCs w:val="20"/>
                <w:color w:val="auto"/>
              </w:rPr>
            </w:pPr>
            <w:r>
              <w:rPr>
                <w:rFonts w:ascii="Arial" w:cs="Arial" w:eastAsia="Arial" w:hAnsi="Arial"/>
                <w:sz w:val="10"/>
                <w:szCs w:val="10"/>
                <w:color w:val="auto"/>
              </w:rPr>
              <w:t>withholdings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3,799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3,799</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Net interest and repayment of full recourse notes receivables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Special dividends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60" w:type="dxa"/>
            <w:vAlign w:val="bottom"/>
          </w:tcPr>
          <w:p>
            <w:pPr>
              <w:jc w:val="right"/>
              <w:ind w:right="10"/>
              <w:spacing w:after="0"/>
              <w:rPr>
                <w:sz w:val="20"/>
                <w:szCs w:val="20"/>
                <w:color w:val="auto"/>
              </w:rPr>
            </w:pPr>
            <w:r>
              <w:rPr>
                <w:rFonts w:ascii="Arial" w:cs="Arial" w:eastAsia="Arial" w:hAnsi="Arial"/>
                <w:sz w:val="10"/>
                <w:szCs w:val="10"/>
                <w:color w:val="auto"/>
              </w:rPr>
              <w:t>2,964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2,964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(9,823)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(9,823)</w:t>
            </w:r>
          </w:p>
        </w:tc>
        <w:tc>
          <w:tcPr>
            <w:tcW w:w="0" w:type="dxa"/>
            <w:vAlign w:val="bottom"/>
          </w:tcPr>
          <w:p>
            <w:pPr>
              <w:spacing w:after="0"/>
              <w:rPr>
                <w:sz w:val="1"/>
                <w:szCs w:val="1"/>
                <w:color w:val="auto"/>
              </w:rPr>
            </w:pPr>
          </w:p>
        </w:tc>
      </w:tr>
      <w:tr>
        <w:trPr>
          <w:trHeight w:val="123"/>
        </w:trPr>
        <w:tc>
          <w:tcPr>
            <w:tcW w:w="2820" w:type="dxa"/>
            <w:vAlign w:val="bottom"/>
          </w:tcPr>
          <w:p>
            <w:pPr>
              <w:ind w:left="20"/>
              <w:spacing w:after="0"/>
              <w:rPr>
                <w:sz w:val="20"/>
                <w:szCs w:val="20"/>
                <w:color w:val="auto"/>
              </w:rPr>
            </w:pPr>
            <w:r>
              <w:rPr>
                <w:rFonts w:ascii="Arial" w:cs="Arial" w:eastAsia="Arial" w:hAnsi="Arial"/>
                <w:sz w:val="10"/>
                <w:szCs w:val="10"/>
                <w:b w:val="1"/>
                <w:bCs w:val="1"/>
                <w:color w:val="auto"/>
              </w:rPr>
              <w:t>Balance at March 31,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23,081</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70,906</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125,299</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126</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106,288</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(649,171)</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(10,863)</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(553,620)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Issuance of common stock upon exercise of stock options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213</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0" w:type="dxa"/>
            <w:vAlign w:val="bottom"/>
          </w:tcPr>
          <w:p>
            <w:pPr>
              <w:spacing w:after="0"/>
              <w:rPr>
                <w:sz w:val="1"/>
                <w:szCs w:val="1"/>
                <w:color w:val="auto"/>
              </w:rPr>
            </w:pPr>
          </w:p>
        </w:tc>
      </w:tr>
      <w:tr>
        <w:trPr>
          <w:trHeight w:val="110"/>
        </w:trPr>
        <w:tc>
          <w:tcPr>
            <w:tcW w:w="2820" w:type="dxa"/>
            <w:vAlign w:val="bottom"/>
          </w:tcPr>
          <w:p>
            <w:pPr>
              <w:ind w:left="20"/>
              <w:spacing w:after="0" w:line="110" w:lineRule="exact"/>
              <w:rPr>
                <w:sz w:val="20"/>
                <w:szCs w:val="20"/>
                <w:color w:val="auto"/>
              </w:rPr>
            </w:pPr>
            <w:r>
              <w:rPr>
                <w:rFonts w:ascii="Arial" w:cs="Arial" w:eastAsia="Arial" w:hAnsi="Arial"/>
                <w:sz w:val="10"/>
                <w:szCs w:val="10"/>
                <w:color w:val="auto"/>
              </w:rPr>
              <w:t>Issuance of common stock upon vesting of restricted stock</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160"/>
              <w:spacing w:after="0"/>
              <w:rPr>
                <w:sz w:val="20"/>
                <w:szCs w:val="20"/>
                <w:color w:val="auto"/>
              </w:rPr>
            </w:pPr>
            <w:r>
              <w:rPr>
                <w:rFonts w:ascii="Arial" w:cs="Arial" w:eastAsia="Arial" w:hAnsi="Arial"/>
                <w:sz w:val="10"/>
                <w:szCs w:val="10"/>
                <w:color w:val="auto"/>
              </w:rPr>
              <w:t>awards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0"/>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Shares surrendered for settlement of minimum statutory tax</w:t>
            </w: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withholdings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(109)</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(109)</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44,810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44,810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Special dividends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60" w:type="dxa"/>
            <w:vAlign w:val="bottom"/>
          </w:tcPr>
          <w:p>
            <w:pPr>
              <w:jc w:val="right"/>
              <w:ind w:right="10"/>
              <w:spacing w:after="0"/>
              <w:rPr>
                <w:sz w:val="20"/>
                <w:szCs w:val="20"/>
                <w:color w:val="auto"/>
              </w:rPr>
            </w:pPr>
            <w:r>
              <w:rPr>
                <w:rFonts w:ascii="Arial" w:cs="Arial" w:eastAsia="Arial" w:hAnsi="Arial"/>
                <w:sz w:val="10"/>
                <w:szCs w:val="10"/>
                <w:color w:val="auto"/>
              </w:rPr>
              <w:t>1,323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1,323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(38,395)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(38,395)</w:t>
            </w:r>
          </w:p>
        </w:tc>
        <w:tc>
          <w:tcPr>
            <w:tcW w:w="0" w:type="dxa"/>
            <w:vAlign w:val="bottom"/>
          </w:tcPr>
          <w:p>
            <w:pPr>
              <w:spacing w:after="0"/>
              <w:rPr>
                <w:sz w:val="1"/>
                <w:szCs w:val="1"/>
                <w:color w:val="auto"/>
              </w:rPr>
            </w:pPr>
          </w:p>
        </w:tc>
      </w:tr>
      <w:tr>
        <w:trPr>
          <w:trHeight w:val="123"/>
        </w:trPr>
        <w:tc>
          <w:tcPr>
            <w:tcW w:w="282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23,081</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70,906</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125,538</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126</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151,109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(687,566)</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(9,540)</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(545,871)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Issuance of common stock upon exercise of stock options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82</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0" w:type="dxa"/>
            <w:vAlign w:val="bottom"/>
          </w:tcPr>
          <w:p>
            <w:pPr>
              <w:spacing w:after="0"/>
              <w:rPr>
                <w:sz w:val="1"/>
                <w:szCs w:val="1"/>
                <w:color w:val="auto"/>
              </w:rPr>
            </w:pPr>
          </w:p>
        </w:tc>
      </w:tr>
      <w:tr>
        <w:trPr>
          <w:trHeight w:val="110"/>
        </w:trPr>
        <w:tc>
          <w:tcPr>
            <w:tcW w:w="2820" w:type="dxa"/>
            <w:vAlign w:val="bottom"/>
          </w:tcPr>
          <w:p>
            <w:pPr>
              <w:ind w:left="20"/>
              <w:spacing w:after="0" w:line="110" w:lineRule="exact"/>
              <w:rPr>
                <w:sz w:val="20"/>
                <w:szCs w:val="20"/>
                <w:color w:val="auto"/>
              </w:rPr>
            </w:pPr>
            <w:r>
              <w:rPr>
                <w:rFonts w:ascii="Arial" w:cs="Arial" w:eastAsia="Arial" w:hAnsi="Arial"/>
                <w:sz w:val="10"/>
                <w:szCs w:val="10"/>
                <w:color w:val="auto"/>
              </w:rPr>
              <w:t>Issuance of common stock upon vesting of restricted stock</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160"/>
              <w:spacing w:after="0"/>
              <w:rPr>
                <w:sz w:val="20"/>
                <w:szCs w:val="20"/>
                <w:color w:val="auto"/>
              </w:rPr>
            </w:pPr>
            <w:r>
              <w:rPr>
                <w:rFonts w:ascii="Arial" w:cs="Arial" w:eastAsia="Arial" w:hAnsi="Arial"/>
                <w:sz w:val="10"/>
                <w:szCs w:val="10"/>
                <w:color w:val="auto"/>
              </w:rPr>
              <w:t>awards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0"/>
              <w:spacing w:after="0"/>
              <w:rPr>
                <w:sz w:val="20"/>
                <w:szCs w:val="20"/>
                <w:color w:val="auto"/>
              </w:rPr>
            </w:pPr>
            <w:r>
              <w:rPr>
                <w:rFonts w:ascii="Arial" w:cs="Arial" w:eastAsia="Arial" w:hAnsi="Arial"/>
                <w:sz w:val="10"/>
                <w:szCs w:val="10"/>
                <w:color w:val="auto"/>
              </w:rPr>
              <w:t>112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Shares surrendered for settlement of minimum statutory tax</w:t>
            </w: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withholdings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(1,669)</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(1,669)</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38,150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38,150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Conversion of redeemable convertible preferred stock to</w:t>
            </w: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common stock in connection with initial public offering</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(23,081)</w:t>
            </w: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(70,906)</w:t>
            </w:r>
          </w:p>
        </w:tc>
        <w:tc>
          <w:tcPr>
            <w:tcW w:w="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46,162</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46</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70,859</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70,905</w:t>
            </w:r>
          </w:p>
        </w:tc>
        <w:tc>
          <w:tcPr>
            <w:tcW w:w="0" w:type="dxa"/>
            <w:vAlign w:val="bottom"/>
          </w:tcPr>
          <w:p>
            <w:pPr>
              <w:spacing w:after="0"/>
              <w:rPr>
                <w:sz w:val="1"/>
                <w:szCs w:val="1"/>
                <w:color w:val="auto"/>
              </w:rPr>
            </w:pPr>
          </w:p>
        </w:tc>
      </w:tr>
      <w:tr>
        <w:trPr>
          <w:trHeight w:val="110"/>
        </w:trPr>
        <w:tc>
          <w:tcPr>
            <w:tcW w:w="2820" w:type="dxa"/>
            <w:vAlign w:val="bottom"/>
          </w:tcPr>
          <w:p>
            <w:pPr>
              <w:ind w:left="20"/>
              <w:spacing w:after="0" w:line="110" w:lineRule="exact"/>
              <w:rPr>
                <w:sz w:val="20"/>
                <w:szCs w:val="20"/>
                <w:color w:val="auto"/>
              </w:rPr>
            </w:pPr>
            <w:r>
              <w:rPr>
                <w:rFonts w:ascii="Arial" w:cs="Arial" w:eastAsia="Arial" w:hAnsi="Arial"/>
                <w:sz w:val="10"/>
                <w:szCs w:val="10"/>
                <w:color w:val="auto"/>
              </w:rPr>
              <w:t>Issuance of common stock in connection with initial public</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160"/>
              <w:spacing w:after="0"/>
              <w:rPr>
                <w:sz w:val="20"/>
                <w:szCs w:val="20"/>
                <w:color w:val="auto"/>
              </w:rPr>
            </w:pPr>
            <w:r>
              <w:rPr>
                <w:rFonts w:ascii="Arial" w:cs="Arial" w:eastAsia="Arial" w:hAnsi="Arial"/>
                <w:sz w:val="10"/>
                <w:szCs w:val="10"/>
                <w:color w:val="auto"/>
              </w:rPr>
              <w:t>offering, net of underwriting discounts and commissions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0"/>
              <w:spacing w:after="0"/>
              <w:rPr>
                <w:sz w:val="20"/>
                <w:szCs w:val="20"/>
                <w:color w:val="auto"/>
              </w:rPr>
            </w:pPr>
            <w:r>
              <w:rPr>
                <w:rFonts w:ascii="Arial" w:cs="Arial" w:eastAsia="Arial" w:hAnsi="Arial"/>
                <w:sz w:val="10"/>
                <w:szCs w:val="10"/>
                <w:color w:val="auto"/>
              </w:rPr>
              <w:t>21,989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0"/>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581,811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581,833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Private placement of common stock, net of underwriting</w:t>
            </w: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discounts and commissions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3,214</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3</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85,047</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85,050</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Deferred offering costs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(5,636)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(5,636)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Special dividends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7,916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7,916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(39,675)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(39,675)</w:t>
            </w: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rPr>
                <w:sz w:val="20"/>
                <w:szCs w:val="20"/>
                <w:color w:val="auto"/>
              </w:rPr>
            </w:pPr>
            <w:r>
              <w:rPr>
                <w:rFonts w:ascii="Arial" w:cs="Arial" w:eastAsia="Arial" w:hAnsi="Arial"/>
                <w:sz w:val="10"/>
                <w:szCs w:val="10"/>
                <w:b w:val="1"/>
                <w:bCs w:val="1"/>
                <w:color w:val="auto"/>
              </w:rPr>
              <w:t>Balance at September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197,048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197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919,712</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(727,241)</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(1,624)</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191,044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Statements of Redeemable Convertible Preferred Stock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Stockholders’ Equity (Deficit)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000" w:type="dxa"/>
            <w:vAlign w:val="bottom"/>
            <w:gridSpan w:val="3"/>
          </w:tcPr>
          <w:p>
            <w:pPr>
              <w:jc w:val="center"/>
              <w:ind w:left="550"/>
              <w:spacing w:after="0"/>
              <w:rPr>
                <w:sz w:val="20"/>
                <w:szCs w:val="20"/>
                <w:color w:val="auto"/>
              </w:rPr>
            </w:pPr>
            <w:r>
              <w:rPr>
                <w:rFonts w:ascii="Arial" w:cs="Arial" w:eastAsia="Arial" w:hAnsi="Arial"/>
                <w:sz w:val="10"/>
                <w:szCs w:val="10"/>
                <w:b w:val="1"/>
                <w:bCs w:val="1"/>
                <w:color w:val="auto"/>
                <w:w w:val="99"/>
              </w:rPr>
              <w:t>Series A</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840" w:type="dxa"/>
            <w:vAlign w:val="bottom"/>
          </w:tcPr>
          <w:p>
            <w:pPr>
              <w:spacing w:after="0"/>
              <w:rPr>
                <w:sz w:val="8"/>
                <w:szCs w:val="8"/>
                <w:color w:val="auto"/>
              </w:rPr>
            </w:pPr>
          </w:p>
        </w:tc>
        <w:tc>
          <w:tcPr>
            <w:tcW w:w="1680" w:type="dxa"/>
            <w:vAlign w:val="bottom"/>
            <w:gridSpan w:val="5"/>
          </w:tcPr>
          <w:p>
            <w:pPr>
              <w:jc w:val="center"/>
              <w:ind w:right="80"/>
              <w:spacing w:after="0" w:line="101" w:lineRule="exact"/>
              <w:rPr>
                <w:sz w:val="20"/>
                <w:szCs w:val="20"/>
                <w:color w:val="auto"/>
              </w:rPr>
            </w:pPr>
            <w:r>
              <w:rPr>
                <w:rFonts w:ascii="Arial" w:cs="Arial" w:eastAsia="Arial" w:hAnsi="Arial"/>
                <w:sz w:val="10"/>
                <w:szCs w:val="10"/>
                <w:b w:val="1"/>
                <w:bCs w:val="1"/>
                <w:color w:val="auto"/>
              </w:rPr>
              <w:t>Redeemable</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840" w:type="dxa"/>
            <w:vAlign w:val="bottom"/>
          </w:tcPr>
          <w:p>
            <w:pPr>
              <w:spacing w:after="0"/>
              <w:rPr>
                <w:sz w:val="8"/>
                <w:szCs w:val="8"/>
                <w:color w:val="auto"/>
              </w:rPr>
            </w:pPr>
          </w:p>
        </w:tc>
        <w:tc>
          <w:tcPr>
            <w:tcW w:w="1680" w:type="dxa"/>
            <w:vAlign w:val="bottom"/>
            <w:gridSpan w:val="5"/>
          </w:tcPr>
          <w:p>
            <w:pPr>
              <w:jc w:val="center"/>
              <w:ind w:right="80"/>
              <w:spacing w:after="0" w:line="101" w:lineRule="exact"/>
              <w:rPr>
                <w:sz w:val="20"/>
                <w:szCs w:val="20"/>
                <w:color w:val="auto"/>
              </w:rPr>
            </w:pPr>
            <w:r>
              <w:rPr>
                <w:rFonts w:ascii="Arial" w:cs="Arial" w:eastAsia="Arial" w:hAnsi="Arial"/>
                <w:sz w:val="10"/>
                <w:szCs w:val="10"/>
                <w:b w:val="1"/>
                <w:bCs w:val="1"/>
                <w:color w:val="auto"/>
              </w:rPr>
              <w:t>Convertible</w:t>
            </w:r>
          </w:p>
        </w:tc>
        <w:tc>
          <w:tcPr>
            <w:tcW w:w="1780" w:type="dxa"/>
            <w:vAlign w:val="bottom"/>
            <w:gridSpan w:val="5"/>
            <w:vMerge w:val="restart"/>
          </w:tcPr>
          <w:p>
            <w:pPr>
              <w:ind w:left="48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8"/>
                <w:szCs w:val="8"/>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8"/>
              </w:rPr>
              <w:t>Additional</w:t>
            </w: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0"/>
        </w:trPr>
        <w:tc>
          <w:tcPr>
            <w:tcW w:w="2840" w:type="dxa"/>
            <w:vAlign w:val="bottom"/>
          </w:tcPr>
          <w:p>
            <w:pPr>
              <w:spacing w:after="0"/>
              <w:rPr>
                <w:sz w:val="8"/>
                <w:szCs w:val="8"/>
                <w:color w:val="auto"/>
              </w:rPr>
            </w:pPr>
          </w:p>
        </w:tc>
        <w:tc>
          <w:tcPr>
            <w:tcW w:w="1680" w:type="dxa"/>
            <w:vAlign w:val="bottom"/>
            <w:gridSpan w:val="5"/>
          </w:tcPr>
          <w:p>
            <w:pPr>
              <w:jc w:val="center"/>
              <w:ind w:right="80"/>
              <w:spacing w:after="0" w:line="101" w:lineRule="exact"/>
              <w:rPr>
                <w:sz w:val="20"/>
                <w:szCs w:val="20"/>
                <w:color w:val="auto"/>
              </w:rPr>
            </w:pPr>
            <w:r>
              <w:rPr>
                <w:rFonts w:ascii="Arial" w:cs="Arial" w:eastAsia="Arial" w:hAnsi="Arial"/>
                <w:sz w:val="10"/>
                <w:szCs w:val="10"/>
                <w:b w:val="1"/>
                <w:bCs w:val="1"/>
                <w:color w:val="auto"/>
              </w:rPr>
              <w:t>Preferred Stock</w:t>
            </w:r>
          </w:p>
        </w:tc>
        <w:tc>
          <w:tcPr>
            <w:tcW w:w="17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tcPr>
          <w:p>
            <w:pPr>
              <w:jc w:val="center"/>
              <w:ind w:right="280"/>
              <w:spacing w:after="0" w:line="101"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8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01" w:lineRule="exact"/>
              <w:rPr>
                <w:sz w:val="20"/>
                <w:szCs w:val="20"/>
                <w:color w:val="auto"/>
              </w:rPr>
            </w:pPr>
            <w:r>
              <w:rPr>
                <w:rFonts w:ascii="Arial" w:cs="Arial" w:eastAsia="Arial" w:hAnsi="Arial"/>
                <w:sz w:val="10"/>
                <w:szCs w:val="10"/>
                <w:b w:val="1"/>
                <w:bCs w:val="1"/>
                <w:color w:val="auto"/>
                <w:w w:val="95"/>
              </w:rPr>
              <w:t>Paid-In</w:t>
            </w:r>
          </w:p>
        </w:tc>
        <w:tc>
          <w:tcPr>
            <w:tcW w:w="180" w:type="dxa"/>
            <w:vAlign w:val="bottom"/>
          </w:tcPr>
          <w:p>
            <w:pPr>
              <w:spacing w:after="0"/>
              <w:rPr>
                <w:sz w:val="4"/>
                <w:szCs w:val="4"/>
                <w:color w:val="auto"/>
              </w:rPr>
            </w:pPr>
          </w:p>
        </w:tc>
        <w:tc>
          <w:tcPr>
            <w:tcW w:w="1060" w:type="dxa"/>
            <w:vAlign w:val="bottom"/>
            <w:gridSpan w:val="2"/>
            <w:vMerge w:val="restart"/>
          </w:tcPr>
          <w:p>
            <w:pPr>
              <w:jc w:val="center"/>
              <w:ind w:right="260"/>
              <w:spacing w:after="0" w:line="101" w:lineRule="exact"/>
              <w:rPr>
                <w:sz w:val="20"/>
                <w:szCs w:val="20"/>
                <w:color w:val="auto"/>
              </w:rPr>
            </w:pPr>
            <w:r>
              <w:rPr>
                <w:rFonts w:ascii="Arial" w:cs="Arial" w:eastAsia="Arial" w:hAnsi="Arial"/>
                <w:sz w:val="10"/>
                <w:szCs w:val="10"/>
                <w:b w:val="1"/>
                <w:bCs w:val="1"/>
                <w:color w:val="auto"/>
              </w:rPr>
              <w:t>Accumulated</w:t>
            </w:r>
          </w:p>
        </w:tc>
        <w:tc>
          <w:tcPr>
            <w:tcW w:w="200" w:type="dxa"/>
            <w:vAlign w:val="bottom"/>
          </w:tcPr>
          <w:p>
            <w:pPr>
              <w:spacing w:after="0"/>
              <w:rPr>
                <w:sz w:val="4"/>
                <w:szCs w:val="4"/>
                <w:color w:val="auto"/>
              </w:rPr>
            </w:pPr>
          </w:p>
        </w:tc>
        <w:tc>
          <w:tcPr>
            <w:tcW w:w="1280" w:type="dxa"/>
            <w:vAlign w:val="bottom"/>
            <w:gridSpan w:val="2"/>
            <w:vMerge w:val="restart"/>
          </w:tcPr>
          <w:p>
            <w:pPr>
              <w:jc w:val="center"/>
              <w:ind w:right="280"/>
              <w:spacing w:after="0" w:line="101"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020" w:type="dxa"/>
            <w:vAlign w:val="bottom"/>
            <w:vMerge w:val="restart"/>
          </w:tcPr>
          <w:p>
            <w:pPr>
              <w:jc w:val="center"/>
              <w:ind w:right="110"/>
              <w:spacing w:after="0" w:line="101"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88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2"/>
                <w:szCs w:val="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Capital</w:t>
            </w:r>
          </w:p>
        </w:tc>
        <w:tc>
          <w:tcPr>
            <w:tcW w:w="1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Deficit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Loss</w:t>
            </w:r>
          </w:p>
        </w:tc>
        <w:tc>
          <w:tcPr>
            <w:tcW w:w="160" w:type="dxa"/>
            <w:vAlign w:val="bottom"/>
          </w:tcPr>
          <w:p>
            <w:pPr>
              <w:spacing w:after="0"/>
              <w:rPr>
                <w:sz w:val="12"/>
                <w:szCs w:val="12"/>
                <w:color w:val="auto"/>
              </w:rPr>
            </w:pPr>
          </w:p>
        </w:tc>
        <w:tc>
          <w:tcPr>
            <w:tcW w:w="1020" w:type="dxa"/>
            <w:vAlign w:val="bottom"/>
          </w:tcPr>
          <w:p>
            <w:pPr>
              <w:jc w:val="center"/>
              <w:ind w:right="110"/>
              <w:spacing w:after="0"/>
              <w:rPr>
                <w:sz w:val="20"/>
                <w:szCs w:val="20"/>
                <w:color w:val="auto"/>
              </w:rPr>
            </w:pPr>
            <w:r>
              <w:rPr>
                <w:rFonts w:ascii="Arial" w:cs="Arial" w:eastAsia="Arial" w:hAnsi="Arial"/>
                <w:sz w:val="10"/>
                <w:szCs w:val="10"/>
                <w:b w:val="1"/>
                <w:bCs w:val="1"/>
                <w:color w:val="auto"/>
                <w:w w:val="98"/>
              </w:rPr>
              <w:t>Deficit</w:t>
            </w:r>
          </w:p>
        </w:tc>
        <w:tc>
          <w:tcPr>
            <w:tcW w:w="0" w:type="dxa"/>
            <w:vAlign w:val="bottom"/>
          </w:tcPr>
          <w:p>
            <w:pPr>
              <w:spacing w:after="0"/>
              <w:rPr>
                <w:sz w:val="1"/>
                <w:szCs w:val="1"/>
                <w:color w:val="auto"/>
              </w:rPr>
            </w:pPr>
          </w:p>
        </w:tc>
      </w:tr>
      <w:tr>
        <w:trPr>
          <w:trHeight w:val="130"/>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2019</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23,081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70,906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124,382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92,916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(644,305)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(5,727)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(556,991)</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Issuance of common stock upon exercise of stock options</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410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158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4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Issuance of common stock upon vesting of restricted stock</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awards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2840" w:type="dxa"/>
            <w:vAlign w:val="bottom"/>
          </w:tcPr>
          <w:p>
            <w:pPr>
              <w:ind w:left="20"/>
              <w:spacing w:after="0" w:line="110" w:lineRule="exact"/>
              <w:rPr>
                <w:sz w:val="20"/>
                <w:szCs w:val="20"/>
                <w:color w:val="auto"/>
              </w:rPr>
            </w:pPr>
            <w:r>
              <w:rPr>
                <w:rFonts w:ascii="Arial" w:cs="Arial" w:eastAsia="Arial" w:hAnsi="Arial"/>
                <w:sz w:val="10"/>
                <w:szCs w:val="10"/>
                <w:color w:val="auto"/>
              </w:rPr>
              <w:t>Shares surrendered for settlement of minimum statutory tax</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160"/>
              <w:spacing w:after="0"/>
              <w:rPr>
                <w:sz w:val="20"/>
                <w:szCs w:val="20"/>
                <w:color w:val="auto"/>
              </w:rPr>
            </w:pPr>
            <w:r>
              <w:rPr>
                <w:rFonts w:ascii="Arial" w:cs="Arial" w:eastAsia="Arial" w:hAnsi="Arial"/>
                <w:sz w:val="10"/>
                <w:szCs w:val="10"/>
                <w:color w:val="auto"/>
              </w:rPr>
              <w:t>withholdings</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(197)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(2,124)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(2,124)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4,102</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4,102</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Net interest and repayment of full recourse notes receivables</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Special dividends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(73)</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(4,892)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(4,892)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(4,878)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(4,878)</w:t>
            </w:r>
          </w:p>
        </w:tc>
        <w:tc>
          <w:tcPr>
            <w:tcW w:w="0" w:type="dxa"/>
            <w:vAlign w:val="bottom"/>
          </w:tcPr>
          <w:p>
            <w:pPr>
              <w:spacing w:after="0"/>
              <w:rPr>
                <w:sz w:val="1"/>
                <w:szCs w:val="1"/>
                <w:color w:val="auto"/>
              </w:rPr>
            </w:pPr>
          </w:p>
        </w:tc>
      </w:tr>
      <w:tr>
        <w:trPr>
          <w:trHeight w:val="123"/>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Balance at March 31, 2020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23,081</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70,906</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124,731</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125</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94,973</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(649,183)</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(10,619)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(564,704)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Issuance of common stock upon exercise of stock options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110"/>
        </w:trPr>
        <w:tc>
          <w:tcPr>
            <w:tcW w:w="2840" w:type="dxa"/>
            <w:vAlign w:val="bottom"/>
          </w:tcPr>
          <w:p>
            <w:pPr>
              <w:ind w:left="20"/>
              <w:spacing w:after="0" w:line="110" w:lineRule="exact"/>
              <w:rPr>
                <w:sz w:val="20"/>
                <w:szCs w:val="20"/>
                <w:color w:val="auto"/>
              </w:rPr>
            </w:pPr>
            <w:r>
              <w:rPr>
                <w:rFonts w:ascii="Arial" w:cs="Arial" w:eastAsia="Arial" w:hAnsi="Arial"/>
                <w:sz w:val="10"/>
                <w:szCs w:val="10"/>
                <w:color w:val="auto"/>
              </w:rPr>
              <w:t>Issuance of common stock upon vesting of restricted stock</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160"/>
              <w:spacing w:after="0"/>
              <w:rPr>
                <w:sz w:val="20"/>
                <w:szCs w:val="20"/>
                <w:color w:val="auto"/>
              </w:rPr>
            </w:pPr>
            <w:r>
              <w:rPr>
                <w:rFonts w:ascii="Arial" w:cs="Arial" w:eastAsia="Arial" w:hAnsi="Arial"/>
                <w:sz w:val="10"/>
                <w:szCs w:val="10"/>
                <w:color w:val="auto"/>
              </w:rPr>
              <w:t>awards</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4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Shares surrendered for settlement of minimum statutory tax</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withholdings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(865)</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(865)</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3,099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3,099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Special dividends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Notes receivable from shareholder</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(1,025)</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(1,025)</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Net loss</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(4,059)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(4,059)</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June 30,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23,081</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70,906</w:t>
            </w: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124,891</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126</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97,260</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(653,242)</w:t>
            </w:r>
          </w:p>
        </w:tc>
        <w:tc>
          <w:tcPr>
            <w:tcW w:w="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(11,644)</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(567,500)</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Issuance of common stock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0"/>
              <w:spacing w:after="0"/>
              <w:rPr>
                <w:sz w:val="20"/>
                <w:szCs w:val="20"/>
                <w:color w:val="auto"/>
              </w:rPr>
            </w:pPr>
            <w:r>
              <w:rPr>
                <w:rFonts w:ascii="Arial" w:cs="Arial" w:eastAsia="Arial" w:hAnsi="Arial"/>
                <w:sz w:val="10"/>
                <w:szCs w:val="10"/>
                <w:color w:val="auto"/>
              </w:rPr>
              <w:t>140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ind w:right="10"/>
              <w:spacing w:after="0"/>
              <w:rPr>
                <w:sz w:val="20"/>
                <w:szCs w:val="20"/>
                <w:color w:val="auto"/>
              </w:rPr>
            </w:pPr>
            <w:r>
              <w:rPr>
                <w:rFonts w:ascii="Arial" w:cs="Arial" w:eastAsia="Arial" w:hAnsi="Arial"/>
                <w:sz w:val="10"/>
                <w:szCs w:val="10"/>
                <w:color w:val="auto"/>
              </w:rPr>
              <w:t>57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4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Issuance of common stock upon vesting of restricted stock</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awards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54</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2840" w:type="dxa"/>
            <w:vAlign w:val="bottom"/>
          </w:tcPr>
          <w:p>
            <w:pPr>
              <w:ind w:left="20"/>
              <w:spacing w:after="0" w:line="110" w:lineRule="exact"/>
              <w:rPr>
                <w:sz w:val="20"/>
                <w:szCs w:val="20"/>
                <w:color w:val="auto"/>
              </w:rPr>
            </w:pPr>
            <w:r>
              <w:rPr>
                <w:rFonts w:ascii="Arial" w:cs="Arial" w:eastAsia="Arial" w:hAnsi="Arial"/>
                <w:sz w:val="10"/>
                <w:szCs w:val="10"/>
                <w:color w:val="auto"/>
              </w:rPr>
              <w:t>Shares surrendered for settlement of minimum statutory tax</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160"/>
              <w:spacing w:after="0"/>
              <w:rPr>
                <w:sz w:val="20"/>
                <w:szCs w:val="20"/>
                <w:color w:val="auto"/>
              </w:rPr>
            </w:pPr>
            <w:r>
              <w:rPr>
                <w:rFonts w:ascii="Arial" w:cs="Arial" w:eastAsia="Arial" w:hAnsi="Arial"/>
                <w:sz w:val="10"/>
                <w:szCs w:val="10"/>
                <w:color w:val="auto"/>
              </w:rPr>
              <w:t>withholdings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(69)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(683)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(683)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2,724</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2,724</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Special dividends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Notes receivable from shareholder</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(610)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9,412</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9,412</w:t>
            </w:r>
          </w:p>
        </w:tc>
        <w:tc>
          <w:tcPr>
            <w:tcW w:w="0" w:type="dxa"/>
            <w:vAlign w:val="bottom"/>
          </w:tcPr>
          <w:p>
            <w:pPr>
              <w:spacing w:after="0"/>
              <w:rPr>
                <w:sz w:val="1"/>
                <w:szCs w:val="1"/>
                <w:color w:val="auto"/>
              </w:rPr>
            </w:pPr>
          </w:p>
        </w:tc>
      </w:tr>
      <w:tr>
        <w:trPr>
          <w:trHeight w:val="143"/>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Balance at September 30,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23,081</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70,906</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125,016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99,312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(643,830)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(12,254)</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(556,646)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0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r>
      <w:tr>
        <w:trPr>
          <w:trHeight w:val="158"/>
        </w:trPr>
        <w:tc>
          <w:tcPr>
            <w:tcW w:w="8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3"/>
                <w:szCs w:val="13"/>
                <w:color w:val="auto"/>
              </w:rPr>
            </w:pPr>
          </w:p>
        </w:tc>
      </w:tr>
      <w:tr>
        <w:trPr>
          <w:trHeight w:val="148"/>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(87,893)</w:t>
            </w:r>
          </w:p>
        </w:tc>
        <w:tc>
          <w:tcPr>
            <w:tcW w:w="80" w:type="dxa"/>
            <w:vAlign w:val="bottom"/>
          </w:tcPr>
          <w:p>
            <w:pPr>
              <w:spacing w:after="0"/>
              <w:rPr>
                <w:sz w:val="13"/>
                <w:szCs w:val="13"/>
                <w:color w:val="auto"/>
              </w:rPr>
            </w:pPr>
          </w:p>
        </w:tc>
        <w:tc>
          <w:tcPr>
            <w:tcW w:w="960" w:type="dxa"/>
            <w:vAlign w:val="bottom"/>
          </w:tcPr>
          <w:p>
            <w:pPr>
              <w:jc w:val="right"/>
              <w:ind w:right="82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475</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income to net cash provided by operating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11,604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14,162</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of debt issuance costs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1,335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1,943</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Amortization of prior hedge effectiveness</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3,095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2,226</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Stock-based compensation</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86,725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9,890</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Impairment of long-lived assets</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872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555</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Impairment of available-for-sale debt securities</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4,818</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Loss on debt extinguishment</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7,955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Discontinuance of interest rate swaps and write-off of prior hedge effectiveness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8,688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Loss on sale of business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1,764</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income taxes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Change in fair value of financial guarantee</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(1,100)</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 in fair value of derivative instruments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Change in fair value of other equity security</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(1,031)</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Unrealized foreign exchange loss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w:t>
            </w:r>
          </w:p>
        </w:tc>
      </w:tr>
      <w:tr>
        <w:trPr>
          <w:trHeight w:val="155"/>
        </w:trPr>
        <w:tc>
          <w:tcPr>
            <w:tcW w:w="8200" w:type="dxa"/>
            <w:vAlign w:val="bottom"/>
          </w:tcPr>
          <w:p>
            <w:pPr>
              <w:ind w:left="320"/>
              <w:spacing w:after="0"/>
              <w:rPr>
                <w:sz w:val="20"/>
                <w:szCs w:val="20"/>
                <w:color w:val="auto"/>
              </w:rPr>
            </w:pPr>
            <w:r>
              <w:rPr>
                <w:rFonts w:ascii="Arial" w:cs="Arial" w:eastAsia="Arial" w:hAnsi="Arial"/>
                <w:sz w:val="12"/>
                <w:szCs w:val="12"/>
                <w:color w:val="auto"/>
              </w:rPr>
              <w:t>Other</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71"/>
        </w:trPr>
        <w:tc>
          <w:tcPr>
            <w:tcW w:w="8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Changes in operating assets and liabilities, net of effects of disposal of business: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55"/>
        </w:trPr>
        <w:tc>
          <w:tcPr>
            <w:tcW w:w="8200" w:type="dxa"/>
            <w:vAlign w:val="bottom"/>
          </w:tcPr>
          <w:p>
            <w:pPr>
              <w:ind w:left="620"/>
              <w:spacing w:after="0"/>
              <w:rPr>
                <w:sz w:val="20"/>
                <w:szCs w:val="20"/>
                <w:color w:val="auto"/>
              </w:rPr>
            </w:pPr>
            <w:r>
              <w:rPr>
                <w:rFonts w:ascii="Arial" w:cs="Arial" w:eastAsia="Arial" w:hAnsi="Arial"/>
                <w:sz w:val="12"/>
                <w:szCs w:val="12"/>
                <w:color w:val="auto"/>
              </w:rPr>
              <w:t>Accounts receivable</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(3,040)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(2,997)</w:t>
            </w:r>
          </w:p>
        </w:tc>
      </w:tr>
      <w:tr>
        <w:trPr>
          <w:trHeight w:val="171"/>
        </w:trPr>
        <w:tc>
          <w:tcPr>
            <w:tcW w:w="82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Prepaid expenses and other current assets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r>
      <w:tr>
        <w:trPr>
          <w:trHeight w:val="155"/>
        </w:trPr>
        <w:tc>
          <w:tcPr>
            <w:tcW w:w="8200" w:type="dxa"/>
            <w:vAlign w:val="bottom"/>
          </w:tcPr>
          <w:p>
            <w:pPr>
              <w:ind w:left="620"/>
              <w:spacing w:after="0"/>
              <w:rPr>
                <w:sz w:val="20"/>
                <w:szCs w:val="20"/>
                <w:color w:val="auto"/>
              </w:rPr>
            </w:pPr>
            <w:r>
              <w:rPr>
                <w:rFonts w:ascii="Arial" w:cs="Arial" w:eastAsia="Arial" w:hAnsi="Arial"/>
                <w:sz w:val="12"/>
                <w:szCs w:val="12"/>
                <w:color w:val="auto"/>
              </w:rPr>
              <w:t>Other assets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(2,283)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1,102</w:t>
            </w:r>
          </w:p>
        </w:tc>
      </w:tr>
      <w:tr>
        <w:trPr>
          <w:trHeight w:val="171"/>
        </w:trPr>
        <w:tc>
          <w:tcPr>
            <w:tcW w:w="82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Accounts payable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14,635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11,354</w:t>
            </w:r>
          </w:p>
        </w:tc>
      </w:tr>
      <w:tr>
        <w:trPr>
          <w:trHeight w:val="155"/>
        </w:trPr>
        <w:tc>
          <w:tcPr>
            <w:tcW w:w="8200" w:type="dxa"/>
            <w:vAlign w:val="bottom"/>
          </w:tcPr>
          <w:p>
            <w:pPr>
              <w:ind w:left="620"/>
              <w:spacing w:after="0"/>
              <w:rPr>
                <w:sz w:val="20"/>
                <w:szCs w:val="20"/>
                <w:color w:val="auto"/>
              </w:rPr>
            </w:pPr>
            <w:r>
              <w:rPr>
                <w:rFonts w:ascii="Arial" w:cs="Arial" w:eastAsia="Arial" w:hAnsi="Arial"/>
                <w:sz w:val="12"/>
                <w:szCs w:val="12"/>
                <w:color w:val="auto"/>
              </w:rPr>
              <w:t>Accrued expenses and other liabilities</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7,416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4,431</w:t>
            </w:r>
          </w:p>
        </w:tc>
      </w:tr>
      <w:tr>
        <w:trPr>
          <w:trHeight w:val="171"/>
        </w:trPr>
        <w:tc>
          <w:tcPr>
            <w:tcW w:w="82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Income tax payable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56"/>
        </w:trPr>
        <w:tc>
          <w:tcPr>
            <w:tcW w:w="820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Deferred revenue</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23,978</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31,977</w:t>
            </w:r>
          </w:p>
        </w:tc>
      </w:tr>
      <w:tr>
        <w:trPr>
          <w:trHeight w:val="163"/>
        </w:trPr>
        <w:tc>
          <w:tcPr>
            <w:tcW w:w="8200" w:type="dxa"/>
            <w:vAlign w:val="bottom"/>
            <w:shd w:val="clear" w:color="auto" w:fill="CCEEFF"/>
          </w:tcPr>
          <w:p>
            <w:pPr>
              <w:ind w:left="920"/>
              <w:spacing w:after="0"/>
              <w:rPr>
                <w:sz w:val="20"/>
                <w:szCs w:val="20"/>
                <w:color w:val="auto"/>
              </w:rPr>
            </w:pPr>
            <w:r>
              <w:rPr>
                <w:rFonts w:ascii="Arial" w:cs="Arial" w:eastAsia="Arial" w:hAnsi="Arial"/>
                <w:sz w:val="12"/>
                <w:szCs w:val="12"/>
                <w:color w:val="auto"/>
              </w:rPr>
              <w:t>Net cash provided by operating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60,156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82,069</w:t>
            </w:r>
          </w:p>
        </w:tc>
      </w:tr>
      <w:tr>
        <w:trPr>
          <w:trHeight w:val="158"/>
        </w:trPr>
        <w:tc>
          <w:tcPr>
            <w:tcW w:w="820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8"/>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property and equipment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(7,819)</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Payment upon extinguishment of interest rate swaps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(3,283)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 of business, net of cash sold</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w:t>
            </w:r>
          </w:p>
        </w:tc>
      </w:tr>
      <w:tr>
        <w:trPr>
          <w:trHeight w:val="155"/>
        </w:trPr>
        <w:tc>
          <w:tcPr>
            <w:tcW w:w="8200" w:type="dxa"/>
            <w:vAlign w:val="bottom"/>
          </w:tcPr>
          <w:p>
            <w:pPr>
              <w:ind w:left="920"/>
              <w:spacing w:after="0"/>
              <w:rPr>
                <w:sz w:val="20"/>
                <w:szCs w:val="20"/>
                <w:color w:val="auto"/>
              </w:rPr>
            </w:pPr>
            <w:r>
              <w:rPr>
                <w:rFonts w:ascii="Arial" w:cs="Arial" w:eastAsia="Arial" w:hAnsi="Arial"/>
                <w:sz w:val="12"/>
                <w:szCs w:val="12"/>
                <w:color w:val="auto"/>
              </w:rPr>
              <w:t>Net cash used in investing activities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(11,783)</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(9,013)</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Repayment of capital lease obligations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of debt issuance costs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Repayment of 2018 Term Loan</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(524,300)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(4,012)</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2018 Revolving Facility</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Repayment of 2018 Revolving Facility</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(40,000)</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Repayment of hybrid debt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Payment upon extinguishment of hybrid debt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(9,774)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of contingent consideration</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Payment of special dividends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(239)</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issuance of common stock in initial public offering, net of underwriting discounts and commissions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581,833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Proceeds from private placement, net of underwriting discounts and commissions</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85,050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of stock issuance costs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Repurchases of common stock for tax withholding obligations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(1,462)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(3,459)</w:t>
            </w:r>
          </w:p>
        </w:tc>
      </w:tr>
      <w:tr>
        <w:trPr>
          <w:trHeight w:val="164"/>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exercise of stock options, net of cash paid for employee tax withholding</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412</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w:t>
            </w:r>
          </w:p>
        </w:tc>
      </w:tr>
      <w:tr>
        <w:trPr>
          <w:trHeight w:val="155"/>
        </w:trPr>
        <w:tc>
          <w:tcPr>
            <w:tcW w:w="8200" w:type="dxa"/>
            <w:vAlign w:val="bottom"/>
          </w:tcPr>
          <w:p>
            <w:pPr>
              <w:ind w:left="920"/>
              <w:spacing w:after="0"/>
              <w:rPr>
                <w:sz w:val="20"/>
                <w:szCs w:val="20"/>
                <w:color w:val="auto"/>
              </w:rPr>
            </w:pPr>
            <w:r>
              <w:rPr>
                <w:rFonts w:ascii="Arial" w:cs="Arial" w:eastAsia="Arial" w:hAnsi="Arial"/>
                <w:sz w:val="12"/>
                <w:szCs w:val="12"/>
                <w:color w:val="auto"/>
              </w:rPr>
              <w:t>Net cash provided by (used in) financing activities</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122,838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(8,378)</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cash equivalents and restricted cash equivalent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Net increase in cash, cash equivalents and restricted cash equivalent</w:t>
            </w:r>
          </w:p>
        </w:tc>
        <w:tc>
          <w:tcPr>
            <w:tcW w:w="9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171,234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64,589</w:t>
            </w:r>
          </w:p>
        </w:tc>
      </w:tr>
      <w:tr>
        <w:trPr>
          <w:trHeight w:val="164"/>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equivalent, at beginning of the period</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139,470</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74,180</w:t>
            </w:r>
          </w:p>
        </w:tc>
      </w:tr>
      <w:tr>
        <w:trPr>
          <w:trHeight w:val="163"/>
        </w:trPr>
        <w:tc>
          <w:tcPr>
            <w:tcW w:w="820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equivalent, at end of the period</w:t>
            </w:r>
          </w:p>
        </w:tc>
        <w:tc>
          <w:tcPr>
            <w:tcW w:w="920" w:type="dxa"/>
            <w:vAlign w:val="bottom"/>
            <w:tcBorders>
              <w:bottom w:val="single" w:sz="8" w:color="auto"/>
            </w:tcBorders>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310,704</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2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138,769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28"/>
        </w:trPr>
        <w:tc>
          <w:tcPr>
            <w:tcW w:w="82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b w:val="1"/>
                <w:bCs w:val="1"/>
                <w:color w:val="auto"/>
              </w:rPr>
              <w:t>Reconciliation of cash, cash equivalents, and restricted cash equivalent reported in the consolidated balance sheets</w:t>
            </w: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310,704</w:t>
            </w:r>
          </w:p>
        </w:tc>
        <w:tc>
          <w:tcPr>
            <w:tcW w:w="80" w:type="dxa"/>
            <w:vAlign w:val="bottom"/>
          </w:tcPr>
          <w:p>
            <w:pPr>
              <w:spacing w:after="0"/>
              <w:rPr>
                <w:sz w:val="13"/>
                <w:szCs w:val="13"/>
                <w:color w:val="auto"/>
              </w:rPr>
            </w:pPr>
          </w:p>
        </w:tc>
        <w:tc>
          <w:tcPr>
            <w:tcW w:w="960" w:type="dxa"/>
            <w:vAlign w:val="bottom"/>
          </w:tcPr>
          <w:p>
            <w:pPr>
              <w:jc w:val="right"/>
              <w:ind w:right="82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113,769</w:t>
            </w:r>
          </w:p>
        </w:tc>
      </w:tr>
      <w:tr>
        <w:trPr>
          <w:trHeight w:val="164"/>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cash equivalent</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w:t>
            </w:r>
          </w:p>
        </w:tc>
      </w:tr>
      <w:tr>
        <w:trPr>
          <w:trHeight w:val="163"/>
        </w:trPr>
        <w:tc>
          <w:tcPr>
            <w:tcW w:w="8200" w:type="dxa"/>
            <w:vAlign w:val="bottom"/>
          </w:tcPr>
          <w:p>
            <w:pPr>
              <w:ind w:left="20"/>
              <w:spacing w:after="0"/>
              <w:rPr>
                <w:sz w:val="20"/>
                <w:szCs w:val="20"/>
                <w:color w:val="auto"/>
              </w:rPr>
            </w:pPr>
            <w:r>
              <w:rPr>
                <w:rFonts w:ascii="Arial" w:cs="Arial" w:eastAsia="Arial" w:hAnsi="Arial"/>
                <w:sz w:val="12"/>
                <w:szCs w:val="12"/>
                <w:color w:val="auto"/>
              </w:rPr>
              <w:t>Total cash, cash equivalents, and restricted cash equivalent shown in the condensed consolidated statements of cash flows</w:t>
            </w:r>
          </w:p>
        </w:tc>
        <w:tc>
          <w:tcPr>
            <w:tcW w:w="9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310,704</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138,769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28"/>
        </w:trPr>
        <w:tc>
          <w:tcPr>
            <w:tcW w:w="82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b w:val="1"/>
                <w:bCs w:val="1"/>
                <w:color w:val="auto"/>
              </w:rPr>
              <w:t>Non-cash investing and financing activities</w:t>
            </w: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Conversion of Series A redeemable convertible preferred stock into common stock in connection with initial public offering</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70,906</w:t>
            </w:r>
          </w:p>
        </w:tc>
        <w:tc>
          <w:tcPr>
            <w:tcW w:w="80" w:type="dxa"/>
            <w:vAlign w:val="bottom"/>
          </w:tcPr>
          <w:p>
            <w:pPr>
              <w:spacing w:after="0"/>
              <w:rPr>
                <w:sz w:val="13"/>
                <w:szCs w:val="13"/>
                <w:color w:val="auto"/>
              </w:rPr>
            </w:pPr>
          </w:p>
        </w:tc>
        <w:tc>
          <w:tcPr>
            <w:tcW w:w="960" w:type="dxa"/>
            <w:vAlign w:val="bottom"/>
          </w:tcPr>
          <w:p>
            <w:pPr>
              <w:jc w:val="right"/>
              <w:ind w:right="82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property and equipment included in accounts payable and accrued expenses and other current liabilities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r>
      <w:tr>
        <w:trPr>
          <w:trHeight w:val="155"/>
        </w:trPr>
        <w:tc>
          <w:tcPr>
            <w:tcW w:w="8200" w:type="dxa"/>
            <w:vAlign w:val="bottom"/>
          </w:tcPr>
          <w:p>
            <w:pPr>
              <w:ind w:left="20"/>
              <w:spacing w:after="0"/>
              <w:rPr>
                <w:sz w:val="20"/>
                <w:szCs w:val="20"/>
                <w:color w:val="auto"/>
              </w:rPr>
            </w:pPr>
            <w:r>
              <w:rPr>
                <w:rFonts w:ascii="Arial" w:cs="Arial" w:eastAsia="Arial" w:hAnsi="Arial"/>
                <w:sz w:val="12"/>
                <w:szCs w:val="12"/>
                <w:color w:val="auto"/>
              </w:rPr>
              <w:t>Change in fair value of hedged interest rate swaps and interest rate cap</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(5,817)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 of interest rate swaps derivative liability to hybrid debt</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12,345</w:t>
            </w: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Description of Business</w:t>
      </w:r>
    </w:p>
    <w:p>
      <w:pPr>
        <w:spacing w:after="0" w:line="121"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LegalZoom.com, Inc., was initially formed as a California corporation in 1999 and reincorporated as a Delaware corporation in 2007. LegalZoom.com, Inc., and its wholly owned subsidiaries, referred to herein as “we,” “us,” or “our” has its executive headquarters in Glendale, California, its operational headquarters in Austin, Texas and additional locations in Frisco, Texas and London in the United Kingdom, or U.K. We are a provider of services that meet the legal needs of small businesses and consumers. We offer a broad portfolio of legal services through our online legal platform that customers can tailor to their specific needs. In the United States, or U.S., we also offer several subscription services, including legal plans through which businesses and consumers can be connected to an experienced attorney licensed in their jurisdiction, registered agent services, tax and compliance services and unlimited access to our forms library.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Initial Public Offering</w:t>
      </w:r>
    </w:p>
    <w:p>
      <w:pPr>
        <w:spacing w:after="0" w:line="119" w:lineRule="exact"/>
        <w:rPr>
          <w:sz w:val="20"/>
          <w:szCs w:val="20"/>
          <w:color w:val="auto"/>
        </w:rPr>
      </w:pPr>
    </w:p>
    <w:p>
      <w:pPr>
        <w:ind w:right="120" w:firstLine="451"/>
        <w:spacing w:after="0" w:line="245" w:lineRule="auto"/>
        <w:rPr>
          <w:sz w:val="20"/>
          <w:szCs w:val="20"/>
          <w:color w:val="auto"/>
        </w:rPr>
      </w:pPr>
      <w:r>
        <w:rPr>
          <w:rFonts w:ascii="Arial" w:cs="Arial" w:eastAsia="Arial" w:hAnsi="Arial"/>
          <w:sz w:val="15"/>
          <w:szCs w:val="15"/>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96" w:lineRule="exact"/>
        <w:rPr>
          <w:sz w:val="20"/>
          <w:szCs w:val="20"/>
          <w:color w:val="auto"/>
        </w:rPr>
      </w:pPr>
    </w:p>
    <w:p>
      <w:pPr>
        <w:ind w:right="40" w:firstLine="451"/>
        <w:spacing w:after="0" w:line="247" w:lineRule="auto"/>
        <w:rPr>
          <w:sz w:val="20"/>
          <w:szCs w:val="20"/>
          <w:color w:val="auto"/>
        </w:rPr>
      </w:pPr>
      <w:r>
        <w:rPr>
          <w:rFonts w:ascii="Arial" w:cs="Arial" w:eastAsia="Arial" w:hAnsi="Arial"/>
          <w:sz w:val="15"/>
          <w:szCs w:val="15"/>
          <w:color w:val="auto"/>
        </w:rPr>
        <w:t>Upon the completion of our IPO, 23,081,080 outstanding shares of redeemable convertible preferred stock with a carrying value of $70.9 million converted into an aggregate of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40" w:firstLine="451"/>
        <w:spacing w:after="0" w:line="245"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generally accepted accounting principles in the U.S.,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2020 and the related notes thereto, which are included in our Prospectus. The December 31, 2020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and nine months ended September 30, 2021 from those disclosed in the annual consolidated financial statements for the year ended December 31, 2020 and the related notes.</w:t>
      </w:r>
    </w:p>
    <w:p>
      <w:pPr>
        <w:spacing w:after="0" w:line="96" w:lineRule="exact"/>
        <w:rPr>
          <w:sz w:val="20"/>
          <w:szCs w:val="20"/>
          <w:color w:val="auto"/>
        </w:rPr>
      </w:pPr>
    </w:p>
    <w:p>
      <w:pPr>
        <w:ind w:right="440" w:firstLine="451"/>
        <w:spacing w:after="0" w:line="254" w:lineRule="auto"/>
        <w:rPr>
          <w:sz w:val="20"/>
          <w:szCs w:val="20"/>
          <w:color w:val="auto"/>
        </w:rPr>
      </w:pPr>
      <w:r>
        <w:rPr>
          <w:rFonts w:ascii="Arial" w:cs="Arial" w:eastAsia="Arial" w:hAnsi="Arial"/>
          <w:sz w:val="15"/>
          <w:szCs w:val="15"/>
          <w:color w:val="auto"/>
        </w:rPr>
        <w:t>The operating results for the three and nine months ended September 30, 2021 are not necessarily indicative of the results expected for the full year ending December 31, 2021.</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Segment Reporting and Geographic Information</w:t>
      </w:r>
    </w:p>
    <w:p>
      <w:pPr>
        <w:spacing w:after="0" w:line="119" w:lineRule="exact"/>
        <w:rPr>
          <w:sz w:val="20"/>
          <w:szCs w:val="20"/>
          <w:color w:val="auto"/>
        </w:rPr>
      </w:pPr>
    </w:p>
    <w:p>
      <w:pPr>
        <w:ind w:right="300" w:firstLine="451"/>
        <w:spacing w:after="0" w:line="254" w:lineRule="auto"/>
        <w:rPr>
          <w:sz w:val="20"/>
          <w:szCs w:val="20"/>
          <w:color w:val="auto"/>
        </w:rPr>
      </w:pPr>
      <w:r>
        <w:rPr>
          <w:rFonts w:ascii="Arial" w:cs="Arial" w:eastAsia="Arial" w:hAnsi="Arial"/>
          <w:sz w:val="15"/>
          <w:szCs w:val="15"/>
          <w:color w:val="auto"/>
        </w:rPr>
        <w:t>Our Chief Executive Officer, as the chief operating decision maker, organizes our company, manages resource allocations, and measures performance on the basis of one operating segment.</w:t>
      </w:r>
    </w:p>
    <w:p>
      <w:pPr>
        <w:spacing w:after="0" w:line="86" w:lineRule="exact"/>
        <w:rPr>
          <w:sz w:val="20"/>
          <w:szCs w:val="20"/>
          <w:color w:val="auto"/>
        </w:rPr>
      </w:pPr>
    </w:p>
    <w:p>
      <w:pPr>
        <w:ind w:right="280" w:firstLine="451"/>
        <w:spacing w:after="0" w:line="249" w:lineRule="auto"/>
        <w:rPr>
          <w:sz w:val="20"/>
          <w:szCs w:val="20"/>
          <w:color w:val="auto"/>
        </w:rPr>
      </w:pPr>
      <w:r>
        <w:rPr>
          <w:rFonts w:ascii="Arial" w:cs="Arial" w:eastAsia="Arial" w:hAnsi="Arial"/>
          <w:sz w:val="15"/>
          <w:szCs w:val="15"/>
          <w:color w:val="auto"/>
        </w:rPr>
        <w:t>Revenue outside of the U.S., based on the location of the customer, represented 0.8% and 0.9% of our consolidated revenue for the three months ended September 30, 2021 and 2020, respectively, and 0.9% and 1.6% of our consolidated revenue for the nine months ended September 30, 2021 and 2020, respectively. Our property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equipment located outside of the U.S. was approximately 1% of our total property and equipment as of September 30, 2021 and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Use of Estimates</w:t>
      </w:r>
    </w:p>
    <w:p>
      <w:pPr>
        <w:spacing w:after="0" w:line="119" w:lineRule="exact"/>
        <w:rPr>
          <w:sz w:val="20"/>
          <w:szCs w:val="20"/>
          <w:color w:val="auto"/>
        </w:rPr>
      </w:pPr>
    </w:p>
    <w:p>
      <w:pPr>
        <w:ind w:right="320" w:firstLine="451"/>
        <w:spacing w:after="0" w:line="246" w:lineRule="auto"/>
        <w:rPr>
          <w:sz w:val="20"/>
          <w:szCs w:val="20"/>
          <w:color w:val="auto"/>
        </w:rPr>
      </w:pPr>
      <w:r>
        <w:rPr>
          <w:rFonts w:ascii="Arial" w:cs="Arial" w:eastAsia="Arial" w:hAnsi="Arial"/>
          <w:sz w:val="15"/>
          <w:szCs w:val="15"/>
          <w:color w:val="auto"/>
        </w:rPr>
        <w:t>The preparation of financial statements in conformity with GAAP requires estimates and assumptions that affect the reported amounts of assets and liabilities, revenue and expenses, and related disclosures of contingent liabilities in the unaudited condensed consolidated financial statements and accompanying notes. Estimates are used for, however not limited to, revenue recognition, sales allowances and credit reserves, available-for-sale debt securities, valuation of long-lived assets and goodwill, income taxes, commitments and contingencies, valuation of assets and liabilities acquired in business combinations, fair value of derivative instruments and stock-based compensation. Actual results could differ materially from those estimates.</w:t>
      </w:r>
    </w:p>
    <w:p>
      <w:pPr>
        <w:spacing w:after="0" w:line="94"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The extent to which COVID-19 impacts our business and financial results will depend on numerous continuously evolving factors including, but not limited to, the magnitude and duration of COVID-19, including: resurgences; the impact on our employees; the extent to which it will impact worldwide macroeconomic conditions, including interest rates, employment rates, and health insurance coverage; the speed and degree of the anticipated recovery, as well as variability in such recovery across different geographies, industries, and markets; and governmental and business reactions to the pandemic. We assessed certain accounting matters that generally require consideration of forecasted financial information in context with the information reasonably available to us and the unknown future impacts of COVID-19 as of September 30, 2021 and through the date of issuance of these unaudited condensed consolidated financial statements. The accounting matters assessed included, but were not limited to, our allowance for doubtful accounts, sales allowances, and the carrying value of goodwill and other long-lived assets. While there was not a material impact on our unaudited condensed consolidated financial statements at and for the three and nine months ended September 30, 2021, our future assessment of the magnitude and duration of COVID-19, as well as other factors, could result in material impacts to our unaudited condensed consolidated financial statements in future reporting periods.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Certain Risks and Concentrations</w:t>
      </w:r>
    </w:p>
    <w:p>
      <w:pPr>
        <w:spacing w:after="0" w:line="119" w:lineRule="exact"/>
        <w:rPr>
          <w:sz w:val="20"/>
          <w:szCs w:val="20"/>
          <w:color w:val="auto"/>
        </w:rPr>
      </w:pPr>
    </w:p>
    <w:p>
      <w:pPr>
        <w:ind w:right="160" w:firstLine="451"/>
        <w:spacing w:after="0" w:line="247" w:lineRule="auto"/>
        <w:rPr>
          <w:sz w:val="20"/>
          <w:szCs w:val="20"/>
          <w:color w:val="auto"/>
        </w:rPr>
      </w:pPr>
      <w:r>
        <w:rPr>
          <w:rFonts w:ascii="Arial" w:cs="Arial" w:eastAsia="Arial" w:hAnsi="Arial"/>
          <w:sz w:val="15"/>
          <w:szCs w:val="15"/>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92"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No single customer comprised 10% or more of our total revenue for the three and nine months ended September 30, 2021 and 2020. No single customer had an account receivable balance of 10% or greater of the total accounts receivable balance as of September 30, 2021. At December 31, 2020 there was one customer who accounted for 20% of our accounts receivable balance.</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w:t>
      </w:r>
    </w:p>
    <w:p>
      <w:pPr>
        <w:spacing w:after="0" w:line="119"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British Pound Sterling, or GBP,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the accumulated other comprehensive loss as a component of our unaudited condensed consolidated statements of redeemable convertible preferred stock and stockholders’ equity (deficit). We recognized foreign currency transaction losses of $1.4 million and gains of $1.4 million during the three months ended September 30, 2021 and 2020, respectively, and losses of $1.0 million and $1.0 million during the nine months ended September 30, 2021 and 2020,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60" w:type="dxa"/>
            <w:vAlign w:val="bottom"/>
            <w:gridSpan w:val="10"/>
          </w:tcPr>
          <w:p>
            <w:pPr>
              <w:ind w:left="460"/>
              <w:spacing w:after="0"/>
              <w:rPr>
                <w:sz w:val="20"/>
                <w:szCs w:val="20"/>
                <w:color w:val="auto"/>
              </w:rPr>
            </w:pPr>
            <w:r>
              <w:rPr>
                <w:rFonts w:ascii="Arial" w:cs="Arial" w:eastAsia="Arial" w:hAnsi="Arial"/>
                <w:sz w:val="15"/>
                <w:szCs w:val="15"/>
                <w:color w:val="auto"/>
              </w:rPr>
              <w:t>For the three and nine months ended September 30, 2021 and 2020, revenue was comprised of the following (in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25"/>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180" w:type="dxa"/>
            <w:vAlign w:val="bottom"/>
          </w:tcPr>
          <w:p>
            <w:pPr>
              <w:spacing w:after="0"/>
              <w:rPr>
                <w:sz w:val="24"/>
                <w:szCs w:val="24"/>
                <w:color w:val="auto"/>
              </w:rPr>
            </w:pPr>
          </w:p>
        </w:tc>
        <w:tc>
          <w:tcPr>
            <w:tcW w:w="2840" w:type="dxa"/>
            <w:vAlign w:val="bottom"/>
            <w:gridSpan w:val="4"/>
          </w:tcPr>
          <w:p>
            <w:pPr>
              <w:jc w:val="right"/>
              <w:ind w:right="20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66,873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159,865</w:t>
            </w:r>
          </w:p>
        </w:tc>
      </w:tr>
      <w:tr>
        <w:trPr>
          <w:trHeight w:val="204"/>
        </w:trPr>
        <w:tc>
          <w:tcPr>
            <w:tcW w:w="5100" w:type="dxa"/>
            <w:vAlign w:val="bottom"/>
          </w:tcPr>
          <w:p>
            <w:pPr>
              <w:ind w:left="20"/>
              <w:spacing w:after="0"/>
              <w:rPr>
                <w:sz w:val="20"/>
                <w:szCs w:val="20"/>
                <w:color w:val="auto"/>
              </w:rPr>
            </w:pPr>
            <w:r>
              <w:rPr>
                <w:rFonts w:ascii="Arial" w:cs="Arial" w:eastAsia="Arial" w:hAnsi="Arial"/>
                <w:sz w:val="15"/>
                <w:szCs w:val="15"/>
                <w:color w:val="auto"/>
              </w:rPr>
              <w:t>Subscription</w:t>
            </w:r>
          </w:p>
        </w:tc>
        <w:tc>
          <w:tcPr>
            <w:tcW w:w="160" w:type="dxa"/>
            <w:vAlign w:val="bottom"/>
          </w:tcPr>
          <w:p>
            <w:pPr>
              <w:spacing w:after="0"/>
              <w:rPr>
                <w:sz w:val="17"/>
                <w:szCs w:val="17"/>
                <w:color w:val="auto"/>
              </w:rPr>
            </w:pPr>
          </w:p>
        </w:tc>
        <w:tc>
          <w:tcPr>
            <w:tcW w:w="1320" w:type="dxa"/>
            <w:vAlign w:val="bottom"/>
          </w:tcPr>
          <w:p>
            <w:pPr>
              <w:jc w:val="right"/>
              <w:ind w:right="5"/>
              <w:spacing w:after="0"/>
              <w:rPr>
                <w:sz w:val="20"/>
                <w:szCs w:val="20"/>
                <w:color w:val="auto"/>
              </w:rPr>
            </w:pPr>
            <w:r>
              <w:rPr>
                <w:rFonts w:ascii="Arial" w:cs="Arial" w:eastAsia="Arial" w:hAnsi="Arial"/>
                <w:sz w:val="15"/>
                <w:szCs w:val="15"/>
                <w:color w:val="auto"/>
              </w:rPr>
              <w:t>73,317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59,348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208,194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167,415</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Partner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7,689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23,128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21,117</w:t>
            </w:r>
          </w:p>
        </w:tc>
      </w:tr>
      <w:tr>
        <w:trPr>
          <w:trHeight w:val="198"/>
        </w:trPr>
        <w:tc>
          <w:tcPr>
            <w:tcW w:w="5100" w:type="dxa"/>
            <w:vAlign w:val="bottom"/>
          </w:tcPr>
          <w:p>
            <w:pPr>
              <w:ind w:left="320"/>
              <w:spacing w:after="0"/>
              <w:rPr>
                <w:sz w:val="20"/>
                <w:szCs w:val="20"/>
                <w:color w:val="auto"/>
              </w:rPr>
            </w:pPr>
            <w:r>
              <w:rPr>
                <w:rFonts w:ascii="Arial" w:cs="Arial" w:eastAsia="Arial" w:hAnsi="Arial"/>
                <w:sz w:val="15"/>
                <w:szCs w:val="15"/>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147,879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131,595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432,943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348,397</w:t>
            </w:r>
          </w:p>
        </w:tc>
      </w:tr>
      <w:tr>
        <w:trPr>
          <w:trHeight w:val="25"/>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Deferred Offering Costs</w:t>
      </w:r>
    </w:p>
    <w:p>
      <w:pPr>
        <w:spacing w:after="0" w:line="119" w:lineRule="exact"/>
        <w:rPr>
          <w:sz w:val="20"/>
          <w:szCs w:val="20"/>
          <w:color w:val="auto"/>
        </w:rPr>
      </w:pPr>
    </w:p>
    <w:p>
      <w:pPr>
        <w:jc w:val="both"/>
        <w:ind w:right="60" w:firstLine="451"/>
        <w:spacing w:after="0" w:line="249" w:lineRule="auto"/>
        <w:rPr>
          <w:sz w:val="20"/>
          <w:szCs w:val="20"/>
          <w:color w:val="auto"/>
        </w:rPr>
      </w:pPr>
      <w:r>
        <w:rPr>
          <w:rFonts w:ascii="Arial" w:cs="Arial" w:eastAsia="Arial" w:hAnsi="Arial"/>
          <w:sz w:val="15"/>
          <w:szCs w:val="15"/>
          <w:color w:val="auto"/>
        </w:rPr>
        <w:t>Deferred offering costs of $5.6 million have been recorded in additional paid-in capital against the proceeds received from our IPO during the three months ended September 30, 2021 and consist of costs incurred in connection with the sale of our common stock in our IPO and private placement, including certain legal, accounting, printing and other IPO related costs. There were no deferred offering costs as of December 31, 2020.</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03" w:lineRule="exact"/>
        <w:rPr>
          <w:sz w:val="20"/>
          <w:szCs w:val="20"/>
          <w:color w:val="auto"/>
        </w:rPr>
      </w:pPr>
    </w:p>
    <w:p>
      <w:pPr>
        <w:ind w:right="100" w:firstLine="451"/>
        <w:spacing w:after="0" w:line="252" w:lineRule="auto"/>
        <w:rPr>
          <w:sz w:val="20"/>
          <w:szCs w:val="20"/>
          <w:color w:val="auto"/>
        </w:rPr>
      </w:pPr>
      <w:r>
        <w:rPr>
          <w:rFonts w:ascii="Arial" w:cs="Arial" w:eastAsia="Arial" w:hAnsi="Arial"/>
          <w:sz w:val="15"/>
          <w:szCs w:val="15"/>
          <w:color w:val="auto"/>
        </w:rPr>
        <w:t xml:space="preserve">In December 2019, the Financial Accounting Standards Board, or FASB, issued Accounting Standard Update, or ASU, No. 2019-12, </w:t>
      </w:r>
      <w:r>
        <w:rPr>
          <w:rFonts w:ascii="Arial" w:cs="Arial" w:eastAsia="Arial" w:hAnsi="Arial"/>
          <w:sz w:val="15"/>
          <w:szCs w:val="15"/>
          <w:i w:val="1"/>
          <w:iCs w:val="1"/>
          <w:color w:val="auto"/>
        </w:rPr>
        <w:t>Income Taxes (Topic 740):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Simplifying the Accounting for Income Taxes, </w:t>
      </w:r>
      <w:r>
        <w:rPr>
          <w:rFonts w:ascii="Arial" w:cs="Arial" w:eastAsia="Arial" w:hAnsi="Arial"/>
          <w:sz w:val="15"/>
          <w:szCs w:val="15"/>
          <w:color w:val="auto"/>
        </w:rPr>
        <w:t>or ASU 2019-12. This Update removes certain exceptions for performing intra-period tax allocations, recognizing deferred</w:t>
      </w:r>
      <w:r>
        <w:rPr>
          <w:rFonts w:ascii="Arial" w:cs="Arial" w:eastAsia="Arial" w:hAnsi="Arial"/>
          <w:sz w:val="15"/>
          <w:szCs w:val="15"/>
          <w:i w:val="1"/>
          <w:iCs w:val="1"/>
          <w:color w:val="auto"/>
        </w:rPr>
        <w:t xml:space="preserve"> </w:t>
      </w:r>
      <w:r>
        <w:rPr>
          <w:rFonts w:ascii="Arial" w:cs="Arial" w:eastAsia="Arial" w:hAnsi="Arial"/>
          <w:sz w:val="15"/>
          <w:szCs w:val="15"/>
          <w:color w:val="auto"/>
        </w:rPr>
        <w:t>taxes for investments, and calculating income taxes in interim periods. The guidance also simplifies the accounting for franchise taxes, transactions that result in a step-up in the tax basis of goodwill, and the effect of enacted changes in tax laws or rates in interim periods. We early adopted ASU 2019-12 in the first quarter of 2021 and the adoption did not have a material impact to our unaudited condensed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Pronouncements Not Yet Adopted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first accounting standard update in connection with Topic 842, </w:t>
      </w:r>
      <w:r>
        <w:rPr>
          <w:rFonts w:ascii="Arial" w:cs="Arial" w:eastAsia="Arial" w:hAnsi="Arial"/>
          <w:sz w:val="15"/>
          <w:szCs w:val="15"/>
          <w:i w:val="1"/>
          <w:iCs w:val="1"/>
          <w:color w:val="auto"/>
        </w:rPr>
        <w:t>Leases</w:t>
      </w:r>
      <w:r>
        <w:rPr>
          <w:rFonts w:ascii="Arial" w:cs="Arial" w:eastAsia="Arial" w:hAnsi="Arial"/>
          <w:sz w:val="15"/>
          <w:szCs w:val="15"/>
          <w:color w:val="auto"/>
        </w:rPr>
        <w:t>, or Topic</w:t>
      </w:r>
    </w:p>
    <w:p>
      <w:pPr>
        <w:spacing w:after="0" w:line="19" w:lineRule="exact"/>
        <w:rPr>
          <w:sz w:val="20"/>
          <w:szCs w:val="20"/>
          <w:color w:val="auto"/>
        </w:rPr>
      </w:pPr>
    </w:p>
    <w:p>
      <w:pPr>
        <w:ind w:right="20"/>
        <w:spacing w:after="0" w:line="245" w:lineRule="auto"/>
        <w:tabs>
          <w:tab w:leader="none" w:pos="335"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The guidance requires lessees to recognize most leases as right of use assets and lease liabilities on the balance sheet and also requires additional qualitative and quantitative disclosures to enable users to understand the amount, timing and uncertainty of cash flows arising from leases. The original guidance required application on a modified retrospective basis to the earliest period presented. In August 2018, the FASB issued ASU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xml:space="preserve">, which includes an option to not restate comparative periods in transition, however, to elect to use the effective date of ASU 2016-02, as the date of initial application of transition. In March 2019, the FASB issued ASU No. 2019-01, </w:t>
      </w:r>
      <w:r>
        <w:rPr>
          <w:rFonts w:ascii="Arial" w:cs="Arial" w:eastAsia="Arial" w:hAnsi="Arial"/>
          <w:sz w:val="15"/>
          <w:szCs w:val="15"/>
          <w:i w:val="1"/>
          <w:iCs w:val="1"/>
          <w:color w:val="auto"/>
        </w:rPr>
        <w:t>Leases (Topic 842): Codification Improvements</w:t>
      </w:r>
      <w:r>
        <w:rPr>
          <w:rFonts w:ascii="Arial" w:cs="Arial" w:eastAsia="Arial" w:hAnsi="Arial"/>
          <w:sz w:val="15"/>
          <w:szCs w:val="15"/>
          <w:color w:val="auto"/>
        </w:rPr>
        <w:t xml:space="preserve">, which made further targeted improvements including clarification regarding the determination of fair value of lease assets and liabilities and statement of cash flows and presentation guidance. In June 2020, FASB issued ASU 2020-05, </w:t>
      </w:r>
      <w:r>
        <w:rPr>
          <w:rFonts w:ascii="Arial" w:cs="Arial" w:eastAsia="Arial" w:hAnsi="Arial"/>
          <w:sz w:val="15"/>
          <w:szCs w:val="15"/>
          <w:i w:val="1"/>
          <w:iCs w:val="1"/>
          <w:color w:val="auto"/>
        </w:rPr>
        <w:t>Revenue from Contracts with Customers (Topic 606) and Leases (Topic 842): Effective Dates for Certain Entities</w:t>
      </w:r>
      <w:r>
        <w:rPr>
          <w:rFonts w:ascii="Arial" w:cs="Arial" w:eastAsia="Arial" w:hAnsi="Arial"/>
          <w:sz w:val="15"/>
          <w:szCs w:val="15"/>
          <w:color w:val="auto"/>
        </w:rPr>
        <w:t>, which extended the effective date of this guidance for non-public entities to fiscal years beginning after December 15, 2021. Topic 842 is effective for our annual reporting period beginning on January 1, 2022. We are currently evaluating the impact of the adoption of Topic 842 on our consolidated financial statements.</w:t>
      </w:r>
    </w:p>
    <w:p>
      <w:pPr>
        <w:spacing w:after="0" w:line="80" w:lineRule="exact"/>
        <w:rPr>
          <w:sz w:val="20"/>
          <w:szCs w:val="20"/>
          <w:color w:val="auto"/>
        </w:rPr>
      </w:pPr>
    </w:p>
    <w:p>
      <w:pPr>
        <w:ind w:right="20" w:firstLine="451"/>
        <w:spacing w:after="0" w:line="255"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Measurement of Credit Losses on Financial Instruments (Topic 326)</w:t>
      </w:r>
      <w:r>
        <w:rPr>
          <w:rFonts w:ascii="Arial" w:cs="Arial" w:eastAsia="Arial" w:hAnsi="Arial"/>
          <w:sz w:val="15"/>
          <w:szCs w:val="15"/>
          <w:color w:val="auto"/>
        </w:rPr>
        <w:t>, or Topic 326, which revises the impairment model to utilize an expected loss methodology in place of the currently used incurred loss methodology, which will result in more timely recognition of losses on financial instruments, including, but not limited to, available-for-sale debt securities and accounts receivable. Topic 326 is effective for our annual reporting period beginning on January 1, 2023. We are currently evaluating the impact of the adoption of Topic 326 on our consolidated financial statements.</w:t>
      </w:r>
    </w:p>
    <w:p>
      <w:pPr>
        <w:spacing w:after="0" w:line="69" w:lineRule="exact"/>
        <w:rPr>
          <w:sz w:val="20"/>
          <w:szCs w:val="20"/>
          <w:color w:val="auto"/>
        </w:rPr>
      </w:pPr>
    </w:p>
    <w:p>
      <w:pPr>
        <w:ind w:right="220" w:firstLine="451"/>
        <w:spacing w:after="0" w:line="252"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 — Facilitation of the Effects of Reference Rate Reform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or Topic 848, that provides optional relief to applying reference rate reform to contracts, hedging relationships, and other transactions that reference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London Interbank Offered Rate, or LIBOR, which will be discontinued by the end of 2021. Also, in January 2021, the FASB issued ASU No. 2021-01, </w:t>
      </w:r>
      <w:r>
        <w:rPr>
          <w:rFonts w:ascii="Arial" w:cs="Arial" w:eastAsia="Arial" w:hAnsi="Arial"/>
          <w:sz w:val="15"/>
          <w:szCs w:val="15"/>
          <w:i w:val="1"/>
          <w:iCs w:val="1"/>
          <w:color w:val="auto"/>
        </w:rPr>
        <w:t>Reference Rate</w:t>
      </w:r>
      <w:r>
        <w:rPr>
          <w:rFonts w:ascii="Arial" w:cs="Arial" w:eastAsia="Arial" w:hAnsi="Arial"/>
          <w:sz w:val="15"/>
          <w:szCs w:val="15"/>
          <w:color w:val="auto"/>
        </w:rPr>
        <w:t xml:space="preserve"> </w:t>
      </w:r>
      <w:r>
        <w:rPr>
          <w:rFonts w:ascii="Arial" w:cs="Arial" w:eastAsia="Arial" w:hAnsi="Arial"/>
          <w:sz w:val="15"/>
          <w:szCs w:val="15"/>
          <w:i w:val="1"/>
          <w:iCs w:val="1"/>
          <w:color w:val="auto"/>
        </w:rPr>
        <w:t>Reform (Topic 848) — Scope</w:t>
      </w:r>
      <w:r>
        <w:rPr>
          <w:rFonts w:ascii="Arial" w:cs="Arial" w:eastAsia="Arial" w:hAnsi="Arial"/>
          <w:sz w:val="15"/>
          <w:szCs w:val="15"/>
          <w:color w:val="auto"/>
        </w:rPr>
        <w:t>, to clarify that cash flow hedges are eligible for certain optional expedients and exceptions for the application of subsequent assessment</w:t>
      </w:r>
      <w:r>
        <w:rPr>
          <w:rFonts w:ascii="Arial" w:cs="Arial" w:eastAsia="Arial" w:hAnsi="Arial"/>
          <w:sz w:val="15"/>
          <w:szCs w:val="15"/>
          <w:i w:val="1"/>
          <w:iCs w:val="1"/>
          <w:color w:val="auto"/>
        </w:rPr>
        <w:t xml:space="preserve"> </w:t>
      </w:r>
      <w:r>
        <w:rPr>
          <w:rFonts w:ascii="Arial" w:cs="Arial" w:eastAsia="Arial" w:hAnsi="Arial"/>
          <w:sz w:val="15"/>
          <w:szCs w:val="15"/>
          <w:color w:val="auto"/>
        </w:rPr>
        <w:t>methods to assume perfect effectiveness as previously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presented in ASU 2020-04. Topic 848 is effective immediately and may be applied through December 31, 2022. We are currently evaluating the impact of the adoption of Topic 848 on our consolidated financial statements.</w:t>
      </w:r>
    </w:p>
    <w:p>
      <w:pPr>
        <w:spacing w:after="0" w:line="70" w:lineRule="exact"/>
        <w:rPr>
          <w:sz w:val="20"/>
          <w:szCs w:val="20"/>
          <w:color w:val="auto"/>
        </w:rPr>
      </w:pPr>
    </w:p>
    <w:p>
      <w:pPr>
        <w:ind w:right="60" w:firstLine="451"/>
        <w:spacing w:after="0" w:line="248" w:lineRule="auto"/>
        <w:rPr>
          <w:sz w:val="20"/>
          <w:szCs w:val="20"/>
          <w:color w:val="auto"/>
        </w:rPr>
      </w:pPr>
      <w:r>
        <w:rPr>
          <w:rFonts w:ascii="Arial" w:cs="Arial" w:eastAsia="Arial" w:hAnsi="Arial"/>
          <w:sz w:val="15"/>
          <w:szCs w:val="15"/>
          <w:color w:val="auto"/>
        </w:rPr>
        <w:t xml:space="preserve">In August 2020, the FASB issued ASU No. 2020-06, </w:t>
      </w:r>
      <w:r>
        <w:rPr>
          <w:rFonts w:ascii="Arial" w:cs="Arial" w:eastAsia="Arial" w:hAnsi="Arial"/>
          <w:sz w:val="15"/>
          <w:szCs w:val="15"/>
          <w:i w:val="1"/>
          <w:iCs w:val="1"/>
          <w:color w:val="auto"/>
        </w:rPr>
        <w:t>Debt—Debt with Conversion and Other Options (Subtopic 470-20) and Derivatives and Hedging—Contracts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in Entity's Own Equity (Subtopic 815-40): Accounting for Convertible Instruments and Contracts in an Entity's Own Equity</w:t>
      </w:r>
      <w:r>
        <w:rPr>
          <w:rFonts w:ascii="Arial" w:cs="Arial" w:eastAsia="Arial" w:hAnsi="Arial"/>
          <w:sz w:val="15"/>
          <w:szCs w:val="15"/>
          <w:color w:val="auto"/>
        </w:rPr>
        <w:t>. This standard eliminates the beneficial</w:t>
      </w:r>
      <w:r>
        <w:rPr>
          <w:rFonts w:ascii="Arial" w:cs="Arial" w:eastAsia="Arial" w:hAnsi="Arial"/>
          <w:sz w:val="15"/>
          <w:szCs w:val="15"/>
          <w:i w:val="1"/>
          <w:iCs w:val="1"/>
          <w:color w:val="auto"/>
        </w:rPr>
        <w:t xml:space="preserve"> </w:t>
      </w:r>
      <w:r>
        <w:rPr>
          <w:rFonts w:ascii="Arial" w:cs="Arial" w:eastAsia="Arial" w:hAnsi="Arial"/>
          <w:sz w:val="15"/>
          <w:szCs w:val="15"/>
          <w:color w:val="auto"/>
        </w:rPr>
        <w:t>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For public business entities, it is effective for fiscal years beginning after December 15, 2021, including interim periods within those fiscal years using the fully retrospective or modified retrospective method. Early adoption is permitted but no earlier than fiscal years beginning after December 15, 2020, including interim periods within those fiscal years. We are currently evaluating the impact of the adoption on our consolidated financial statements.</w:t>
      </w:r>
    </w:p>
    <w:p>
      <w:pPr>
        <w:spacing w:after="0" w:line="79" w:lineRule="exact"/>
        <w:rPr>
          <w:sz w:val="20"/>
          <w:szCs w:val="20"/>
          <w:color w:val="auto"/>
        </w:rPr>
      </w:pPr>
    </w:p>
    <w:p>
      <w:pPr>
        <w:ind w:firstLine="451"/>
        <w:spacing w:after="0" w:line="250" w:lineRule="auto"/>
        <w:rPr>
          <w:sz w:val="20"/>
          <w:szCs w:val="20"/>
          <w:color w:val="auto"/>
        </w:rPr>
      </w:pPr>
      <w:r>
        <w:rPr>
          <w:rFonts w:ascii="Arial" w:cs="Arial" w:eastAsia="Arial" w:hAnsi="Arial"/>
          <w:sz w:val="15"/>
          <w:szCs w:val="15"/>
          <w:color w:val="auto"/>
        </w:rPr>
        <w:t xml:space="preserve">In October 2021, the FASB issued ASU No. 2021-08, </w:t>
      </w:r>
      <w:r>
        <w:rPr>
          <w:rFonts w:ascii="Arial" w:cs="Arial" w:eastAsia="Arial" w:hAnsi="Arial"/>
          <w:sz w:val="15"/>
          <w:szCs w:val="15"/>
          <w:i w:val="1"/>
          <w:iCs w:val="1"/>
          <w:color w:val="auto"/>
        </w:rPr>
        <w:t>Business Combinations (Topic 805), Accounting for Contract Assets and Contract Liabilities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w:t>
      </w:r>
      <w:r>
        <w:rPr>
          <w:rFonts w:ascii="Arial" w:cs="Arial" w:eastAsia="Arial" w:hAnsi="Arial"/>
          <w:sz w:val="15"/>
          <w:szCs w:val="15"/>
          <w:color w:val="auto"/>
        </w:rPr>
        <w:t>. This standard addresses diversity in practice and inconsistency related to recognition of an acquired contract liability, and payment terms and their effect</w:t>
      </w:r>
      <w:r>
        <w:rPr>
          <w:rFonts w:ascii="Arial" w:cs="Arial" w:eastAsia="Arial" w:hAnsi="Arial"/>
          <w:sz w:val="15"/>
          <w:szCs w:val="15"/>
          <w:i w:val="1"/>
          <w:iCs w:val="1"/>
          <w:color w:val="auto"/>
        </w:rPr>
        <w:t xml:space="preserve"> </w:t>
      </w:r>
      <w:r>
        <w:rPr>
          <w:rFonts w:ascii="Arial" w:cs="Arial" w:eastAsia="Arial" w:hAnsi="Arial"/>
          <w:sz w:val="15"/>
          <w:szCs w:val="15"/>
          <w:color w:val="auto"/>
        </w:rPr>
        <w:t>on subsequent revenue recognized by the acquirer. For public business entities, it is effective for fiscal years beginning after December 15, 2022, including interim periods within those fiscal years. Entities should apply the provisions of the new standard prospectively to business combinations occurring on or after the effective date of the standard. Early adoption is permitted, including adoption in an interim period. We have not adopted the provisions of the new standard and will assess its impact on our consolidated financial statements upon adoption.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Other Financial Statement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Accounts Receivable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40" w:type="dxa"/>
            <w:vAlign w:val="bottom"/>
          </w:tcPr>
          <w:p>
            <w:pPr>
              <w:ind w:left="460"/>
              <w:spacing w:after="0"/>
              <w:rPr>
                <w:sz w:val="20"/>
                <w:szCs w:val="20"/>
                <w:color w:val="auto"/>
              </w:rPr>
            </w:pPr>
            <w:r>
              <w:rPr>
                <w:rFonts w:ascii="Arial" w:cs="Arial" w:eastAsia="Arial" w:hAnsi="Arial"/>
                <w:sz w:val="15"/>
                <w:szCs w:val="15"/>
                <w:color w:val="auto"/>
              </w:rPr>
              <w:t>Changes in the allowance consisted of the following (in thousands):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17"/>
        </w:trPr>
        <w:tc>
          <w:tcPr>
            <w:tcW w:w="5040" w:type="dxa"/>
            <w:vAlign w:val="bottom"/>
          </w:tcPr>
          <w:p>
            <w:pPr>
              <w:spacing w:after="0"/>
              <w:rPr>
                <w:sz w:val="24"/>
                <w:szCs w:val="24"/>
                <w:color w:val="auto"/>
              </w:rPr>
            </w:pPr>
          </w:p>
        </w:tc>
        <w:tc>
          <w:tcPr>
            <w:tcW w:w="314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24"/>
                <w:szCs w:val="24"/>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1"/>
        </w:trPr>
        <w:tc>
          <w:tcPr>
            <w:tcW w:w="50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center"/>
              <w:ind w:left="565"/>
              <w:spacing w:after="0"/>
              <w:rPr>
                <w:sz w:val="20"/>
                <w:szCs w:val="20"/>
                <w:color w:val="auto"/>
              </w:rPr>
            </w:pPr>
            <w:r>
              <w:rPr>
                <w:rFonts w:ascii="Arial" w:cs="Arial" w:eastAsia="Arial" w:hAnsi="Arial"/>
                <w:sz w:val="15"/>
                <w:szCs w:val="15"/>
                <w:color w:val="auto"/>
              </w:rPr>
              <w:t>2,461</w:t>
            </w: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Add: amounts recognized as a reduction of revenue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4,911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left="565"/>
              <w:spacing w:after="0"/>
              <w:rPr>
                <w:sz w:val="20"/>
                <w:szCs w:val="20"/>
                <w:color w:val="auto"/>
              </w:rPr>
            </w:pPr>
            <w:r>
              <w:rPr>
                <w:rFonts w:ascii="Arial" w:cs="Arial" w:eastAsia="Arial" w:hAnsi="Arial"/>
                <w:sz w:val="15"/>
                <w:szCs w:val="15"/>
                <w:color w:val="auto"/>
              </w:rPr>
              <w:t>4,300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 bad debt expense recognized in general and administrative expense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65"/>
              <w:spacing w:after="0"/>
              <w:rPr>
                <w:sz w:val="20"/>
                <w:szCs w:val="20"/>
                <w:color w:val="auto"/>
              </w:rPr>
            </w:pPr>
            <w:r>
              <w:rPr>
                <w:rFonts w:ascii="Arial" w:cs="Arial" w:eastAsia="Arial" w:hAnsi="Arial"/>
                <w:sz w:val="15"/>
                <w:szCs w:val="15"/>
                <w:color w:val="auto"/>
              </w:rPr>
              <w:t>1,028</w:t>
            </w:r>
          </w:p>
        </w:tc>
      </w:tr>
      <w:tr>
        <w:trPr>
          <w:trHeight w:val="20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write-offs, net of recoveries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545"/>
              <w:spacing w:after="0"/>
              <w:rPr>
                <w:sz w:val="20"/>
                <w:szCs w:val="20"/>
                <w:color w:val="auto"/>
              </w:rPr>
            </w:pPr>
            <w:r>
              <w:rPr>
                <w:rFonts w:ascii="Arial" w:cs="Arial" w:eastAsia="Arial" w:hAnsi="Arial"/>
                <w:sz w:val="15"/>
                <w:szCs w:val="15"/>
                <w:color w:val="auto"/>
              </w:rPr>
              <w:t>(4,227)</w:t>
            </w:r>
          </w:p>
        </w:tc>
      </w:tr>
      <w:tr>
        <w:trPr>
          <w:trHeight w:val="23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center"/>
              <w:ind w:left="565"/>
              <w:spacing w:after="0"/>
              <w:rPr>
                <w:sz w:val="20"/>
                <w:szCs w:val="20"/>
                <w:color w:val="auto"/>
              </w:rPr>
            </w:pPr>
            <w:r>
              <w:rPr>
                <w:rFonts w:ascii="Arial" w:cs="Arial" w:eastAsia="Arial" w:hAnsi="Arial"/>
                <w:sz w:val="15"/>
                <w:szCs w:val="15"/>
                <w:color w:val="auto"/>
              </w:rPr>
              <w:t>3,562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80" w:firstLine="451"/>
        <w:spacing w:after="0" w:line="249" w:lineRule="auto"/>
        <w:rPr>
          <w:sz w:val="20"/>
          <w:szCs w:val="20"/>
          <w:color w:val="auto"/>
        </w:rPr>
      </w:pPr>
      <w:r>
        <w:rPr>
          <w:rFonts w:ascii="Arial" w:cs="Arial" w:eastAsia="Arial" w:hAnsi="Arial"/>
          <w:sz w:val="15"/>
          <w:szCs w:val="15"/>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that are no longer considered collectible.</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Prepaid Expenses and Other Current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Pr>
          <w:p>
            <w:pPr>
              <w:ind w:left="460"/>
              <w:spacing w:after="0"/>
              <w:rPr>
                <w:sz w:val="20"/>
                <w:szCs w:val="20"/>
                <w:color w:val="auto"/>
              </w:rPr>
            </w:pPr>
            <w:r>
              <w:rPr>
                <w:rFonts w:ascii="Arial" w:cs="Arial" w:eastAsia="Arial" w:hAnsi="Arial"/>
                <w:sz w:val="15"/>
                <w:szCs w:val="15"/>
                <w:color w:val="auto"/>
              </w:rPr>
              <w:t>Prepaid expenses and other current assets consisted of the following (in thousands):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425"/>
        </w:trPr>
        <w:tc>
          <w:tcPr>
            <w:tcW w:w="8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11,221</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7,177</w:t>
            </w:r>
          </w:p>
        </w:tc>
      </w:tr>
      <w:tr>
        <w:trPr>
          <w:trHeight w:val="204"/>
        </w:trPr>
        <w:tc>
          <w:tcPr>
            <w:tcW w:w="8180" w:type="dxa"/>
            <w:vAlign w:val="bottom"/>
          </w:tcPr>
          <w:p>
            <w:pPr>
              <w:ind w:left="20"/>
              <w:spacing w:after="0"/>
              <w:rPr>
                <w:sz w:val="20"/>
                <w:szCs w:val="20"/>
                <w:color w:val="auto"/>
              </w:rPr>
            </w:pPr>
            <w:r>
              <w:rPr>
                <w:rFonts w:ascii="Arial" w:cs="Arial" w:eastAsia="Arial" w:hAnsi="Arial"/>
                <w:sz w:val="15"/>
                <w:szCs w:val="15"/>
                <w:color w:val="auto"/>
              </w:rPr>
              <w:t>Deferred cost of revenue</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2,369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1,967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1,392</w:t>
            </w:r>
          </w:p>
        </w:tc>
      </w:tr>
      <w:tr>
        <w:trPr>
          <w:trHeight w:val="198"/>
        </w:trPr>
        <w:tc>
          <w:tcPr>
            <w:tcW w:w="8180" w:type="dxa"/>
            <w:vAlign w:val="bottom"/>
          </w:tcPr>
          <w:p>
            <w:pPr>
              <w:ind w:left="300"/>
              <w:spacing w:after="0"/>
              <w:rPr>
                <w:sz w:val="20"/>
                <w:szCs w:val="20"/>
                <w:color w:val="auto"/>
              </w:rPr>
            </w:pPr>
            <w:r>
              <w:rPr>
                <w:rFonts w:ascii="Arial" w:cs="Arial" w:eastAsia="Arial" w:hAnsi="Arial"/>
                <w:sz w:val="15"/>
                <w:szCs w:val="15"/>
                <w:color w:val="auto"/>
              </w:rPr>
              <w:t>Total prepaid expenses and other current assets</w:t>
            </w:r>
          </w:p>
        </w:tc>
        <w:tc>
          <w:tcPr>
            <w:tcW w:w="52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16,338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10,536</w:t>
            </w:r>
          </w:p>
        </w:tc>
      </w:tr>
      <w:tr>
        <w:trPr>
          <w:trHeight w:val="25"/>
        </w:trPr>
        <w:tc>
          <w:tcPr>
            <w:tcW w:w="8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Accrued Expenses and 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Pr>
          <w:p>
            <w:pPr>
              <w:ind w:left="460"/>
              <w:spacing w:after="0"/>
              <w:rPr>
                <w:sz w:val="20"/>
                <w:szCs w:val="20"/>
                <w:color w:val="auto"/>
              </w:rPr>
            </w:pPr>
            <w:r>
              <w:rPr>
                <w:rFonts w:ascii="Arial" w:cs="Arial" w:eastAsia="Arial" w:hAnsi="Arial"/>
                <w:sz w:val="15"/>
                <w:szCs w:val="15"/>
                <w:color w:val="auto"/>
              </w:rPr>
              <w:t>Accrued expenses and other current liabilities consisted of the following (in thousands):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425"/>
        </w:trPr>
        <w:tc>
          <w:tcPr>
            <w:tcW w:w="8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payroll and related expenses</w:t>
            </w: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17,740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16,135</w:t>
            </w:r>
          </w:p>
        </w:tc>
      </w:tr>
      <w:tr>
        <w:trPr>
          <w:trHeight w:val="204"/>
        </w:trPr>
        <w:tc>
          <w:tcPr>
            <w:tcW w:w="8180" w:type="dxa"/>
            <w:vAlign w:val="bottom"/>
          </w:tcPr>
          <w:p>
            <w:pPr>
              <w:ind w:left="20"/>
              <w:spacing w:after="0"/>
              <w:rPr>
                <w:sz w:val="20"/>
                <w:szCs w:val="20"/>
                <w:color w:val="auto"/>
              </w:rPr>
            </w:pPr>
            <w:r>
              <w:rPr>
                <w:rFonts w:ascii="Arial" w:cs="Arial" w:eastAsia="Arial" w:hAnsi="Arial"/>
                <w:sz w:val="15"/>
                <w:szCs w:val="15"/>
                <w:color w:val="auto"/>
              </w:rPr>
              <w:t>Accrued vendor payables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16,010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10,854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Derivative liabilities and hybrid debt</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5,131</w:t>
            </w:r>
          </w:p>
        </w:tc>
      </w:tr>
      <w:tr>
        <w:trPr>
          <w:trHeight w:val="204"/>
        </w:trPr>
        <w:tc>
          <w:tcPr>
            <w:tcW w:w="8180" w:type="dxa"/>
            <w:vAlign w:val="bottom"/>
          </w:tcPr>
          <w:p>
            <w:pPr>
              <w:ind w:left="20"/>
              <w:spacing w:after="0"/>
              <w:rPr>
                <w:sz w:val="20"/>
                <w:szCs w:val="20"/>
                <w:color w:val="auto"/>
              </w:rPr>
            </w:pPr>
            <w:r>
              <w:rPr>
                <w:rFonts w:ascii="Arial" w:cs="Arial" w:eastAsia="Arial" w:hAnsi="Arial"/>
                <w:sz w:val="15"/>
                <w:szCs w:val="15"/>
                <w:color w:val="auto"/>
              </w:rPr>
              <w:t>Sales allowances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4,952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4,856</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sales, use and business taxes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1,789</w:t>
            </w:r>
          </w:p>
        </w:tc>
      </w:tr>
      <w:tr>
        <w:trPr>
          <w:trHeight w:val="20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2,263</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accrued expenses and other current liabilities</w:t>
            </w:r>
          </w:p>
        </w:tc>
        <w:tc>
          <w:tcPr>
            <w:tcW w:w="52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42,958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w:t>
      </w:r>
    </w:p>
    <w:p>
      <w:pPr>
        <w:spacing w:after="0" w:line="119" w:lineRule="exact"/>
        <w:rPr>
          <w:sz w:val="20"/>
          <w:szCs w:val="20"/>
          <w:color w:val="auto"/>
        </w:rPr>
      </w:pPr>
    </w:p>
    <w:p>
      <w:pPr>
        <w:ind w:right="40" w:firstLine="451"/>
        <w:spacing w:after="0" w:line="254" w:lineRule="auto"/>
        <w:rPr>
          <w:sz w:val="20"/>
          <w:szCs w:val="20"/>
          <w:color w:val="auto"/>
        </w:rPr>
      </w:pPr>
      <w:r>
        <w:rPr>
          <w:rFonts w:ascii="Arial" w:cs="Arial" w:eastAsia="Arial" w:hAnsi="Arial"/>
          <w:sz w:val="15"/>
          <w:szCs w:val="15"/>
          <w:color w:val="auto"/>
        </w:rPr>
        <w:t>Depreciation and amortization expense of our property and equipment, including capitalized internal-use software, and intangible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Pr>
          <w:p>
            <w:pPr>
              <w:spacing w:after="0"/>
              <w:rPr>
                <w:sz w:val="18"/>
                <w:szCs w:val="18"/>
                <w:color w:val="auto"/>
              </w:rPr>
            </w:pPr>
          </w:p>
        </w:tc>
        <w:tc>
          <w:tcPr>
            <w:tcW w:w="314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1"/>
        </w:trPr>
        <w:tc>
          <w:tcPr>
            <w:tcW w:w="50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5,796</w:t>
            </w: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Sales and marketing</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4,988</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and development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w:t>
            </w:r>
          </w:p>
        </w:tc>
      </w:tr>
      <w:tr>
        <w:trPr>
          <w:trHeight w:val="20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and administrative</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1,405</w:t>
            </w:r>
          </w:p>
        </w:tc>
      </w:tr>
      <w:tr>
        <w:trPr>
          <w:trHeight w:val="231"/>
        </w:trPr>
        <w:tc>
          <w:tcPr>
            <w:tcW w:w="5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depreciation and amortization expense</w:t>
            </w:r>
          </w:p>
        </w:tc>
        <w:tc>
          <w:tcPr>
            <w:tcW w:w="98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14,162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Deferred Revenue</w:t>
      </w:r>
    </w:p>
    <w:p>
      <w:pPr>
        <w:spacing w:after="0" w:line="119"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Deferred revenue as of September 30, 2021 and December 31, 2020 was $154.0 million and $130.1 million, respectively. We recognized $79.4 million and $64.8 million of revenue during the three months ended September 30, 2021 and 2020, respectively, which were included in the deferred revenue balances as of June 30, 2021 and 2020, respectively, and $121.9 million and $98.5 million during the nine months ended September 30, 2021 and 2020, respectively, which were included in the deferred revenue balances as of December 31, 2020 and 2019, respectively. We expect to recognize substantially all of the remaining deferred revenue as of December 31, 2020 as revenue in 2021. Accordingly, we expect substantially all of the deferred revenue at September 30, 2021 will be recognized as revenue within the next twelve months.</w:t>
      </w:r>
    </w:p>
    <w:p>
      <w:pPr>
        <w:spacing w:after="0" w:line="93" w:lineRule="exact"/>
        <w:rPr>
          <w:sz w:val="20"/>
          <w:szCs w:val="20"/>
          <w:color w:val="auto"/>
        </w:rPr>
      </w:pPr>
    </w:p>
    <w:p>
      <w:pPr>
        <w:ind w:right="200" w:firstLine="451"/>
        <w:spacing w:after="0" w:line="254" w:lineRule="auto"/>
        <w:rPr>
          <w:sz w:val="20"/>
          <w:szCs w:val="20"/>
          <w:color w:val="auto"/>
        </w:rPr>
      </w:pPr>
      <w:r>
        <w:rPr>
          <w:rFonts w:ascii="Arial" w:cs="Arial" w:eastAsia="Arial" w:hAnsi="Arial"/>
          <w:sz w:val="15"/>
          <w:szCs w:val="15"/>
          <w:color w:val="auto"/>
        </w:rPr>
        <w:t>We have omitted disclosure about the transaction price allocated to remaining performance obligations and when revenue will be recognized as revenue as our contracts with customers that have a duration of more than one year are immaterial.</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Disposition of Business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Beaumont ABS Limited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April 2020, we sold our conveyancing business in the U.K., Beaumont ABS Limited, to a third-party buyer and paid $1.2 million in working capital to the buyers.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Our loss on sale of this business was $1.8 million for the nine months ended September 30, 2020.</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Investments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Impairment of Available-for-sale Debt Securities</w:t>
      </w:r>
    </w:p>
    <w:p>
      <w:pPr>
        <w:spacing w:after="0" w:line="119"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In June 2020, we fully impaired our available-for-sale investment in firma.de Firmenbaukasten AG and we incurred a loss of $4.8 million because the present value of cash flows expected to be collected was less than the amortized cost basis of the investment. Therefore, we recognized an other-than-temporary impairment of EUR €4.3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million ($4.8 million) in our condensed consolidated statements of operations for the nine months ended September 30, 2020.</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Long-term Debt</w:t>
      </w:r>
    </w:p>
    <w:p>
      <w:pPr>
        <w:spacing w:after="0" w:line="121"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 xml:space="preserve">In November 2018, we entered into an amended first lien credit and guaranty agreement, or the 2018 Credit Facility, which consisted of a first lien term loan facility, or 2018 Term Loan, with a principal amount of $535.0 million and a 2018 Revolving Facility of $40.0 </w:t>
      </w:r>
      <w:r>
        <w:rPr>
          <w:rFonts w:ascii="Arial" w:cs="Arial" w:eastAsia="Arial" w:hAnsi="Arial"/>
          <w:sz w:val="15"/>
          <w:szCs w:val="15"/>
          <w:color w:val="231F20"/>
        </w:rPr>
        <w:t>million, or the 2018 Revolving Facility.</w:t>
      </w:r>
      <w:r>
        <w:rPr>
          <w:rFonts w:ascii="Arial" w:cs="Arial" w:eastAsia="Arial" w:hAnsi="Arial"/>
          <w:sz w:val="15"/>
          <w:szCs w:val="15"/>
          <w:color w:val="auto"/>
        </w:rPr>
        <w:t xml:space="preserve"> In July 2021, upon the completion of our IPO, we repaid the then outstanding principal of $521.6 million of our 2018 Term Loan in full. We incurred a loss on debt extinguishment of $7.7 million related to unamortized debt issuance costs. 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as well as borrowings on same-day notice, referred to as swingline loans, in an amount of up to $10.0 million. Additional debt issuance costs of $0.8 million were allocated to the 2021 Revolving Facility.</w:t>
      </w:r>
    </w:p>
    <w:p>
      <w:pPr>
        <w:spacing w:after="0" w:line="92" w:lineRule="exact"/>
        <w:rPr>
          <w:sz w:val="20"/>
          <w:szCs w:val="20"/>
          <w:color w:val="auto"/>
        </w:rPr>
      </w:pPr>
    </w:p>
    <w:p>
      <w:pPr>
        <w:ind w:right="60" w:firstLine="451"/>
        <w:spacing w:after="0" w:line="244" w:lineRule="auto"/>
        <w:rPr>
          <w:sz w:val="20"/>
          <w:szCs w:val="20"/>
          <w:color w:val="auto"/>
        </w:rPr>
      </w:pPr>
      <w:r>
        <w:rPr>
          <w:rFonts w:ascii="Arial" w:cs="Arial" w:eastAsia="Arial" w:hAnsi="Arial"/>
          <w:sz w:val="15"/>
          <w:szCs w:val="15"/>
          <w:color w:val="auto"/>
        </w:rPr>
        <w:t>The interest rate applicable to the 2021 Revolving Facility is, at our option, at a rate equal to the greatest of (i) the administrative agent’s prime rate (ii) the federal funds effective rate plus 1/2 of 1.0% or (iii) one month LIBOR (subject to a 1.00% floor), plus 1.00% or LIBOR (subject to a 0.00% floor) plus 2.00%. The interest rate margins under the 2021 Revolving Facility are subject to one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one reduction of 0.10% if the total net first lien leverage ratio does not exceed 3.50 to</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5"/>
          <w:szCs w:val="15"/>
          <w:color w:val="auto"/>
        </w:rPr>
        <w:t>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w:t>
      </w:r>
    </w:p>
    <w:p>
      <w:pPr>
        <w:spacing w:after="0" w:line="94" w:lineRule="exact"/>
        <w:rPr>
          <w:sz w:val="20"/>
          <w:szCs w:val="20"/>
          <w:color w:val="auto"/>
        </w:rPr>
      </w:pPr>
    </w:p>
    <w:p>
      <w:pPr>
        <w:ind w:right="200" w:firstLine="451"/>
        <w:spacing w:after="0" w:line="254" w:lineRule="auto"/>
        <w:rPr>
          <w:sz w:val="20"/>
          <w:szCs w:val="20"/>
          <w:color w:val="auto"/>
        </w:rPr>
      </w:pPr>
      <w:r>
        <w:rPr>
          <w:rFonts w:ascii="Arial" w:cs="Arial" w:eastAsia="Arial" w:hAnsi="Arial"/>
          <w:sz w:val="15"/>
          <w:szCs w:val="15"/>
          <w:color w:val="auto"/>
        </w:rPr>
        <w:t>In March 2020, in response to the World Health Organization’s declaration of COVID-19, we drew down the full $40.0 million available from our 2018 Revolving Facility. The 2018 Revolving Facility was paid in full in May 2020.</w:t>
      </w:r>
    </w:p>
    <w:p>
      <w:pPr>
        <w:spacing w:after="0" w:line="86" w:lineRule="exact"/>
        <w:rPr>
          <w:sz w:val="20"/>
          <w:szCs w:val="20"/>
          <w:color w:val="auto"/>
        </w:rPr>
      </w:pPr>
    </w:p>
    <w:p>
      <w:pPr>
        <w:ind w:firstLine="451"/>
        <w:spacing w:after="0" w:line="290" w:lineRule="auto"/>
        <w:rPr>
          <w:sz w:val="20"/>
          <w:szCs w:val="20"/>
          <w:color w:val="auto"/>
        </w:rPr>
      </w:pPr>
      <w:r>
        <w:rPr>
          <w:rFonts w:ascii="Arial" w:cs="Arial" w:eastAsia="Arial" w:hAnsi="Arial"/>
          <w:sz w:val="14"/>
          <w:szCs w:val="14"/>
          <w:color w:val="auto"/>
        </w:rPr>
        <w:t>We determined that the fair value of our long-term debt approximated its carrying value as of December 31, 2020. We estimated the fair value of our long-term debt using Level 2 inputs based on recent observable trades of our 2018 Term Loan. The effective interest rate of the 2018 Term Loan was 5.1% for December 31, 2020.</w:t>
      </w:r>
    </w:p>
    <w:p>
      <w:pPr>
        <w:spacing w:after="0" w:line="62" w:lineRule="exact"/>
        <w:rPr>
          <w:sz w:val="20"/>
          <w:szCs w:val="20"/>
          <w:color w:val="auto"/>
        </w:rPr>
      </w:pPr>
    </w:p>
    <w:p>
      <w:pPr>
        <w:ind w:right="20" w:firstLine="451"/>
        <w:spacing w:after="0" w:line="249" w:lineRule="auto"/>
        <w:rPr>
          <w:sz w:val="20"/>
          <w:szCs w:val="20"/>
          <w:color w:val="auto"/>
        </w:rPr>
      </w:pPr>
      <w:r>
        <w:rPr>
          <w:rFonts w:ascii="Arial" w:cs="Arial" w:eastAsia="Arial" w:hAnsi="Arial"/>
          <w:sz w:val="15"/>
          <w:szCs w:val="15"/>
          <w:color w:val="auto"/>
        </w:rPr>
        <w:t>At September 30, 2021, we had no amounts outstanding under our 2021 Revolving Facility or any outstanding letters of credit and at December 31, 2020, we had no amounts outstanding under our 2018 Revolving Facility or any outstanding letters of credit. We were in compliance with all financial covenants as of September 30, 2021 and December 31, 2020 under the respective credit facilities.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Derivatives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Swaps</w:t>
      </w:r>
    </w:p>
    <w:p>
      <w:pPr>
        <w:spacing w:after="0" w:line="119" w:lineRule="exact"/>
        <w:rPr>
          <w:sz w:val="20"/>
          <w:szCs w:val="20"/>
          <w:color w:val="auto"/>
        </w:rPr>
      </w:pPr>
    </w:p>
    <w:p>
      <w:pPr>
        <w:ind w:right="120" w:firstLine="451"/>
        <w:spacing w:after="0" w:line="247" w:lineRule="auto"/>
        <w:rPr>
          <w:sz w:val="20"/>
          <w:szCs w:val="20"/>
          <w:color w:val="auto"/>
        </w:rPr>
      </w:pPr>
      <w:r>
        <w:rPr>
          <w:rFonts w:ascii="Arial" w:cs="Arial" w:eastAsia="Arial" w:hAnsi="Arial"/>
          <w:sz w:val="15"/>
          <w:szCs w:val="15"/>
          <w:color w:val="auto"/>
        </w:rPr>
        <w:t>At June 30, 2021, we held interest rate swap contracts with an aggregate notional amount of $394.2 million, which were designated as cash flow hedges. In July 2021, upon the full repayment of our 2018 Term Loan, our interest rate swaps were discontinued as cash flow hedges and were subsequently extinguished. We paid $13.6 million to extinguish our interest rate swaps and hybrid debt. Upon discontinuance of the interest rate swaps as cash flow hedges, the unrealized losses of $9.2 million, for the intervening period were recognized in interest expense, net.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Guarantee</w:t>
      </w:r>
    </w:p>
    <w:p>
      <w:pPr>
        <w:spacing w:after="0" w:line="119" w:lineRule="exact"/>
        <w:rPr>
          <w:sz w:val="20"/>
          <w:szCs w:val="20"/>
          <w:color w:val="auto"/>
        </w:rPr>
      </w:pPr>
    </w:p>
    <w:p>
      <w:pPr>
        <w:ind w:right="40" w:firstLine="451"/>
        <w:spacing w:after="0" w:line="249" w:lineRule="auto"/>
        <w:rPr>
          <w:sz w:val="20"/>
          <w:szCs w:val="20"/>
          <w:color w:val="auto"/>
        </w:rPr>
      </w:pPr>
      <w:r>
        <w:rPr>
          <w:rFonts w:ascii="Arial" w:cs="Arial" w:eastAsia="Arial" w:hAnsi="Arial"/>
          <w:sz w:val="15"/>
          <w:szCs w:val="15"/>
          <w:color w:val="auto"/>
        </w:rPr>
        <w:t>In June 2021, our financial guarantee of the personal loan of a former executive officer was waived and we recognized a gain of $0.1 million from the cancellation of our financial guarantee derivative in other income (expense), net in the accompanying condensed consolidated statements of operations. The associated restricted cash equivalent of $25.0 million became unrestricted and was reclassified to cash and cash equivalents.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Pr>
          <w:p>
            <w:pPr>
              <w:ind w:left="460"/>
              <w:spacing w:after="0"/>
              <w:rPr>
                <w:sz w:val="20"/>
                <w:szCs w:val="20"/>
                <w:color w:val="auto"/>
              </w:rPr>
            </w:pPr>
            <w:r>
              <w:rPr>
                <w:rFonts w:ascii="Arial" w:cs="Arial" w:eastAsia="Arial" w:hAnsi="Arial"/>
                <w:sz w:val="15"/>
                <w:szCs w:val="15"/>
                <w:color w:val="auto"/>
              </w:rPr>
              <w:t>Derivative financial instruments and hybrid debt consisted of the following (in thousands):</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81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 derivative liability, current portion</w:t>
            </w:r>
          </w:p>
        </w:tc>
        <w:tc>
          <w:tcPr>
            <w:tcW w:w="58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3,640</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Financial guarantee</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derivative liability, net of current portion</w:t>
            </w:r>
          </w:p>
        </w:tc>
        <w:tc>
          <w:tcPr>
            <w:tcW w:w="58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3,790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Hybrid debt, current portion</w:t>
            </w:r>
          </w:p>
        </w:tc>
        <w:tc>
          <w:tcPr>
            <w:tcW w:w="58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2,954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Hybrid debt, net of current portion</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vMerge w:val="continue"/>
          </w:tcPr>
          <w:p>
            <w:pPr>
              <w:spacing w:after="0"/>
              <w:rPr>
                <w:sz w:val="15"/>
                <w:szCs w:val="15"/>
                <w:color w:val="auto"/>
              </w:rPr>
            </w:pPr>
          </w:p>
        </w:tc>
        <w:tc>
          <w:tcPr>
            <w:tcW w:w="5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8,152</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interest rate swaps as of September 30, 2021.</w:t>
      </w:r>
    </w:p>
    <w:p>
      <w:pPr>
        <w:spacing w:after="0" w:line="204" w:lineRule="exact"/>
        <w:rPr>
          <w:sz w:val="20"/>
          <w:szCs w:val="20"/>
          <w:color w:val="auto"/>
        </w:rPr>
      </w:pPr>
    </w:p>
    <w:p>
      <w:pPr>
        <w:ind w:right="160" w:firstLine="451"/>
        <w:spacing w:after="0" w:line="254" w:lineRule="auto"/>
        <w:rPr>
          <w:sz w:val="20"/>
          <w:szCs w:val="20"/>
          <w:color w:val="auto"/>
        </w:rPr>
      </w:pPr>
      <w:r>
        <w:rPr>
          <w:rFonts w:ascii="Arial" w:cs="Arial" w:eastAsia="Arial" w:hAnsi="Arial"/>
          <w:sz w:val="15"/>
          <w:szCs w:val="15"/>
          <w:color w:val="auto"/>
        </w:rPr>
        <w:t>The impact from losses from our interest rate cap, interest rate swaps, and hybrid debt on our condensed consolidated statements of operations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40" w:type="dxa"/>
            <w:vAlign w:val="bottom"/>
          </w:tcPr>
          <w:p>
            <w:pPr>
              <w:spacing w:after="0"/>
              <w:rPr>
                <w:sz w:val="18"/>
                <w:szCs w:val="18"/>
                <w:color w:val="auto"/>
              </w:rPr>
            </w:pPr>
          </w:p>
        </w:tc>
        <w:tc>
          <w:tcPr>
            <w:tcW w:w="314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0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Settlement of interest rate swaps</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Amortization of prior hedge effectiveness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2,226</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 of interest rate swap</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Amortization of interest rate cap premium</w:t>
            </w:r>
          </w:p>
        </w:tc>
        <w:tc>
          <w:tcPr>
            <w:tcW w:w="9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159</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on hybrid debt</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w:t>
            </w:r>
          </w:p>
        </w:tc>
      </w:tr>
      <w:tr>
        <w:trPr>
          <w:trHeight w:val="206"/>
        </w:trPr>
        <w:tc>
          <w:tcPr>
            <w:tcW w:w="5040" w:type="dxa"/>
            <w:vAlign w:val="bottom"/>
          </w:tcPr>
          <w:p>
            <w:pPr>
              <w:ind w:left="20"/>
              <w:spacing w:after="0"/>
              <w:rPr>
                <w:sz w:val="20"/>
                <w:szCs w:val="20"/>
                <w:color w:val="auto"/>
              </w:rPr>
            </w:pPr>
            <w:r>
              <w:rPr>
                <w:rFonts w:ascii="Arial" w:cs="Arial" w:eastAsia="Arial" w:hAnsi="Arial"/>
                <w:sz w:val="15"/>
                <w:szCs w:val="15"/>
                <w:color w:val="auto"/>
              </w:rPr>
              <w:t>Discontinuance of interest rate swaps and prior hedge effectiveness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9,240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9,240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0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recorded in interest expense, net</w:t>
            </w:r>
          </w:p>
        </w:tc>
        <w:tc>
          <w:tcPr>
            <w:tcW w:w="98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Commitments and Contingencies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19" w:lineRule="exact"/>
        <w:rPr>
          <w:sz w:val="20"/>
          <w:szCs w:val="20"/>
          <w:color w:val="auto"/>
        </w:rPr>
      </w:pPr>
    </w:p>
    <w:p>
      <w:pPr>
        <w:jc w:val="both"/>
        <w:ind w:right="20" w:firstLine="451"/>
        <w:spacing w:after="0" w:line="249" w:lineRule="auto"/>
        <w:rPr>
          <w:sz w:val="20"/>
          <w:szCs w:val="20"/>
          <w:color w:val="auto"/>
        </w:rPr>
      </w:pPr>
      <w:r>
        <w:rPr>
          <w:rFonts w:ascii="Arial" w:cs="Arial" w:eastAsia="Arial" w:hAnsi="Arial"/>
          <w:sz w:val="15"/>
          <w:szCs w:val="15"/>
          <w:color w:val="auto"/>
        </w:rPr>
        <w:t>We conduct operations from certain leased facilities in various locations. At September 30, 2021, we had various non-cancelable operating leases for office space and equipment, which expire between December 2021 and December 2023. Future minimum payments under operating leases at September 30, 2021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305"/>
              <w:spacing w:after="0"/>
              <w:rPr>
                <w:sz w:val="20"/>
                <w:szCs w:val="20"/>
                <w:color w:val="auto"/>
              </w:rPr>
            </w:pPr>
            <w:r>
              <w:rPr>
                <w:rFonts w:ascii="Arial" w:cs="Arial" w:eastAsia="Arial" w:hAnsi="Arial"/>
                <w:sz w:val="15"/>
                <w:szCs w:val="15"/>
                <w:b w:val="1"/>
                <w:bCs w:val="1"/>
                <w:color w:val="auto"/>
              </w:rPr>
              <w:t>Operating</w:t>
            </w:r>
          </w:p>
        </w:tc>
      </w:tr>
      <w:tr>
        <w:trPr>
          <w:trHeight w:val="209"/>
        </w:trPr>
        <w:tc>
          <w:tcPr>
            <w:tcW w:w="9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Leases</w:t>
            </w:r>
          </w:p>
        </w:tc>
      </w:tr>
      <w:tr>
        <w:trPr>
          <w:trHeight w:val="213"/>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 (remaining three months)</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r>
      <w:tr>
        <w:trPr>
          <w:trHeight w:val="204"/>
        </w:trPr>
        <w:tc>
          <w:tcPr>
            <w:tcW w:w="9760" w:type="dxa"/>
            <w:vAlign w:val="bottom"/>
          </w:tcPr>
          <w:p>
            <w:pPr>
              <w:ind w:left="20"/>
              <w:spacing w:after="0"/>
              <w:rPr>
                <w:sz w:val="20"/>
                <w:szCs w:val="20"/>
                <w:color w:val="auto"/>
              </w:rPr>
            </w:pPr>
            <w:r>
              <w:rPr>
                <w:rFonts w:ascii="Arial" w:cs="Arial" w:eastAsia="Arial" w:hAnsi="Arial"/>
                <w:sz w:val="15"/>
                <w:szCs w:val="15"/>
                <w:color w:val="auto"/>
              </w:rPr>
              <w:t>2022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2,313</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w:t>
            </w:r>
          </w:p>
        </w:tc>
      </w:tr>
      <w:tr>
        <w:trPr>
          <w:trHeight w:val="198"/>
        </w:trPr>
        <w:tc>
          <w:tcPr>
            <w:tcW w:w="9760" w:type="dxa"/>
            <w:vAlign w:val="bottom"/>
          </w:tcPr>
          <w:p>
            <w:pPr>
              <w:ind w:left="300"/>
              <w:spacing w:after="0"/>
              <w:rPr>
                <w:sz w:val="20"/>
                <w:szCs w:val="20"/>
                <w:color w:val="auto"/>
              </w:rPr>
            </w:pPr>
            <w:r>
              <w:rPr>
                <w:rFonts w:ascii="Arial" w:cs="Arial" w:eastAsia="Arial" w:hAnsi="Arial"/>
                <w:sz w:val="15"/>
                <w:szCs w:val="15"/>
                <w:color w:val="auto"/>
              </w:rPr>
              <w:t>Total minimum lease payments</w:t>
            </w: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3,559</w:t>
            </w:r>
          </w:p>
        </w:tc>
      </w:tr>
      <w:tr>
        <w:trPr>
          <w:trHeight w:val="25"/>
        </w:trPr>
        <w:tc>
          <w:tcPr>
            <w:tcW w:w="9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Advertising, Media and Other Commitments</w:t>
      </w:r>
    </w:p>
    <w:p>
      <w:pPr>
        <w:spacing w:after="0" w:line="119" w:lineRule="exact"/>
        <w:rPr>
          <w:sz w:val="20"/>
          <w:szCs w:val="20"/>
          <w:color w:val="auto"/>
        </w:rPr>
      </w:pPr>
    </w:p>
    <w:p>
      <w:pPr>
        <w:ind w:right="180" w:firstLine="451"/>
        <w:spacing w:after="0" w:line="247" w:lineRule="auto"/>
        <w:rPr>
          <w:sz w:val="20"/>
          <w:szCs w:val="20"/>
          <w:color w:val="auto"/>
        </w:rPr>
      </w:pPr>
      <w:r>
        <w:rPr>
          <w:rFonts w:ascii="Arial" w:cs="Arial" w:eastAsia="Arial" w:hAnsi="Arial"/>
          <w:sz w:val="15"/>
          <w:szCs w:val="15"/>
          <w:color w:val="auto"/>
        </w:rPr>
        <w:t>We use a variety of media to advertise our services, including search engine marketing, television and radio. At September 30, 2021, we had non-cancelable minimum advertising and media commitments for future advertising spots of $30.3 million, substantially all of which will be paid over a three-year period. We also have non-cancelable agreements with various vendors, which require us to pay $30.2 million over a five-year period, of which $25.9 million remains to be paid as of September 30, 2021.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Legal Proceedings</w:t>
      </w:r>
    </w:p>
    <w:p>
      <w:pPr>
        <w:spacing w:after="0" w:line="119"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Dun &amp; Bradstreet has suffered any harm or damages. We believe we have meritorious defenses to the claims and will vigorously defend any action. We are unable to predict the ultimate outcome of this matter. We have not recorded any loss or accrual in the accompanying unaudited condensed consolidated financial statements at September 30, 2021 for this matter as a loss is not probable and reasonably estimable. There is at least a reasonable possibility that a loss may have been incurred for this contingency, however, we cannot make an estimate of the possible loss or range of loss.</w:t>
      </w:r>
    </w:p>
    <w:p>
      <w:pPr>
        <w:spacing w:after="0" w:line="92"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We initiated arbitration on October 28, 2020 against one of our vendors. The demand for arbitration alleges breach of contract and breach of covenant of good faith and fair dealing, and seeks declaratory relief and at least $5.6 million in damages. On December 7, 2020, the vendor filed a counterdemand alleging breach of contract and breach of the covenant of good faith and fair dealing, seeking declaratory relief and at least $6.1 million in damages. We replied to the counterdemand on January 19, 2021. The parties reached the terms of a global settlement on August 21, 2021. This settlement was not material to our business, results of operations, cash flows and financial condition.</w:t>
      </w:r>
    </w:p>
    <w:p>
      <w:pPr>
        <w:spacing w:after="0" w:line="94"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were served on February 9, 2021 with a class action complaint, filed in Los Angeles Superior Court and removed to federal court on March 11, 2021, from a Florida resident who claims to have visited the www.legalzoom.com website. The plaintiff alleges that the website’s use of session replay software was an unlawful interception of electronic communications under the Florida Security Communications Act. The plaintiff sought damages on behalf of the purported class as well as injunctive and declaratory relief. On May 7, 2021, the plaintiff filed a notice of dismissal without prejudice. We are unable to predict the ultimate outcome of this matter. We have not recorded any loss or accrual in the accompanying unaudited condensed consolidated financial statements at September 30, 2021 for this matter as a loss is not probable and reasonably estimable. There is at least a reasonable possibility that a loss may have been incurred for this contingency, however, we cannot make an estimate of the possible loss or range of loss.</w:t>
      </w:r>
    </w:p>
    <w:p>
      <w:pPr>
        <w:spacing w:after="0" w:line="92"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In July 2021, LegalInc Corporate Services Inc., or LegalInc, LegalZoom’s wholly owned subsidiary, received a citation from a Secretary of State regarding LegalInc’s registered agent services in the State. LegalInc has requested a hearing to review the matter. We are unable to predict the ultimate outcome of this matter. We have not recorded any loss or accrual in the accompanying unaudited condensed consolidated financial statements at September 30, 2021 for this matter as a loss is not probable and reasonably estimable. There is at least a reasonable possibility that a loss may be incurred for this contingency, however, we cannot make an estimate of the possible loss or range of loss. If this matter is not resolved in our favor, the losses arising from the result of a final ruling, hearing or settlements may have a material adverse effect on our business, results of operations, cash flows and financial condition.</w:t>
      </w:r>
    </w:p>
    <w:p>
      <w:pPr>
        <w:spacing w:after="0" w:line="93" w:lineRule="exact"/>
        <w:rPr>
          <w:sz w:val="20"/>
          <w:szCs w:val="20"/>
          <w:color w:val="auto"/>
        </w:rPr>
      </w:pPr>
    </w:p>
    <w:p>
      <w:pPr>
        <w:ind w:right="40" w:firstLine="451"/>
        <w:spacing w:after="0" w:line="249" w:lineRule="auto"/>
        <w:rPr>
          <w:sz w:val="20"/>
          <w:szCs w:val="20"/>
          <w:color w:val="auto"/>
        </w:rPr>
      </w:pPr>
      <w:r>
        <w:rPr>
          <w:rFonts w:ascii="Arial" w:cs="Arial" w:eastAsia="Arial" w:hAnsi="Arial"/>
          <w:sz w:val="15"/>
          <w:szCs w:val="15"/>
          <w:color w:val="auto"/>
        </w:rPr>
        <w:t>We are involved in inactive state administrative inquiries relating to the unauthorized practice of law or insurance. Because these are inquiries and no claims have been alleged or asserted against us, we cannot predict the outcome of these inquiries or whether these matters will result in litigation or any outcome of potential litigation.</w:t>
      </w:r>
    </w:p>
    <w:p>
      <w:pPr>
        <w:spacing w:after="0" w:line="90" w:lineRule="exact"/>
        <w:rPr>
          <w:sz w:val="20"/>
          <w:szCs w:val="20"/>
          <w:color w:val="auto"/>
        </w:rPr>
      </w:pPr>
    </w:p>
    <w:p>
      <w:pPr>
        <w:ind w:right="140" w:firstLine="451"/>
        <w:spacing w:after="0" w:line="249" w:lineRule="auto"/>
        <w:rPr>
          <w:sz w:val="20"/>
          <w:szCs w:val="20"/>
          <w:color w:val="auto"/>
        </w:rPr>
      </w:pPr>
      <w:r>
        <w:rPr>
          <w:rFonts w:ascii="Arial" w:cs="Arial" w:eastAsia="Arial" w:hAnsi="Arial"/>
          <w:sz w:val="15"/>
          <w:szCs w:val="15"/>
          <w:color w:val="auto"/>
        </w:rPr>
        <w:t>From time to time, we may become subject to legal proceedings, claims and litigation arising in the ordinary course of business. Other than described above,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Indemnifications</w:t>
      </w:r>
    </w:p>
    <w:p>
      <w:pPr>
        <w:spacing w:after="0" w:line="119" w:lineRule="exact"/>
        <w:rPr>
          <w:sz w:val="20"/>
          <w:szCs w:val="20"/>
          <w:color w:val="auto"/>
        </w:rPr>
      </w:pPr>
    </w:p>
    <w:p>
      <w:pPr>
        <w:ind w:right="40" w:firstLine="451"/>
        <w:spacing w:after="0" w:line="247" w:lineRule="auto"/>
        <w:rPr>
          <w:sz w:val="20"/>
          <w:szCs w:val="20"/>
          <w:color w:val="auto"/>
        </w:rPr>
      </w:pPr>
      <w:r>
        <w:rPr>
          <w:rFonts w:ascii="Arial" w:cs="Arial" w:eastAsia="Arial" w:hAnsi="Arial"/>
          <w:sz w:val="15"/>
          <w:szCs w:val="15"/>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indeterminable.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Stock-based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Stock-based Compensation Cost</w:t>
      </w:r>
    </w:p>
    <w:p>
      <w:pPr>
        <w:spacing w:after="0" w:line="119" w:lineRule="exact"/>
        <w:rPr>
          <w:sz w:val="20"/>
          <w:szCs w:val="20"/>
          <w:color w:val="auto"/>
        </w:rPr>
      </w:pPr>
    </w:p>
    <w:p>
      <w:pPr>
        <w:ind w:right="380" w:firstLine="451"/>
        <w:spacing w:after="0" w:line="254" w:lineRule="auto"/>
        <w:rPr>
          <w:sz w:val="20"/>
          <w:szCs w:val="20"/>
          <w:color w:val="auto"/>
        </w:rPr>
      </w:pPr>
      <w:r>
        <w:rPr>
          <w:rFonts w:ascii="Arial" w:cs="Arial" w:eastAsia="Arial" w:hAnsi="Arial"/>
          <w:sz w:val="15"/>
          <w:szCs w:val="15"/>
          <w:color w:val="auto"/>
        </w:rPr>
        <w:t>We recorded stock-based compensation cost in the following categories in the accompanying condensed consolidated statements of operations and balance sheets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40" w:type="dxa"/>
            <w:vAlign w:val="bottom"/>
          </w:tcPr>
          <w:p>
            <w:pPr>
              <w:spacing w:after="0"/>
              <w:rPr>
                <w:sz w:val="18"/>
                <w:szCs w:val="18"/>
                <w:color w:val="auto"/>
              </w:rPr>
            </w:pPr>
          </w:p>
        </w:tc>
        <w:tc>
          <w:tcPr>
            <w:tcW w:w="314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0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Sales and marketing</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950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and development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2,153</w:t>
            </w:r>
          </w:p>
        </w:tc>
      </w:tr>
      <w:tr>
        <w:trPr>
          <w:trHeight w:val="20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and administrative</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7,383</w:t>
            </w:r>
          </w:p>
        </w:tc>
      </w:tr>
      <w:tr>
        <w:trPr>
          <w:trHeight w:val="213"/>
        </w:trPr>
        <w:tc>
          <w:tcPr>
            <w:tcW w:w="5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stock-based compensation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10,617</w:t>
            </w:r>
          </w:p>
        </w:tc>
      </w:tr>
      <w:tr>
        <w:trPr>
          <w:trHeight w:val="20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Amount capitalized to internal-use software</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r>
      <w:tr>
        <w:trPr>
          <w:trHeight w:val="231"/>
        </w:trPr>
        <w:tc>
          <w:tcPr>
            <w:tcW w:w="5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stock-based compensation</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38,074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86,996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Options</w:t>
      </w:r>
    </w:p>
    <w:p>
      <w:pPr>
        <w:spacing w:after="0" w:line="119" w:lineRule="exact"/>
        <w:rPr>
          <w:sz w:val="20"/>
          <w:szCs w:val="20"/>
          <w:color w:val="auto"/>
        </w:rPr>
      </w:pPr>
    </w:p>
    <w:p>
      <w:pPr>
        <w:ind w:right="740" w:firstLine="451"/>
        <w:spacing w:after="0" w:line="254" w:lineRule="auto"/>
        <w:rPr>
          <w:sz w:val="20"/>
          <w:szCs w:val="20"/>
          <w:color w:val="auto"/>
        </w:rPr>
      </w:pPr>
      <w:r>
        <w:rPr>
          <w:rFonts w:ascii="Arial" w:cs="Arial" w:eastAsia="Arial" w:hAnsi="Arial"/>
          <w:sz w:val="15"/>
          <w:szCs w:val="15"/>
          <w:color w:val="auto"/>
        </w:rPr>
        <w:t>Stock option activity for the nine months ended September 30, 2021 is as follows (in thousands, except weighted-average exercise price and remaining contractual life):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9"/>
              </w:rPr>
              <w:t>Weighted-</w:t>
            </w:r>
          </w:p>
        </w:tc>
        <w:tc>
          <w:tcPr>
            <w:tcW w:w="1580" w:type="dxa"/>
            <w:vAlign w:val="bottom"/>
            <w:gridSpan w:val="2"/>
          </w:tcPr>
          <w:p>
            <w:pPr>
              <w:jc w:val="center"/>
              <w:ind w:right="80"/>
              <w:spacing w:after="0" w:line="151" w:lineRule="exact"/>
              <w:rPr>
                <w:sz w:val="20"/>
                <w:szCs w:val="20"/>
                <w:color w:val="auto"/>
              </w:rPr>
            </w:pPr>
            <w:r>
              <w:rPr>
                <w:rFonts w:ascii="Arial" w:cs="Arial" w:eastAsia="Arial" w:hAnsi="Arial"/>
                <w:sz w:val="15"/>
                <w:szCs w:val="15"/>
                <w:b w:val="1"/>
                <w:bCs w:val="1"/>
                <w:color w:val="auto"/>
                <w:w w:val="97"/>
              </w:rPr>
              <w:t>Average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580" w:type="dxa"/>
            <w:vAlign w:val="bottom"/>
            <w:gridSpan w:val="2"/>
          </w:tcPr>
          <w:p>
            <w:pPr>
              <w:jc w:val="center"/>
              <w:ind w:right="80"/>
              <w:spacing w:after="0" w:line="151" w:lineRule="exact"/>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3"/>
                <w:szCs w:val="13"/>
                <w:color w:val="auto"/>
              </w:rPr>
            </w:pPr>
          </w:p>
        </w:tc>
        <w:tc>
          <w:tcPr>
            <w:tcW w:w="1240" w:type="dxa"/>
            <w:vAlign w:val="bottom"/>
            <w:vMerge w:val="restart"/>
          </w:tcPr>
          <w:p>
            <w:pPr>
              <w:jc w:val="center"/>
              <w:ind w:right="165"/>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rPr>
              <w:t>Number of</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97"/>
              </w:rPr>
              <w:t>Average</w:t>
            </w:r>
          </w:p>
        </w:tc>
        <w:tc>
          <w:tcPr>
            <w:tcW w:w="1580" w:type="dxa"/>
            <w:vAlign w:val="bottom"/>
            <w:gridSpan w:val="2"/>
          </w:tcPr>
          <w:p>
            <w:pPr>
              <w:jc w:val="center"/>
              <w:ind w:right="80"/>
              <w:spacing w:after="0" w:line="151" w:lineRule="exact"/>
              <w:rPr>
                <w:sz w:val="20"/>
                <w:szCs w:val="20"/>
                <w:color w:val="auto"/>
              </w:rPr>
            </w:pPr>
            <w:r>
              <w:rPr>
                <w:rFonts w:ascii="Arial" w:cs="Arial" w:eastAsia="Arial" w:hAnsi="Arial"/>
                <w:sz w:val="15"/>
                <w:szCs w:val="15"/>
                <w:b w:val="1"/>
                <w:bCs w:val="1"/>
                <w:color w:val="auto"/>
                <w:w w:val="98"/>
              </w:rPr>
              <w:t>Contractual</w:t>
            </w:r>
          </w:p>
        </w:tc>
        <w:tc>
          <w:tcPr>
            <w:tcW w:w="2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rPr>
              <w:t>Exercise</w:t>
            </w:r>
          </w:p>
        </w:tc>
        <w:tc>
          <w:tcPr>
            <w:tcW w:w="1580" w:type="dxa"/>
            <w:vAlign w:val="bottom"/>
            <w:gridSpan w:val="2"/>
          </w:tcPr>
          <w:p>
            <w:pPr>
              <w:jc w:val="center"/>
              <w:ind w:right="80"/>
              <w:spacing w:after="0" w:line="151" w:lineRule="exact"/>
              <w:rPr>
                <w:sz w:val="20"/>
                <w:szCs w:val="20"/>
                <w:color w:val="auto"/>
              </w:rPr>
            </w:pPr>
            <w:r>
              <w:rPr>
                <w:rFonts w:ascii="Arial" w:cs="Arial" w:eastAsia="Arial" w:hAnsi="Arial"/>
                <w:sz w:val="15"/>
                <w:szCs w:val="15"/>
                <w:b w:val="1"/>
                <w:bCs w:val="1"/>
                <w:color w:val="auto"/>
                <w:w w:val="97"/>
              </w:rPr>
              <w:t>Life</w:t>
            </w:r>
          </w:p>
        </w:tc>
        <w:tc>
          <w:tcPr>
            <w:tcW w:w="240" w:type="dxa"/>
            <w:vAlign w:val="bottom"/>
          </w:tcPr>
          <w:p>
            <w:pPr>
              <w:spacing w:after="0"/>
              <w:rPr>
                <w:sz w:val="13"/>
                <w:szCs w:val="13"/>
                <w:color w:val="auto"/>
              </w:rPr>
            </w:pPr>
          </w:p>
        </w:tc>
        <w:tc>
          <w:tcPr>
            <w:tcW w:w="1240" w:type="dxa"/>
            <w:vAlign w:val="bottom"/>
          </w:tcPr>
          <w:p>
            <w:pPr>
              <w:jc w:val="center"/>
              <w:ind w:right="165"/>
              <w:spacing w:after="0" w:line="151" w:lineRule="exact"/>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99"/>
        </w:trPr>
        <w:tc>
          <w:tcPr>
            <w:tcW w:w="50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8"/>
              </w:rPr>
              <w:t>Options</w:t>
            </w:r>
          </w:p>
        </w:tc>
        <w:tc>
          <w:tcPr>
            <w:tcW w:w="26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7"/>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9"/>
              </w:rPr>
              <w:t>(in Years)</w:t>
            </w:r>
          </w:p>
        </w:tc>
        <w:tc>
          <w:tcPr>
            <w:tcW w:w="240" w:type="dxa"/>
            <w:vAlign w:val="bottom"/>
          </w:tcPr>
          <w:p>
            <w:pPr>
              <w:spacing w:after="0"/>
              <w:rPr>
                <w:sz w:val="17"/>
                <w:szCs w:val="17"/>
                <w:color w:val="auto"/>
              </w:rPr>
            </w:pPr>
          </w:p>
        </w:tc>
        <w:tc>
          <w:tcPr>
            <w:tcW w:w="1240" w:type="dxa"/>
            <w:vAlign w:val="bottom"/>
          </w:tcPr>
          <w:p>
            <w:pPr>
              <w:jc w:val="center"/>
              <w:ind w:right="165"/>
              <w:spacing w:after="0"/>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207"/>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Outstanding at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15,235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15,873</w:t>
            </w:r>
          </w:p>
        </w:tc>
        <w:tc>
          <w:tcPr>
            <w:tcW w:w="0" w:type="dxa"/>
            <w:vAlign w:val="bottom"/>
          </w:tcPr>
          <w:p>
            <w:pPr>
              <w:spacing w:after="0"/>
              <w:rPr>
                <w:sz w:val="1"/>
                <w:szCs w:val="1"/>
                <w:color w:val="auto"/>
              </w:rPr>
            </w:pP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Granted</w:t>
            </w:r>
          </w:p>
        </w:tc>
        <w:tc>
          <w:tcPr>
            <w:tcW w:w="1480" w:type="dxa"/>
            <w:vAlign w:val="bottom"/>
          </w:tcPr>
          <w:p>
            <w:pPr>
              <w:jc w:val="right"/>
              <w:spacing w:after="0"/>
              <w:rPr>
                <w:sz w:val="20"/>
                <w:szCs w:val="20"/>
                <w:color w:val="auto"/>
              </w:rPr>
            </w:pPr>
            <w:r>
              <w:rPr>
                <w:rFonts w:ascii="Arial" w:cs="Arial" w:eastAsia="Arial" w:hAnsi="Arial"/>
                <w:sz w:val="15"/>
                <w:szCs w:val="15"/>
                <w:color w:val="auto"/>
              </w:rPr>
              <w:t>971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28.00</w:t>
            </w: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Cancelled/forfeited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Outstanding at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15,572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10.28</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252,542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Vested and expected to vest at September 30,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15,544</w:t>
            </w:r>
          </w:p>
        </w:tc>
        <w:tc>
          <w:tcPr>
            <w:tcW w:w="80" w:type="dxa"/>
            <w:vAlign w:val="bottom"/>
          </w:tcPr>
          <w:p>
            <w:pPr>
              <w:spacing w:after="0"/>
              <w:rPr>
                <w:sz w:val="15"/>
                <w:szCs w:val="15"/>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10.29</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5"/>
                <w:szCs w:val="15"/>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251,962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Exercisable at September 30, 2021</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117,605</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320" w:firstLine="451"/>
        <w:spacing w:after="0" w:line="254" w:lineRule="auto"/>
        <w:rPr>
          <w:sz w:val="20"/>
          <w:szCs w:val="20"/>
          <w:color w:val="auto"/>
        </w:rPr>
      </w:pPr>
      <w:r>
        <w:rPr>
          <w:rFonts w:ascii="Arial" w:cs="Arial" w:eastAsia="Arial" w:hAnsi="Arial"/>
          <w:sz w:val="15"/>
          <w:szCs w:val="15"/>
          <w:color w:val="auto"/>
        </w:rPr>
        <w:t>At September 30, 2021, total unrecognized stock-based compensation expense is $71.4 million, which is expected to be recognized over a weighted-average period of 2.7 years.</w:t>
      </w:r>
    </w:p>
    <w:p>
      <w:pPr>
        <w:spacing w:after="0" w:line="187" w:lineRule="exact"/>
        <w:rPr>
          <w:sz w:val="20"/>
          <w:szCs w:val="20"/>
          <w:color w:val="auto"/>
        </w:rPr>
      </w:pPr>
    </w:p>
    <w:p>
      <w:pPr>
        <w:ind w:right="220" w:firstLine="451"/>
        <w:spacing w:after="0" w:line="254" w:lineRule="auto"/>
        <w:rPr>
          <w:sz w:val="20"/>
          <w:szCs w:val="20"/>
          <w:color w:val="auto"/>
        </w:rPr>
      </w:pPr>
      <w:r>
        <w:rPr>
          <w:rFonts w:ascii="Arial" w:cs="Arial" w:eastAsia="Arial" w:hAnsi="Arial"/>
          <w:sz w:val="15"/>
          <w:szCs w:val="15"/>
          <w:color w:val="auto"/>
        </w:rPr>
        <w:t>The weighted-average assumptions used to calculate the grant-date fair value of our stock option grants using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20" w:type="dxa"/>
            <w:vAlign w:val="bottom"/>
          </w:tcPr>
          <w:p>
            <w:pPr>
              <w:spacing w:after="0"/>
              <w:rPr>
                <w:sz w:val="18"/>
                <w:szCs w:val="18"/>
                <w:color w:val="auto"/>
              </w:rPr>
            </w:pPr>
          </w:p>
        </w:tc>
        <w:tc>
          <w:tcPr>
            <w:tcW w:w="326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 September 30,</w:t>
            </w:r>
          </w:p>
        </w:tc>
        <w:tc>
          <w:tcPr>
            <w:tcW w:w="3160" w:type="dxa"/>
            <w:vAlign w:val="bottom"/>
            <w:gridSpan w:val="3"/>
          </w:tcPr>
          <w:p>
            <w:pPr>
              <w:jc w:val="right"/>
              <w:ind w:right="265"/>
              <w:spacing w:after="0"/>
              <w:rPr>
                <w:sz w:val="20"/>
                <w:szCs w:val="20"/>
                <w:color w:val="auto"/>
              </w:rPr>
            </w:pPr>
            <w:r>
              <w:rPr>
                <w:rFonts w:ascii="Arial" w:cs="Arial" w:eastAsia="Arial" w:hAnsi="Arial"/>
                <w:sz w:val="15"/>
                <w:szCs w:val="15"/>
                <w:b w:val="1"/>
                <w:bCs w:val="1"/>
                <w:color w:val="auto"/>
              </w:rPr>
              <w:t>Nine Months Ended September 30,</w:t>
            </w:r>
          </w:p>
        </w:tc>
      </w:tr>
      <w:tr>
        <w:trPr>
          <w:trHeight w:val="201"/>
        </w:trPr>
        <w:tc>
          <w:tcPr>
            <w:tcW w:w="48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2020</w:t>
            </w:r>
          </w:p>
        </w:tc>
      </w:tr>
      <w:tr>
        <w:trPr>
          <w:trHeight w:val="21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Expected life (years)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204"/>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Risk-free interest rate</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154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22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194"/>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Expected dividend yield</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162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1540" w:type="dxa"/>
            <w:vAlign w:val="bottom"/>
          </w:tcPr>
          <w:p>
            <w:pPr>
              <w:jc w:val="right"/>
              <w:spacing w:after="0"/>
              <w:rPr>
                <w:sz w:val="20"/>
                <w:szCs w:val="20"/>
                <w:color w:val="auto"/>
              </w:rPr>
            </w:pPr>
            <w:r>
              <w:rPr>
                <w:rFonts w:ascii="Arial" w:cs="Arial" w:eastAsia="Arial" w:hAnsi="Arial"/>
                <w:sz w:val="15"/>
                <w:szCs w:val="15"/>
                <w:color w:val="auto"/>
              </w:rPr>
              <w:t>— %</w:t>
            </w:r>
          </w:p>
        </w:tc>
      </w:tr>
    </w:tbl>
    <w:p>
      <w:pPr>
        <w:spacing w:after="0" w:line="209" w:lineRule="exact"/>
        <w:rPr>
          <w:sz w:val="20"/>
          <w:szCs w:val="20"/>
          <w:color w:val="auto"/>
        </w:rPr>
      </w:pPr>
    </w:p>
    <w:p>
      <w:pPr>
        <w:ind w:right="180" w:firstLine="451"/>
        <w:spacing w:after="0" w:line="249" w:lineRule="auto"/>
        <w:rPr>
          <w:sz w:val="20"/>
          <w:szCs w:val="20"/>
          <w:color w:val="auto"/>
        </w:rPr>
      </w:pPr>
      <w:r>
        <w:rPr>
          <w:rFonts w:ascii="Arial" w:cs="Arial" w:eastAsia="Arial" w:hAnsi="Arial"/>
          <w:sz w:val="15"/>
          <w:szCs w:val="15"/>
          <w:color w:val="auto"/>
        </w:rPr>
        <w:t>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20"/>
        <w:spacing w:after="0" w:line="249" w:lineRule="auto"/>
        <w:rPr>
          <w:sz w:val="20"/>
          <w:szCs w:val="20"/>
          <w:color w:val="auto"/>
        </w:rPr>
      </w:pPr>
      <w:r>
        <w:rPr>
          <w:rFonts w:ascii="Arial" w:cs="Arial" w:eastAsia="Arial" w:hAnsi="Arial"/>
          <w:sz w:val="15"/>
          <w:szCs w:val="15"/>
          <w:color w:val="auto"/>
        </w:rPr>
        <w:t>based compensation expense was recognized until our IPO registration statement was declared effective. The related stock-based compensation expense for the three months ended September 30, 2021 was $1.5 million and stock-based compensation of $9.7 million will be recognized over a weighted-average requisite service period of approximately 3.9 years.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awards granted for the three months ended September 30, 2021.</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Units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Restricted stock unit, or RSU, activity for the nine months ended September 30, 2021 is as follows (in thousands, except weighted-average grant-date fair value):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65"/>
              <w:spacing w:after="0"/>
              <w:rPr>
                <w:sz w:val="20"/>
                <w:szCs w:val="20"/>
                <w:color w:val="auto"/>
              </w:rPr>
            </w:pPr>
            <w:r>
              <w:rPr>
                <w:rFonts w:ascii="Arial" w:cs="Arial" w:eastAsia="Arial" w:hAnsi="Arial"/>
                <w:sz w:val="15"/>
                <w:szCs w:val="15"/>
                <w:b w:val="1"/>
                <w:bCs w:val="1"/>
                <w:color w:val="auto"/>
                <w:w w:val="99"/>
              </w:rPr>
              <w:t>Weighted-</w:t>
            </w:r>
          </w:p>
        </w:tc>
        <w:tc>
          <w:tcPr>
            <w:tcW w:w="0" w:type="dxa"/>
            <w:vAlign w:val="bottom"/>
          </w:tcPr>
          <w:p>
            <w:pPr>
              <w:spacing w:after="0"/>
              <w:rPr>
                <w:sz w:val="1"/>
                <w:szCs w:val="1"/>
                <w:color w:val="auto"/>
              </w:rPr>
            </w:pPr>
          </w:p>
        </w:tc>
      </w:tr>
      <w:tr>
        <w:trPr>
          <w:trHeight w:val="150"/>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65"/>
              <w:spacing w:after="0" w:line="151"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50"/>
        </w:trPr>
        <w:tc>
          <w:tcPr>
            <w:tcW w:w="8180" w:type="dxa"/>
            <w:vAlign w:val="bottom"/>
          </w:tcPr>
          <w:p>
            <w:pPr>
              <w:spacing w:after="0"/>
              <w:rPr>
                <w:sz w:val="13"/>
                <w:szCs w:val="13"/>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w w:val="98"/>
              </w:rPr>
              <w:t>Number of</w:t>
            </w:r>
          </w:p>
        </w:tc>
        <w:tc>
          <w:tcPr>
            <w:tcW w:w="240" w:type="dxa"/>
            <w:vAlign w:val="bottom"/>
          </w:tcPr>
          <w:p>
            <w:pPr>
              <w:spacing w:after="0"/>
              <w:rPr>
                <w:sz w:val="13"/>
                <w:szCs w:val="13"/>
                <w:color w:val="auto"/>
              </w:rPr>
            </w:pPr>
          </w:p>
        </w:tc>
        <w:tc>
          <w:tcPr>
            <w:tcW w:w="1240" w:type="dxa"/>
            <w:vAlign w:val="bottom"/>
          </w:tcPr>
          <w:p>
            <w:pPr>
              <w:jc w:val="center"/>
              <w:ind w:right="165"/>
              <w:spacing w:after="0" w:line="151" w:lineRule="exact"/>
              <w:rPr>
                <w:sz w:val="20"/>
                <w:szCs w:val="20"/>
                <w:color w:val="auto"/>
              </w:rPr>
            </w:pPr>
            <w:r>
              <w:rPr>
                <w:rFonts w:ascii="Arial" w:cs="Arial" w:eastAsia="Arial" w:hAnsi="Arial"/>
                <w:sz w:val="15"/>
                <w:szCs w:val="15"/>
                <w:b w:val="1"/>
                <w:bCs w:val="1"/>
                <w:color w:val="auto"/>
                <w:w w:val="97"/>
              </w:rPr>
              <w:t>Grant-</w:t>
            </w:r>
          </w:p>
        </w:tc>
        <w:tc>
          <w:tcPr>
            <w:tcW w:w="0" w:type="dxa"/>
            <w:vAlign w:val="bottom"/>
          </w:tcPr>
          <w:p>
            <w:pPr>
              <w:spacing w:after="0"/>
              <w:rPr>
                <w:sz w:val="1"/>
                <w:szCs w:val="1"/>
                <w:color w:val="auto"/>
              </w:rPr>
            </w:pPr>
          </w:p>
        </w:tc>
      </w:tr>
      <w:tr>
        <w:trPr>
          <w:trHeight w:val="150"/>
        </w:trPr>
        <w:tc>
          <w:tcPr>
            <w:tcW w:w="81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65"/>
              <w:spacing w:after="0" w:line="151" w:lineRule="exact"/>
              <w:rPr>
                <w:sz w:val="20"/>
                <w:szCs w:val="20"/>
                <w:color w:val="auto"/>
              </w:rPr>
            </w:pPr>
            <w:r>
              <w:rPr>
                <w:rFonts w:ascii="Arial" w:cs="Arial" w:eastAsia="Arial" w:hAnsi="Arial"/>
                <w:sz w:val="15"/>
                <w:szCs w:val="15"/>
                <w:b w:val="1"/>
                <w:bCs w:val="1"/>
                <w:color w:val="auto"/>
                <w:w w:val="99"/>
              </w:rPr>
              <w:t>Date Fair</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9"/>
              </w:rPr>
              <w:t>Shares</w:t>
            </w:r>
          </w:p>
        </w:tc>
        <w:tc>
          <w:tcPr>
            <w:tcW w:w="240" w:type="dxa"/>
            <w:vAlign w:val="bottom"/>
          </w:tcPr>
          <w:p>
            <w:pPr>
              <w:spacing w:after="0"/>
              <w:rPr>
                <w:sz w:val="17"/>
                <w:szCs w:val="17"/>
                <w:color w:val="auto"/>
              </w:rPr>
            </w:pPr>
          </w:p>
        </w:tc>
        <w:tc>
          <w:tcPr>
            <w:tcW w:w="1240" w:type="dxa"/>
            <w:vAlign w:val="bottom"/>
          </w:tcPr>
          <w:p>
            <w:pPr>
              <w:jc w:val="center"/>
              <w:ind w:right="165"/>
              <w:spacing w:after="0"/>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207"/>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Unvested at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Arial" w:cs="Arial" w:eastAsia="Arial" w:hAnsi="Arial"/>
                <w:sz w:val="15"/>
                <w:szCs w:val="15"/>
                <w:color w:val="auto"/>
              </w:rPr>
              <w:t>Granted</w:t>
            </w:r>
          </w:p>
        </w:tc>
        <w:tc>
          <w:tcPr>
            <w:tcW w:w="1480" w:type="dxa"/>
            <w:vAlign w:val="bottom"/>
          </w:tcPr>
          <w:p>
            <w:pPr>
              <w:jc w:val="right"/>
              <w:spacing w:after="0"/>
              <w:rPr>
                <w:sz w:val="20"/>
                <w:szCs w:val="20"/>
                <w:color w:val="auto"/>
              </w:rPr>
            </w:pPr>
            <w:r>
              <w:rPr>
                <w:rFonts w:ascii="Arial" w:cs="Arial" w:eastAsia="Arial" w:hAnsi="Arial"/>
                <w:sz w:val="15"/>
                <w:szCs w:val="15"/>
                <w:color w:val="auto"/>
              </w:rPr>
              <w:t>1,978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18.87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Cancelled/forfeited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19.34</w:t>
            </w: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Unvested at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The fair value of vested RSUs for the nine months ended September 30, 2021 and 2020 was $20.0 million and $3.1 million, respectively. Our RSUs consist of time-based RSUs and various performance RSUs. For the three and nine months ended September 30, 2021, total stock-based compensation expense related to RSUs was $15.5 million and $27.7 million, respectively. For the three and nine months ended September 30, 2020, total stock-based compensation expense related to RSUs was $0.8 million and $3.2 million, respectively. At September 30, 2021, total remaining stock-based compensation expense for unvested RSU awards was $60.3 million, which is expected to be recognized over a weighted-average period of 3.2 years.</w:t>
      </w:r>
    </w:p>
    <w:p>
      <w:pPr>
        <w:spacing w:after="0" w:line="94" w:lineRule="exact"/>
        <w:rPr>
          <w:sz w:val="20"/>
          <w:szCs w:val="20"/>
          <w:color w:val="auto"/>
        </w:rPr>
      </w:pPr>
    </w:p>
    <w:p>
      <w:pPr>
        <w:ind w:right="60" w:firstLine="451"/>
        <w:spacing w:after="0" w:line="247" w:lineRule="auto"/>
        <w:rPr>
          <w:sz w:val="20"/>
          <w:szCs w:val="20"/>
          <w:color w:val="auto"/>
        </w:rPr>
      </w:pPr>
      <w:r>
        <w:rPr>
          <w:rFonts w:ascii="Arial" w:cs="Arial" w:eastAsia="Arial" w:hAnsi="Arial"/>
          <w:sz w:val="15"/>
          <w:szCs w:val="15"/>
          <w:color w:val="auto"/>
        </w:rPr>
        <w:t>In June 2021, we granted 388,389 RSUs with a value of $10.8 million to our executive officers that were contingent on the effectiveness of the registration statement of our IPO, or IPO RSUs. As the IPO was a performance condition, no stock-based compensation expense was recognized until our IPO registration statement was declared effective. Stock-based compensation expense for the three months ended September 30, 2021 was $1.4 million and stock-based compensation of $9.2 million will be recognized over a weighted-average requisite service period of approximately 3.9 years.</w:t>
      </w:r>
    </w:p>
    <w:p>
      <w:pPr>
        <w:spacing w:after="0" w:line="92" w:lineRule="exact"/>
        <w:rPr>
          <w:sz w:val="20"/>
          <w:szCs w:val="20"/>
          <w:color w:val="auto"/>
        </w:rPr>
      </w:pPr>
    </w:p>
    <w:p>
      <w:pPr>
        <w:ind w:right="120" w:firstLine="451"/>
        <w:spacing w:after="0" w:line="254" w:lineRule="auto"/>
        <w:rPr>
          <w:sz w:val="20"/>
          <w:szCs w:val="20"/>
          <w:color w:val="auto"/>
        </w:rPr>
      </w:pPr>
      <w:r>
        <w:rPr>
          <w:rFonts w:ascii="Arial" w:cs="Arial" w:eastAsia="Arial" w:hAnsi="Arial"/>
          <w:sz w:val="15"/>
          <w:szCs w:val="15"/>
          <w:color w:val="auto"/>
        </w:rPr>
        <w:t>Upon the effectiveness of our IPO and through September 30,2021, there were 476,646 RSUs that vested. Such shares of common stock will not be settled until after the lock-up period relating to our IPO ends in the fourth quarter of 2021.</w:t>
      </w:r>
    </w:p>
    <w:p>
      <w:pPr>
        <w:spacing w:after="0" w:line="86" w:lineRule="exact"/>
        <w:rPr>
          <w:sz w:val="20"/>
          <w:szCs w:val="20"/>
          <w:color w:val="auto"/>
        </w:rPr>
      </w:pPr>
    </w:p>
    <w:p>
      <w:pPr>
        <w:ind w:right="120" w:firstLine="451"/>
        <w:spacing w:after="0" w:line="246" w:lineRule="auto"/>
        <w:rPr>
          <w:sz w:val="20"/>
          <w:szCs w:val="20"/>
          <w:color w:val="auto"/>
        </w:rPr>
      </w:pPr>
      <w:r>
        <w:rPr>
          <w:rFonts w:ascii="Arial" w:cs="Arial" w:eastAsia="Arial" w:hAnsi="Arial"/>
          <w:sz w:val="15"/>
          <w:szCs w:val="15"/>
          <w:color w:val="auto"/>
        </w:rPr>
        <w:t>During the nine months ended September 30, 2021, we granted 1,338,028 liquidity event RSUs, or LERSUs, to various employees, which only vest upon the achievement of up to four-years of service and upon the consummation of a change in control, or CIC event, which included an IPO. Employees will be eligible to retain any vested awards up to a period of 6.5 years from their respective grant dates. If the recipient employee terminates for any reason other than for cause, the employee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spacing w:after="0" w:line="93" w:lineRule="exact"/>
        <w:rPr>
          <w:sz w:val="20"/>
          <w:szCs w:val="20"/>
          <w:color w:val="auto"/>
        </w:rPr>
      </w:pPr>
    </w:p>
    <w:p>
      <w:pPr>
        <w:ind w:right="60" w:firstLine="451"/>
        <w:spacing w:after="0" w:line="247" w:lineRule="auto"/>
        <w:rPr>
          <w:sz w:val="20"/>
          <w:szCs w:val="20"/>
          <w:color w:val="auto"/>
        </w:rPr>
      </w:pPr>
      <w:r>
        <w:rPr>
          <w:rFonts w:ascii="Arial" w:cs="Arial" w:eastAsia="Arial" w:hAnsi="Arial"/>
          <w:sz w:val="15"/>
          <w:szCs w:val="15"/>
          <w:color w:val="auto"/>
        </w:rPr>
        <w:t>Upon the effective date of our IPO registration statement on June 29, 2021, we commenced recognition of stock-based compensation for all LERSUs as the CIC performance event and service conditions for vested RSUs were satisfied. Stock-based compensation expense for these LERSUs of $12.1 million and $22.8 million was recognized on a graded vesting basis during the three and nine months ended September 30, 2021, respectively, for the portion of service completed by the employee from the grant date through September 30, 2021.</w:t>
      </w:r>
    </w:p>
    <w:p>
      <w:pPr>
        <w:spacing w:after="0" w:line="92"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firstLine="451"/>
        <w:spacing w:after="0" w:line="254" w:lineRule="auto"/>
        <w:rPr>
          <w:sz w:val="20"/>
          <w:szCs w:val="20"/>
          <w:color w:val="auto"/>
        </w:rPr>
      </w:pPr>
      <w:r>
        <w:rPr>
          <w:rFonts w:ascii="Arial" w:cs="Arial" w:eastAsia="Arial" w:hAnsi="Arial"/>
          <w:sz w:val="15"/>
          <w:szCs w:val="15"/>
          <w:color w:val="auto"/>
        </w:rPr>
        <w:t>Stock-option and RSU activity described above, including total stock-based compensation expense recognized and total remaining stock-based compensation expense, is inclusive of awards modified during the period as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Modification of Stock-Based Compensation Awards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2021, we modified the vesting conditions of certain stock options and RSUs as described below.</w:t>
      </w:r>
    </w:p>
    <w:p>
      <w:pPr>
        <w:spacing w:after="0" w:line="103"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recognized stock-based compensation expense of $23.3 million from the effective date of our IPO registration statement through June 30, 2021. We recognized stock-based compensation of $14.6 million and $37.9 million for the three and nine months ended September 30, 2021, respectively. The remaining compensation of $38.7 million will be recognized over a remaining weighted-average service period of 2.7 years.</w:t>
      </w:r>
    </w:p>
    <w:p>
      <w:pPr>
        <w:spacing w:after="0" w:line="94" w:lineRule="exact"/>
        <w:rPr>
          <w:sz w:val="20"/>
          <w:szCs w:val="20"/>
          <w:color w:val="auto"/>
        </w:rPr>
      </w:pPr>
    </w:p>
    <w:p>
      <w:pPr>
        <w:ind w:right="120" w:firstLine="451"/>
        <w:spacing w:after="0" w:line="245" w:lineRule="auto"/>
        <w:rPr>
          <w:sz w:val="20"/>
          <w:szCs w:val="20"/>
          <w:color w:val="auto"/>
        </w:rPr>
      </w:pPr>
      <w:r>
        <w:rPr>
          <w:rFonts w:ascii="Arial" w:cs="Arial" w:eastAsia="Arial" w:hAnsi="Arial"/>
          <w:sz w:val="15"/>
          <w:szCs w:val="15"/>
          <w:color w:val="auto"/>
        </w:rPr>
        <w:t>We modified the vesting conditions of 3,627,936 outstanding 2019 performance options of an executive officer so that in the event of an IPO the modified 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expense of $6.6 million from the effective date of our IPO registration statement through June 30, 2021. We recognized stock-based compensation of $4.1 million and $10.6 million for the three and nine months ended September 30, 2021, respectively. The remaining compensation expense of $8.5 million will be recognized over a remaining weighted-average service period of 2.0 years.</w:t>
      </w:r>
    </w:p>
    <w:p>
      <w:pPr>
        <w:spacing w:after="0" w:line="96"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$0.2 million from the effective date of our IPO registration statement through June 30, 2021. We recognized stock-based compensation of $0.6 million and $0.9 million for the three and nine months ended September 30, 2021, respectively. The remaining compensation expense of $2.1 million will be recognized over a remaining weighted-average service period of 3.1 years.</w:t>
      </w:r>
    </w:p>
    <w:p>
      <w:pPr>
        <w:spacing w:after="0" w:line="95" w:lineRule="exact"/>
        <w:rPr>
          <w:sz w:val="20"/>
          <w:szCs w:val="20"/>
          <w:color w:val="auto"/>
        </w:rPr>
      </w:pPr>
    </w:p>
    <w:p>
      <w:pPr>
        <w:ind w:right="60" w:firstLine="451"/>
        <w:spacing w:after="0" w:line="245" w:lineRule="auto"/>
        <w:rPr>
          <w:sz w:val="20"/>
          <w:szCs w:val="20"/>
          <w:color w:val="auto"/>
        </w:rPr>
      </w:pPr>
      <w:r>
        <w:rPr>
          <w:rFonts w:ascii="Arial" w:cs="Arial" w:eastAsia="Arial" w:hAnsi="Arial"/>
          <w:sz w:val="15"/>
          <w:szCs w:val="15"/>
          <w:color w:val="auto"/>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 over the remaining service period. We recognized stock-based compensation expense of $7.4 million from the effective date of our IPO registration statement through June 30, 2021. We recognized stock-based compensation of $9.9 million and $17.3 million for the three and nine months ended September 30, 2021, respectively. The remaining compensation expense of $26.0 million will be recognized over a remaining weighted-average service period of 3.0 years.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We modified 63,235 vested options to extend the exercise period for terminated employees who are not able to exercise their options during the IPO lock-up period. We recognized $0.9 million in incremental stock-based compensation in June 2021 related to this modification, and we recognized stock-based compensation of $0.5 million and $1.4 million for the three and nine months ended September 30, 2021, respectively. In October 2021 we modified 51,404 vested options to extend the exercise period for terminated employees who are not able to exercise their options during the IPO lock-up period. We will recognize $1.3 million in incremental stock-based compensation in October 2021.</w:t>
      </w:r>
    </w:p>
    <w:p>
      <w:pPr>
        <w:spacing w:after="0" w:line="94" w:lineRule="exact"/>
        <w:rPr>
          <w:sz w:val="20"/>
          <w:szCs w:val="20"/>
          <w:color w:val="auto"/>
        </w:rPr>
      </w:pPr>
    </w:p>
    <w:p>
      <w:pPr>
        <w:jc w:val="both"/>
        <w:ind w:right="80" w:firstLine="451"/>
        <w:spacing w:after="0" w:line="249" w:lineRule="auto"/>
        <w:rPr>
          <w:sz w:val="20"/>
          <w:szCs w:val="20"/>
          <w:color w:val="auto"/>
        </w:rPr>
      </w:pPr>
      <w:r>
        <w:rPr>
          <w:rFonts w:ascii="Arial" w:cs="Arial" w:eastAsia="Arial" w:hAnsi="Arial"/>
          <w:sz w:val="15"/>
          <w:szCs w:val="15"/>
          <w:color w:val="auto"/>
        </w:rPr>
        <w:t>The fair value of the modified 2020 performance options, 2019 performance option, performance RSUs and LERSUs were remeasured using the fair value of our common stock, as approved by the Pricing Committee of our board of directors, which was $25.50 per share, the midpoint of the price range set forth on the cover page of the preliminary prospectus filed with the SEC on June 21, 2021 as part of our registration statement on Form S-1/A (File no. 333-256803).</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2021 Equity Incentive Plan</w:t>
      </w:r>
    </w:p>
    <w:p>
      <w:pPr>
        <w:spacing w:after="0" w:line="119" w:lineRule="exact"/>
        <w:rPr>
          <w:sz w:val="20"/>
          <w:szCs w:val="20"/>
          <w:color w:val="auto"/>
        </w:rPr>
      </w:pPr>
    </w:p>
    <w:p>
      <w:pPr>
        <w:ind w:right="40" w:firstLine="451"/>
        <w:spacing w:after="0" w:line="249" w:lineRule="auto"/>
        <w:rPr>
          <w:sz w:val="20"/>
          <w:szCs w:val="20"/>
          <w:color w:val="auto"/>
        </w:rPr>
      </w:pPr>
      <w:r>
        <w:rPr>
          <w:rFonts w:ascii="Arial" w:cs="Arial" w:eastAsia="Arial" w:hAnsi="Arial"/>
          <w:sz w:val="15"/>
          <w:szCs w:val="15"/>
          <w:color w:val="auto"/>
        </w:rPr>
        <w:t>In June 2021, our board of directors adopted our 2021 Equity Incentive Plan, or our 2021 Plan. All equity-based awards going forward will be granted under the 2021 Plan. An aggregate of 18,946,871 shares of our common stock are reserved for issuance under our 2021 Plan, as well as any future automatic annual increases in the number of shares of common stock reserved for issuance under our 2021 Plan.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2021 Employee Stock Purchase Plan</w:t>
      </w:r>
    </w:p>
    <w:p>
      <w:pPr>
        <w:spacing w:after="0" w:line="119"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In June 2021, our board of directors adopted our 2021 Employee Stock Purchase Plan, or the 2021 ESPP. We authorized the issuance of 3,552,538 shares of common stock under the 2021 ESPP. Our 2021 ESPP is implemented through a series of offerings under which eligible employees are granted rights to purchase shares of our common stock on specified dates during such offerings at a discounted price per share.</w:t>
      </w:r>
    </w:p>
    <w:p>
      <w:pPr>
        <w:spacing w:after="0" w:line="90" w:lineRule="exact"/>
        <w:rPr>
          <w:sz w:val="20"/>
          <w:szCs w:val="20"/>
          <w:color w:val="auto"/>
        </w:rPr>
      </w:pPr>
    </w:p>
    <w:p>
      <w:pPr>
        <w:ind w:right="20" w:firstLine="451"/>
        <w:spacing w:after="0"/>
        <w:rPr>
          <w:sz w:val="20"/>
          <w:szCs w:val="20"/>
          <w:color w:val="auto"/>
        </w:rPr>
      </w:pPr>
      <w:r>
        <w:rPr>
          <w:rFonts w:ascii="Arial" w:cs="Arial" w:eastAsia="Arial" w:hAnsi="Arial"/>
          <w:sz w:val="15"/>
          <w:szCs w:val="15"/>
          <w:color w:val="auto"/>
        </w:rPr>
        <w:t>Under the 2021 ESPP our employees may purchase common stock through payroll deductions at a price equal to 85% of the lower of the fair market value of the stock at the beginning of the offering period or at the end of each applicable purchase period. The 2021 ESPP generally provides for offering periods of six months in duration with purchase periods ending on either May 15 or November 15. Contributions under the 2021 ESPP are limited to a maximum of 15% of an employee’s eligible compensation. ESPP purchases are settled with common stock from the ESPP’s previously-authorized and available pool of shares. The stock-based compensation expense incurred for the current offering period is immaterial.</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Buyback program</w:t>
      </w:r>
    </w:p>
    <w:p>
      <w:pPr>
        <w:spacing w:after="0" w:line="204" w:lineRule="exact"/>
        <w:rPr>
          <w:sz w:val="20"/>
          <w:szCs w:val="20"/>
          <w:color w:val="auto"/>
        </w:rPr>
      </w:pPr>
    </w:p>
    <w:p>
      <w:pPr>
        <w:ind w:right="160" w:firstLine="451"/>
        <w:spacing w:after="0" w:line="254" w:lineRule="auto"/>
        <w:rPr>
          <w:sz w:val="20"/>
          <w:szCs w:val="20"/>
          <w:color w:val="auto"/>
        </w:rPr>
      </w:pPr>
      <w:r>
        <w:rPr>
          <w:rFonts w:ascii="Arial" w:cs="Arial" w:eastAsia="Arial" w:hAnsi="Arial"/>
          <w:sz w:val="15"/>
          <w:szCs w:val="15"/>
          <w:color w:val="auto"/>
        </w:rPr>
        <w:t>In July 2021, we cancelled our buyback program for certain members of senior management for up to 60,405 outstanding RSUs. The RSUs will continue to vest over their remaining service period conditions.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Income Taxes</w:t>
      </w:r>
    </w:p>
    <w:p>
      <w:pPr>
        <w:spacing w:after="0" w:line="105"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 xml:space="preserve">We account for income taxes in accordance with Accounting Standard Codification, or ASC, 740, </w:t>
      </w:r>
      <w:r>
        <w:rPr>
          <w:rFonts w:ascii="Arial" w:cs="Arial" w:eastAsia="Arial" w:hAnsi="Arial"/>
          <w:sz w:val="15"/>
          <w:szCs w:val="15"/>
          <w:i w:val="1"/>
          <w:iCs w:val="1"/>
          <w:color w:val="auto"/>
        </w:rPr>
        <w:t>Income Taxes</w:t>
      </w:r>
      <w:r>
        <w:rPr>
          <w:rFonts w:ascii="Arial" w:cs="Arial" w:eastAsia="Arial" w:hAnsi="Arial"/>
          <w:sz w:val="15"/>
          <w:szCs w:val="15"/>
          <w:color w:val="auto"/>
        </w:rPr>
        <w:t>,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92"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recorded a benefit from income taxes of $5.9 million and a provision for income taxes of $3.1 million for the three months ended September 30, 2021 and 2020, respectively. For the nine months ended September 30, 2021 and 2020, we recorded a benefit from income taxes of $6.8 million and provision for income taxes of $1.6 million, respectively. The effective tax rate for the three months ended September 30, 2021 and 2020 was 13.0% and 24.9%, respectively. For the nine months ended September 30, 2021 and 2020, the effective tax rate was approximately 7.2% and 77.5%, respectively. The difference from the federal statutory rate of 21% was primarily due to the valuation allowance against foreign losses, the recognition of significant excess tax benefits of stock-based compensation and other discrete adjustments.</w:t>
      </w:r>
    </w:p>
    <w:p>
      <w:pPr>
        <w:spacing w:after="0" w:line="93" w:lineRule="exact"/>
        <w:rPr>
          <w:sz w:val="20"/>
          <w:szCs w:val="20"/>
          <w:color w:val="auto"/>
        </w:rPr>
      </w:pPr>
    </w:p>
    <w:p>
      <w:pPr>
        <w:jc w:val="both"/>
        <w:ind w:right="120" w:firstLine="451"/>
        <w:spacing w:after="0" w:line="249" w:lineRule="auto"/>
        <w:rPr>
          <w:sz w:val="20"/>
          <w:szCs w:val="20"/>
          <w:color w:val="auto"/>
        </w:rPr>
      </w:pPr>
      <w:r>
        <w:rPr>
          <w:rFonts w:ascii="Arial" w:cs="Arial" w:eastAsia="Arial" w:hAnsi="Arial"/>
          <w:sz w:val="15"/>
          <w:szCs w:val="15"/>
          <w:color w:val="auto"/>
        </w:rPr>
        <w:t>Gross unrecognized tax benefits were $7.8 million and $7.2 million as of September 30, 2021 and December 31, 2020, respectively. The gross unrecognized tax benefits, if recognized, would result in a reduction of approximately $7.8 million to the provision for income taxes thereby favorably impacting our effective tax rate. Our policy is to recognize interest and penalties related to income tax matters in income tax expense. For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interest and penalties related to income tax positions were not material to our unaudited condensed consolidated financial statements.</w:t>
      </w:r>
    </w:p>
    <w:p>
      <w:pPr>
        <w:spacing w:after="0" w:line="103" w:lineRule="exact"/>
        <w:rPr>
          <w:sz w:val="20"/>
          <w:szCs w:val="20"/>
          <w:color w:val="auto"/>
        </w:rPr>
      </w:pPr>
    </w:p>
    <w:p>
      <w:pPr>
        <w:jc w:val="both"/>
        <w:ind w:right="100" w:firstLine="451"/>
        <w:spacing w:after="0" w:line="249" w:lineRule="auto"/>
        <w:rPr>
          <w:sz w:val="20"/>
          <w:szCs w:val="20"/>
          <w:color w:val="auto"/>
        </w:rPr>
      </w:pPr>
      <w:r>
        <w:rPr>
          <w:rFonts w:ascii="Arial" w:cs="Arial" w:eastAsia="Arial" w:hAnsi="Arial"/>
          <w:sz w:val="15"/>
          <w:szCs w:val="15"/>
          <w:color w:val="auto"/>
        </w:rPr>
        <w:t>We are subject to taxation and file income tax returns in the U.S. at the federal, state levels, and in foreign jurisdictions. The federal income tax return for the years 2017 through 2019 and state income tax returns for the tax years 2008 through 2019 remain open to examination. We are under examination in one state and, while the outcome cannot be predicted at this time, it is not expected to have an impact on our results of operations, cash flows and financial condition.</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Basic and Diluted Earnings Per Share</w:t>
      </w:r>
    </w:p>
    <w:p>
      <w:pPr>
        <w:spacing w:after="0" w:line="109" w:lineRule="exact"/>
        <w:rPr>
          <w:sz w:val="20"/>
          <w:szCs w:val="20"/>
          <w:color w:val="auto"/>
        </w:rPr>
      </w:pPr>
    </w:p>
    <w:p>
      <w:pPr>
        <w:ind w:right="760" w:firstLine="451"/>
        <w:spacing w:after="0" w:line="238" w:lineRule="auto"/>
        <w:rPr>
          <w:sz w:val="20"/>
          <w:szCs w:val="20"/>
          <w:color w:val="auto"/>
        </w:rPr>
      </w:pPr>
      <w:r>
        <w:rPr>
          <w:rFonts w:ascii="Arial" w:cs="Arial" w:eastAsia="Arial" w:hAnsi="Arial"/>
          <w:sz w:val="15"/>
          <w:szCs w:val="15"/>
          <w:color w:val="231F20"/>
        </w:rPr>
        <w:t>The computation of earnings per share for the three and nine months ended September 30, 2021 and 2020 is as follows (in thousands, except per share amounts):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20" w:type="dxa"/>
            <w:vAlign w:val="bottom"/>
            <w:gridSpan w:val="5"/>
          </w:tcPr>
          <w:p>
            <w:pPr>
              <w:ind w:left="120"/>
              <w:spacing w:after="0"/>
              <w:rPr>
                <w:sz w:val="20"/>
                <w:szCs w:val="20"/>
                <w:color w:val="auto"/>
              </w:rPr>
            </w:pPr>
            <w:r>
              <w:rPr>
                <w:rFonts w:ascii="Arial" w:cs="Arial" w:eastAsia="Arial" w:hAnsi="Arial"/>
                <w:sz w:val="15"/>
                <w:szCs w:val="15"/>
                <w:b w:val="1"/>
                <w:bCs w:val="1"/>
                <w:color w:val="auto"/>
              </w:rPr>
              <w:t>Three Months Ended September 30,</w:t>
            </w:r>
          </w:p>
        </w:tc>
        <w:tc>
          <w:tcPr>
            <w:tcW w:w="680" w:type="dxa"/>
            <w:vAlign w:val="bottom"/>
          </w:tcPr>
          <w:p>
            <w:pPr>
              <w:spacing w:after="0"/>
              <w:rPr>
                <w:sz w:val="18"/>
                <w:szCs w:val="18"/>
                <w:color w:val="auto"/>
              </w:rPr>
            </w:pPr>
          </w:p>
        </w:tc>
        <w:tc>
          <w:tcPr>
            <w:tcW w:w="262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68"/>
        </w:trPr>
        <w:tc>
          <w:tcPr>
            <w:tcW w:w="4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line="151" w:lineRule="exact"/>
              <w:rPr>
                <w:sz w:val="20"/>
                <w:szCs w:val="20"/>
                <w:color w:val="auto"/>
              </w:rPr>
            </w:pPr>
            <w:r>
              <w:rPr>
                <w:rFonts w:ascii="Arial" w:cs="Arial" w:eastAsia="Arial" w:hAnsi="Arial"/>
                <w:sz w:val="15"/>
                <w:szCs w:val="15"/>
                <w:b w:val="1"/>
                <w:bCs w:val="1"/>
                <w:color w:val="auto"/>
                <w:w w:val="98"/>
              </w:rPr>
              <w:t>Numerator:</w:t>
            </w:r>
          </w:p>
        </w:tc>
        <w:tc>
          <w:tcPr>
            <w:tcW w:w="2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Net (loss) income</w:t>
            </w: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(39,675)</w:t>
            </w:r>
          </w:p>
        </w:tc>
        <w:tc>
          <w:tcPr>
            <w:tcW w:w="80" w:type="dxa"/>
            <w:vAlign w:val="bottom"/>
          </w:tcPr>
          <w:p>
            <w:pPr>
              <w:spacing w:after="0"/>
              <w:rPr>
                <w:sz w:val="18"/>
                <w:szCs w:val="18"/>
                <w:color w:val="auto"/>
              </w:rPr>
            </w:pPr>
          </w:p>
        </w:tc>
        <w:tc>
          <w:tcPr>
            <w:tcW w:w="7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9,412</w:t>
            </w:r>
          </w:p>
        </w:tc>
        <w:tc>
          <w:tcPr>
            <w:tcW w:w="100" w:type="dxa"/>
            <w:vAlign w:val="bottom"/>
          </w:tcPr>
          <w:p>
            <w:pPr>
              <w:spacing w:after="0"/>
              <w:rPr>
                <w:sz w:val="18"/>
                <w:szCs w:val="18"/>
                <w:color w:val="auto"/>
              </w:rPr>
            </w:pP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(87,893)</w:t>
            </w:r>
          </w:p>
        </w:tc>
        <w:tc>
          <w:tcPr>
            <w:tcW w:w="100" w:type="dxa"/>
            <w:vAlign w:val="bottom"/>
          </w:tcPr>
          <w:p>
            <w:pPr>
              <w:spacing w:after="0"/>
              <w:rPr>
                <w:sz w:val="18"/>
                <w:szCs w:val="18"/>
                <w:color w:val="auto"/>
              </w:rPr>
            </w:pPr>
          </w:p>
        </w:tc>
        <w:tc>
          <w:tcPr>
            <w:tcW w:w="1380" w:type="dxa"/>
            <w:vAlign w:val="bottom"/>
          </w:tcPr>
          <w:p>
            <w:pPr>
              <w:jc w:val="right"/>
              <w:ind w:right="7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800" w:type="dxa"/>
            <w:vAlign w:val="bottom"/>
            <w:gridSpan w:val="3"/>
            <w:shd w:val="clear" w:color="auto" w:fill="CCEEFF"/>
          </w:tcPr>
          <w:p>
            <w:pPr>
              <w:spacing w:after="0" w:line="168" w:lineRule="exact"/>
              <w:rPr>
                <w:sz w:val="20"/>
                <w:szCs w:val="20"/>
                <w:color w:val="auto"/>
              </w:rPr>
            </w:pPr>
            <w:r>
              <w:rPr>
                <w:rFonts w:ascii="Arial" w:cs="Arial" w:eastAsia="Arial" w:hAnsi="Arial"/>
                <w:sz w:val="15"/>
                <w:szCs w:val="15"/>
                <w:color w:val="auto"/>
              </w:rPr>
              <w:t>Less: amounts attributable to redeemable convertible</w:t>
            </w:r>
          </w:p>
        </w:tc>
        <w:tc>
          <w:tcPr>
            <w:tcW w:w="66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(2,541)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0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rPr>
              <w:t>preferred stock</w:t>
            </w:r>
          </w:p>
        </w:tc>
        <w:tc>
          <w:tcPr>
            <w:tcW w:w="6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00" w:type="dxa"/>
            <w:vAlign w:val="bottom"/>
            <w:gridSpan w:val="3"/>
          </w:tcPr>
          <w:p>
            <w:pPr>
              <w:spacing w:after="0"/>
              <w:rPr>
                <w:sz w:val="20"/>
                <w:szCs w:val="20"/>
                <w:color w:val="auto"/>
              </w:rPr>
            </w:pPr>
            <w:r>
              <w:rPr>
                <w:rFonts w:ascii="Arial" w:cs="Arial" w:eastAsia="Arial" w:hAnsi="Arial"/>
                <w:sz w:val="15"/>
                <w:szCs w:val="15"/>
                <w:color w:val="auto"/>
              </w:rPr>
              <w:t>Net income attributable to common stockholders—basic</w:t>
            </w:r>
          </w:p>
        </w:tc>
        <w:tc>
          <w:tcPr>
            <w:tcW w:w="6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(39,675)</w:t>
            </w: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6,871</w:t>
            </w: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(87,893)</w:t>
            </w: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00" w:type="dxa"/>
            <w:vAlign w:val="bottom"/>
            <w:gridSpan w:val="3"/>
            <w:shd w:val="clear" w:color="auto" w:fill="CCEEFF"/>
          </w:tcPr>
          <w:p>
            <w:pPr>
              <w:spacing w:after="0" w:line="168" w:lineRule="exact"/>
              <w:rPr>
                <w:sz w:val="20"/>
                <w:szCs w:val="20"/>
                <w:color w:val="auto"/>
              </w:rPr>
            </w:pPr>
            <w:r>
              <w:rPr>
                <w:rFonts w:ascii="Arial" w:cs="Arial" w:eastAsia="Arial" w:hAnsi="Arial"/>
                <w:sz w:val="15"/>
                <w:szCs w:val="15"/>
                <w:color w:val="auto"/>
              </w:rPr>
              <w:t>Add: undistributed earnings reallocated to common</w:t>
            </w:r>
          </w:p>
        </w:tc>
        <w:tc>
          <w:tcPr>
            <w:tcW w:w="66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rPr>
              <w:t>stockholders</w:t>
            </w:r>
          </w:p>
        </w:tc>
        <w:tc>
          <w:tcPr>
            <w:tcW w:w="66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800" w:type="dxa"/>
            <w:vAlign w:val="bottom"/>
            <w:gridSpan w:val="3"/>
          </w:tcPr>
          <w:p>
            <w:pPr>
              <w:spacing w:after="0" w:line="145" w:lineRule="exact"/>
              <w:rPr>
                <w:sz w:val="20"/>
                <w:szCs w:val="20"/>
                <w:color w:val="auto"/>
              </w:rPr>
            </w:pPr>
            <w:r>
              <w:rPr>
                <w:rFonts w:ascii="Arial" w:cs="Arial" w:eastAsia="Arial" w:hAnsi="Arial"/>
                <w:sz w:val="15"/>
                <w:szCs w:val="15"/>
                <w:color w:val="auto"/>
              </w:rPr>
              <w:t>Net (loss) income attributable to common stockholders</w:t>
            </w:r>
          </w:p>
        </w:tc>
        <w:tc>
          <w:tcPr>
            <w:tcW w:w="66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(39,675)</w:t>
            </w:r>
          </w:p>
        </w:tc>
        <w:tc>
          <w:tcPr>
            <w:tcW w:w="80" w:type="dxa"/>
            <w:vAlign w:val="bottom"/>
          </w:tcPr>
          <w:p>
            <w:pPr>
              <w:spacing w:after="0"/>
              <w:rPr>
                <w:sz w:val="12"/>
                <w:szCs w:val="12"/>
                <w:color w:val="auto"/>
              </w:rPr>
            </w:pPr>
          </w:p>
        </w:tc>
        <w:tc>
          <w:tcPr>
            <w:tcW w:w="760" w:type="dxa"/>
            <w:vAlign w:val="bottom"/>
            <w:tcBorders>
              <w:top w:val="single" w:sz="8" w:color="auto"/>
            </w:tcBorders>
            <w:vMerge w:val="restart"/>
          </w:tcPr>
          <w:p>
            <w:pPr>
              <w:jc w:val="right"/>
              <w:ind w:right="125"/>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6,906</w:t>
            </w:r>
          </w:p>
        </w:tc>
        <w:tc>
          <w:tcPr>
            <w:tcW w:w="100" w:type="dxa"/>
            <w:vAlign w:val="bottom"/>
          </w:tcPr>
          <w:p>
            <w:pPr>
              <w:spacing w:after="0"/>
              <w:rPr>
                <w:sz w:val="12"/>
                <w:szCs w:val="12"/>
                <w:color w:val="auto"/>
              </w:rPr>
            </w:pPr>
          </w:p>
        </w:tc>
        <w:tc>
          <w:tcPr>
            <w:tcW w:w="680" w:type="dxa"/>
            <w:vAlign w:val="bottom"/>
            <w:tcBorders>
              <w:top w:val="single" w:sz="8" w:color="auto"/>
            </w:tcBorders>
            <w:vMerge w:val="restart"/>
          </w:tcPr>
          <w:p>
            <w:pPr>
              <w:jc w:val="right"/>
              <w:ind w:right="6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(87,893)</w:t>
            </w:r>
          </w:p>
        </w:tc>
        <w:tc>
          <w:tcPr>
            <w:tcW w:w="100" w:type="dxa"/>
            <w:vAlign w:val="bottom"/>
          </w:tcPr>
          <w:p>
            <w:pPr>
              <w:spacing w:after="0"/>
              <w:rPr>
                <w:sz w:val="12"/>
                <w:szCs w:val="12"/>
                <w:color w:val="auto"/>
              </w:rPr>
            </w:pPr>
          </w:p>
        </w:tc>
        <w:tc>
          <w:tcPr>
            <w:tcW w:w="1380" w:type="dxa"/>
            <w:vAlign w:val="bottom"/>
            <w:tcBorders>
              <w:top w:val="single" w:sz="8" w:color="auto"/>
            </w:tcBorders>
            <w:vMerge w:val="restart"/>
          </w:tcPr>
          <w:p>
            <w:pPr>
              <w:jc w:val="right"/>
              <w:ind w:right="7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3800" w:type="dxa"/>
            <w:vAlign w:val="bottom"/>
            <w:gridSpan w:val="3"/>
          </w:tcPr>
          <w:p>
            <w:pPr>
              <w:ind w:left="240"/>
              <w:spacing w:after="0" w:line="161" w:lineRule="exact"/>
              <w:rPr>
                <w:sz w:val="20"/>
                <w:szCs w:val="20"/>
                <w:color w:val="auto"/>
              </w:rPr>
            </w:pPr>
            <w:r>
              <w:rPr>
                <w:rFonts w:ascii="Arial" w:cs="Arial" w:eastAsia="Arial" w:hAnsi="Arial"/>
                <w:sz w:val="15"/>
                <w:szCs w:val="15"/>
                <w:color w:val="auto"/>
              </w:rPr>
              <w:t>—diluted</w:t>
            </w:r>
          </w:p>
        </w:tc>
        <w:tc>
          <w:tcPr>
            <w:tcW w:w="66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b w:val="1"/>
          <w:bCs w:val="1"/>
          <w:u w:val="single" w:color="auto"/>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-106680</wp:posOffset>
            </wp:positionV>
            <wp:extent cx="6913880" cy="127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3880" cy="12763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p>
      <w:pPr>
        <w:spacing w:after="0" w:line="46" w:lineRule="exact"/>
        <w:rPr>
          <w:sz w:val="20"/>
          <w:szCs w:val="20"/>
          <w:color w:val="auto"/>
        </w:rPr>
      </w:pPr>
    </w:p>
    <w:p>
      <w:pPr>
        <w:ind w:left="700" w:hanging="225"/>
        <w:spacing w:after="0" w:line="223" w:lineRule="auto"/>
        <w:rPr>
          <w:sz w:val="20"/>
          <w:szCs w:val="20"/>
          <w:color w:val="auto"/>
        </w:rPr>
      </w:pPr>
      <w:r>
        <w:rPr>
          <w:rFonts w:ascii="Arial" w:cs="Arial" w:eastAsia="Arial" w:hAnsi="Arial"/>
          <w:sz w:val="15"/>
          <w:szCs w:val="15"/>
          <w:color w:val="auto"/>
        </w:rPr>
        <w:t>Weighted-average common stock used in computing net (loss) income per share attributable to common stockholders—basic</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Effect of potentially dilutive securities:</w:t>
      </w:r>
    </w:p>
    <w:p>
      <w:pPr>
        <w:spacing w:after="0" w:line="4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Stock options</w:t>
      </w:r>
    </w:p>
    <w:p>
      <w:pPr>
        <w:spacing w:after="0" w:line="4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Restricted stock units</w:t>
      </w:r>
    </w:p>
    <w:p>
      <w:pPr>
        <w:spacing w:after="0" w:line="28" w:lineRule="exact"/>
        <w:rPr>
          <w:sz w:val="20"/>
          <w:szCs w:val="20"/>
          <w:color w:val="auto"/>
        </w:rPr>
      </w:pPr>
    </w:p>
    <w:p>
      <w:pPr>
        <w:ind w:left="700" w:hanging="225"/>
        <w:spacing w:after="0" w:line="223" w:lineRule="auto"/>
        <w:rPr>
          <w:sz w:val="20"/>
          <w:szCs w:val="20"/>
          <w:color w:val="auto"/>
        </w:rPr>
      </w:pPr>
      <w:r>
        <w:rPr>
          <w:rFonts w:ascii="Arial" w:cs="Arial" w:eastAsia="Arial" w:hAnsi="Arial"/>
          <w:sz w:val="15"/>
          <w:szCs w:val="15"/>
          <w:color w:val="auto"/>
        </w:rPr>
        <w:t>Weighted-average common stock used in computing net (loss) income per share attributable to common stockholders—diluted</w:t>
      </w:r>
    </w:p>
    <w:p>
      <w:pPr>
        <w:spacing w:after="0" w:line="21" w:lineRule="exact"/>
        <w:rPr>
          <w:sz w:val="20"/>
          <w:szCs w:val="20"/>
          <w:color w:val="auto"/>
        </w:rPr>
      </w:pPr>
    </w:p>
    <w:p>
      <w:pPr>
        <w:ind w:left="700" w:right="340" w:hanging="225"/>
        <w:spacing w:after="0" w:line="230" w:lineRule="auto"/>
        <w:rPr>
          <w:sz w:val="20"/>
          <w:szCs w:val="20"/>
          <w:color w:val="auto"/>
        </w:rPr>
      </w:pPr>
      <w:r>
        <w:rPr>
          <w:rFonts w:ascii="Arial" w:cs="Arial" w:eastAsia="Arial" w:hAnsi="Arial"/>
          <w:sz w:val="15"/>
          <w:szCs w:val="15"/>
          <w:color w:val="auto"/>
        </w:rPr>
        <w:t>Net (loss) income per share attributable to common stockholders—basic</w:t>
      </w:r>
    </w:p>
    <w:p>
      <w:pPr>
        <w:spacing w:after="0" w:line="20" w:lineRule="exact"/>
        <w:rPr>
          <w:sz w:val="20"/>
          <w:szCs w:val="20"/>
          <w:color w:val="auto"/>
        </w:rPr>
      </w:pPr>
    </w:p>
    <w:p>
      <w:pPr>
        <w:ind w:left="700" w:right="340" w:hanging="225"/>
        <w:spacing w:after="0" w:line="230" w:lineRule="auto"/>
        <w:rPr>
          <w:sz w:val="20"/>
          <w:szCs w:val="20"/>
          <w:color w:val="auto"/>
        </w:rPr>
      </w:pPr>
      <w:r>
        <w:rPr>
          <w:rFonts w:ascii="Arial" w:cs="Arial" w:eastAsia="Arial" w:hAnsi="Arial"/>
          <w:sz w:val="15"/>
          <w:szCs w:val="15"/>
          <w:color w:val="auto"/>
        </w:rPr>
        <w:t>Net (loss) income per share attributable to common stockholders—diluted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8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196,351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124,846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149,207</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414"/>
        </w:trPr>
        <w:tc>
          <w:tcPr>
            <w:tcW w:w="8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2,306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24"/>
        </w:trPr>
        <w:tc>
          <w:tcPr>
            <w:tcW w:w="8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tcPr>
          <w:p>
            <w:pPr>
              <w:spacing w:after="0"/>
              <w:rPr>
                <w:sz w:val="19"/>
                <w:szCs w:val="19"/>
                <w:color w:val="auto"/>
              </w:rPr>
            </w:pPr>
          </w:p>
        </w:tc>
      </w:tr>
      <w:tr>
        <w:trPr>
          <w:trHeight w:val="482"/>
        </w:trPr>
        <w:tc>
          <w:tcPr>
            <w:tcW w:w="8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196,351</w:t>
            </w:r>
          </w:p>
        </w:tc>
        <w:tc>
          <w:tcPr>
            <w:tcW w:w="8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127,238</w:t>
            </w:r>
          </w:p>
        </w:tc>
        <w:tc>
          <w:tcPr>
            <w:tcW w:w="10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149,207</w:t>
            </w:r>
          </w:p>
        </w:tc>
        <w:tc>
          <w:tcPr>
            <w:tcW w:w="10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127</w:t>
            </w:r>
          </w:p>
        </w:tc>
      </w:tr>
      <w:tr>
        <w:trPr>
          <w:trHeight w:val="306"/>
        </w:trPr>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(0.59)</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w:t>
            </w:r>
          </w:p>
        </w:tc>
      </w:tr>
      <w:tr>
        <w:trPr>
          <w:trHeight w:val="25"/>
        </w:trPr>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6"/>
        </w:trPr>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(0.59)</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w:t>
            </w:r>
          </w:p>
        </w:tc>
      </w:tr>
      <w:tr>
        <w:trPr>
          <w:trHeight w:val="25"/>
        </w:trPr>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-1177925</wp:posOffset>
            </wp:positionV>
            <wp:extent cx="6913880" cy="127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3880" cy="127635"/>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-915035</wp:posOffset>
            </wp:positionV>
            <wp:extent cx="6913880" cy="135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3880" cy="135255"/>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-461010</wp:posOffset>
            </wp:positionV>
            <wp:extent cx="691388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3880" cy="22288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220" w:space="40"/>
            <w:col w:w="7080"/>
          </w:cols>
          <w:pgMar w:left="320" w:top="123" w:right="239" w:bottom="1440" w:gutter="0" w:footer="0" w:header="0"/>
          <w:type w:val="continuous"/>
        </w:sectPr>
      </w:pPr>
    </w:p>
    <w:p>
      <w:pPr>
        <w:ind w:right="400" w:firstLine="451"/>
        <w:spacing w:after="0" w:line="249" w:lineRule="auto"/>
        <w:rPr>
          <w:sz w:val="20"/>
          <w:szCs w:val="20"/>
          <w:color w:val="auto"/>
        </w:rPr>
      </w:pPr>
      <w:r>
        <w:rPr>
          <w:rFonts w:ascii="Arial" w:cs="Arial" w:eastAsia="Arial" w:hAnsi="Arial"/>
          <w:sz w:val="15"/>
          <w:szCs w:val="15"/>
          <w:color w:val="auto"/>
        </w:rPr>
        <w:t>Basic net (loss) income attributable to common stockholders per share is computed by dividing the net (loss) income attributable to common stock by the weighted average number of common stock outstanding for the period. For periods in which we have reported a net loss, diluted net loss per share attributable to common stockholders was the same as basic net loss per share, since the impact of potentially dilutive common stock and other equity instruments was anti-dilutive.</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20" w:firstLine="451"/>
        <w:spacing w:after="0" w:line="254" w:lineRule="auto"/>
        <w:rPr>
          <w:sz w:val="20"/>
          <w:szCs w:val="20"/>
          <w:color w:val="auto"/>
        </w:rPr>
      </w:pPr>
      <w:r>
        <w:rPr>
          <w:rFonts w:ascii="Arial" w:cs="Arial" w:eastAsia="Arial" w:hAnsi="Arial"/>
          <w:sz w:val="15"/>
          <w:szCs w:val="15"/>
          <w:color w:val="auto"/>
        </w:rPr>
        <w:t>The following table presents the number of options, RSUs, ESPPs and restricted stock excluded from the calculation of diluted net (loss) income per share attributable to common stockholders because they are anti-dilutive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3060" w:type="dxa"/>
            <w:vAlign w:val="bottom"/>
            <w:gridSpan w:val="5"/>
          </w:tcPr>
          <w:p>
            <w:pPr>
              <w:ind w:left="560"/>
              <w:spacing w:after="0"/>
              <w:rPr>
                <w:sz w:val="20"/>
                <w:szCs w:val="20"/>
                <w:color w:val="auto"/>
              </w:rPr>
            </w:pPr>
            <w:r>
              <w:rPr>
                <w:rFonts w:ascii="Arial" w:cs="Arial" w:eastAsia="Arial" w:hAnsi="Arial"/>
                <w:sz w:val="15"/>
                <w:szCs w:val="15"/>
                <w:b w:val="1"/>
                <w:bCs w:val="1"/>
                <w:color w:val="auto"/>
              </w:rPr>
              <w:t>Three Months Ended September</w:t>
            </w: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9"/>
        </w:trPr>
        <w:tc>
          <w:tcPr>
            <w:tcW w:w="46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325"/>
              <w:spacing w:after="0"/>
              <w:rPr>
                <w:sz w:val="20"/>
                <w:szCs w:val="20"/>
                <w:color w:val="auto"/>
              </w:rPr>
            </w:pPr>
            <w:r>
              <w:rPr>
                <w:rFonts w:ascii="Arial" w:cs="Arial" w:eastAsia="Arial" w:hAnsi="Arial"/>
                <w:sz w:val="15"/>
                <w:szCs w:val="15"/>
                <w:b w:val="1"/>
                <w:bCs w:val="1"/>
                <w:color w:val="auto"/>
                <w:w w:val="86"/>
              </w:rPr>
              <w:t>30,</w:t>
            </w:r>
          </w:p>
        </w:tc>
        <w:tc>
          <w:tcPr>
            <w:tcW w:w="80" w:type="dxa"/>
            <w:vAlign w:val="bottom"/>
          </w:tcPr>
          <w:p>
            <w:pPr>
              <w:spacing w:after="0"/>
              <w:rPr>
                <w:sz w:val="18"/>
                <w:szCs w:val="18"/>
                <w:color w:val="auto"/>
              </w:rPr>
            </w:pPr>
          </w:p>
        </w:tc>
        <w:tc>
          <w:tcPr>
            <w:tcW w:w="3200" w:type="dxa"/>
            <w:vAlign w:val="bottom"/>
            <w:tcBorders>
              <w:bottom w:val="single" w:sz="8" w:color="auto"/>
            </w:tcBorders>
            <w:gridSpan w:val="3"/>
          </w:tcPr>
          <w:p>
            <w:pPr>
              <w:jc w:val="center"/>
              <w:ind w:left="68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46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2021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Options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15,572</w:t>
            </w:r>
          </w:p>
        </w:tc>
        <w:tc>
          <w:tcPr>
            <w:tcW w:w="160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10,799</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15,572</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4"/>
        </w:trPr>
        <w:tc>
          <w:tcPr>
            <w:tcW w:w="4620" w:type="dxa"/>
            <w:vAlign w:val="bottom"/>
          </w:tcPr>
          <w:p>
            <w:pPr>
              <w:spacing w:after="0"/>
              <w:rPr>
                <w:sz w:val="20"/>
                <w:szCs w:val="20"/>
                <w:color w:val="auto"/>
              </w:rPr>
            </w:pPr>
            <w:r>
              <w:rPr>
                <w:rFonts w:ascii="Arial" w:cs="Arial" w:eastAsia="Arial" w:hAnsi="Arial"/>
                <w:sz w:val="15"/>
                <w:szCs w:val="15"/>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5"/>
                <w:szCs w:val="15"/>
                <w:color w:val="auto"/>
              </w:rPr>
              <w:t>3,614</w:t>
            </w:r>
          </w:p>
        </w:tc>
        <w:tc>
          <w:tcPr>
            <w:tcW w:w="1600" w:type="dxa"/>
            <w:vAlign w:val="bottom"/>
            <w:gridSpan w:val="3"/>
          </w:tcPr>
          <w:p>
            <w:pPr>
              <w:jc w:val="right"/>
              <w:ind w:right="5"/>
              <w:spacing w:after="0"/>
              <w:rPr>
                <w:sz w:val="20"/>
                <w:szCs w:val="20"/>
                <w:color w:val="auto"/>
              </w:rPr>
            </w:pPr>
            <w:r>
              <w:rPr>
                <w:rFonts w:ascii="Arial" w:cs="Arial" w:eastAsia="Arial" w:hAnsi="Arial"/>
                <w:sz w:val="15"/>
                <w:szCs w:val="15"/>
                <w:color w:val="auto"/>
              </w:rPr>
              <w:t>934</w:t>
            </w:r>
          </w:p>
        </w:tc>
        <w:tc>
          <w:tcPr>
            <w:tcW w:w="80" w:type="dxa"/>
            <w:vAlign w:val="bottom"/>
          </w:tcPr>
          <w:p>
            <w:pPr>
              <w:spacing w:after="0"/>
              <w:rPr>
                <w:sz w:val="17"/>
                <w:szCs w:val="17"/>
                <w:color w:val="auto"/>
              </w:rPr>
            </w:pP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3,614</w:t>
            </w: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Employee Stock Purchase Plan</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53</w:t>
            </w:r>
          </w:p>
        </w:tc>
        <w:tc>
          <w:tcPr>
            <w:tcW w:w="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06"/>
        </w:trPr>
        <w:tc>
          <w:tcPr>
            <w:tcW w:w="46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Restricted stock</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100</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50</w:t>
            </w: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26"/>
        </w:trPr>
        <w:tc>
          <w:tcPr>
            <w:tcW w:w="4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19,289</w:t>
            </w:r>
          </w:p>
        </w:tc>
        <w:tc>
          <w:tcPr>
            <w:tcW w:w="160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11,833</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19,289</w:t>
            </w:r>
          </w:p>
        </w:tc>
        <w:tc>
          <w:tcPr>
            <w:tcW w:w="840" w:type="dxa"/>
            <w:vAlign w:val="bottom"/>
            <w:shd w:val="clear" w:color="auto" w:fill="CCEEFF"/>
          </w:tcPr>
          <w:p>
            <w:pPr>
              <w:jc w:val="center"/>
              <w:ind w:right="8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Fair Value Measurements</w:t>
      </w:r>
    </w:p>
    <w:p>
      <w:pPr>
        <w:spacing w:after="0" w:line="121" w:lineRule="exact"/>
        <w:rPr>
          <w:sz w:val="20"/>
          <w:szCs w:val="20"/>
          <w:color w:val="auto"/>
        </w:rPr>
      </w:pPr>
    </w:p>
    <w:p>
      <w:pPr>
        <w:ind w:right="100" w:firstLine="451"/>
        <w:spacing w:after="0" w:line="247" w:lineRule="auto"/>
        <w:rPr>
          <w:sz w:val="20"/>
          <w:szCs w:val="20"/>
          <w:color w:val="auto"/>
        </w:rPr>
      </w:pPr>
      <w:r>
        <w:rPr>
          <w:rFonts w:ascii="Arial" w:cs="Arial" w:eastAsia="Arial" w:hAnsi="Arial"/>
          <w:sz w:val="15"/>
          <w:szCs w:val="15"/>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9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Level 1 — Quoted prices in active markets for identical assets and liabilities.</w:t>
      </w:r>
    </w:p>
    <w:p>
      <w:pPr>
        <w:spacing w:after="0" w:line="103" w:lineRule="exact"/>
        <w:rPr>
          <w:sz w:val="20"/>
          <w:szCs w:val="20"/>
          <w:color w:val="auto"/>
        </w:rPr>
      </w:pPr>
    </w:p>
    <w:p>
      <w:pPr>
        <w:ind w:left="900" w:right="200"/>
        <w:spacing w:after="0" w:line="254" w:lineRule="auto"/>
        <w:rPr>
          <w:sz w:val="20"/>
          <w:szCs w:val="20"/>
          <w:color w:val="auto"/>
        </w:rPr>
      </w:pPr>
      <w:r>
        <w:rPr>
          <w:rFonts w:ascii="Arial" w:cs="Arial" w:eastAsia="Arial" w:hAnsi="Arial"/>
          <w:sz w:val="15"/>
          <w:szCs w:val="15"/>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Level 3 — Unobservable inputs that are supported by little or no market activity and that are significant to the fair value of the assets or liabilities.</w:t>
      </w:r>
    </w:p>
    <w:p>
      <w:pPr>
        <w:spacing w:after="0" w:line="103" w:lineRule="exact"/>
        <w:rPr>
          <w:sz w:val="20"/>
          <w:szCs w:val="20"/>
          <w:color w:val="auto"/>
        </w:rPr>
      </w:pPr>
    </w:p>
    <w:p>
      <w:pPr>
        <w:ind w:right="320" w:firstLine="451"/>
        <w:spacing w:after="0" w:line="246" w:lineRule="auto"/>
        <w:rPr>
          <w:sz w:val="20"/>
          <w:szCs w:val="20"/>
          <w:color w:val="auto"/>
        </w:rPr>
      </w:pPr>
      <w:r>
        <w:rPr>
          <w:rFonts w:ascii="Arial" w:cs="Arial" w:eastAsia="Arial" w:hAnsi="Arial"/>
          <w:sz w:val="15"/>
          <w:szCs w:val="15"/>
          <w:color w:val="auto"/>
        </w:rPr>
        <w:t>At September 30, 2021, our financial assets and liabilities recorded at fair value on a recurring basis consisted of cash equivalents and available-for-sale debt securities. At December 31, 2020, our financial assets and liabilities recorded at fair value on a recurring basis consisted of cash equivalents, a restricted cash equivalent, available-for-sale debt securities, interest rate swaps, an interest rate cap and a financial guarantee derivative. Cash equivalents and the restricted cash equivalent consisted of money market funds valued using quoted prices in active markets, which represent Level 1 inputs in the fair value hierarchy. Our interest rate swaps and interest rate cap were valued using observable market inputs including LIBOR, swap rates and third-party dealer quotes, which represent Level 2 inputs in the fair value hierarchy. The available-for-sale debt securities and financial guarantee derivative were valued using a Monte Carlo simulation, which include inputs that represent Level 3 inputs in the fair value hierarchy.</w:t>
      </w:r>
    </w:p>
    <w:p>
      <w:pPr>
        <w:spacing w:after="0" w:line="92" w:lineRule="exact"/>
        <w:rPr>
          <w:sz w:val="20"/>
          <w:szCs w:val="20"/>
          <w:color w:val="auto"/>
        </w:rPr>
      </w:pPr>
    </w:p>
    <w:p>
      <w:pPr>
        <w:ind w:right="120" w:firstLine="451"/>
        <w:spacing w:after="0" w:line="249" w:lineRule="auto"/>
        <w:rPr>
          <w:sz w:val="20"/>
          <w:szCs w:val="20"/>
          <w:color w:val="auto"/>
        </w:rPr>
      </w:pPr>
      <w:r>
        <w:rPr>
          <w:rFonts w:ascii="Arial" w:cs="Arial" w:eastAsia="Arial" w:hAnsi="Arial"/>
          <w:sz w:val="15"/>
          <w:szCs w:val="15"/>
          <w:color w:val="auto"/>
        </w:rPr>
        <w:t>The carrying amounts of accounts receivable, accounts payable and accrued expenses and other current liabilities approximate fair values because of the short-term nature of these items. The fair value of our long-term debt was estimated by using quoted or sales prices of similar debt instruments, which represent Level 2 inputs in the fair value hierarchy.</w:t>
      </w:r>
    </w:p>
    <w:p>
      <w:pPr>
        <w:spacing w:after="0" w:line="90" w:lineRule="exact"/>
        <w:rPr>
          <w:sz w:val="20"/>
          <w:szCs w:val="20"/>
          <w:color w:val="auto"/>
        </w:rPr>
      </w:pPr>
    </w:p>
    <w:p>
      <w:pPr>
        <w:ind w:right="820" w:firstLine="451"/>
        <w:spacing w:after="0" w:line="254" w:lineRule="auto"/>
        <w:rPr>
          <w:sz w:val="20"/>
          <w:szCs w:val="20"/>
          <w:color w:val="auto"/>
        </w:rPr>
      </w:pPr>
      <w:r>
        <w:rPr>
          <w:rFonts w:ascii="Arial" w:cs="Arial" w:eastAsia="Arial" w:hAnsi="Arial"/>
          <w:sz w:val="15"/>
          <w:szCs w:val="15"/>
          <w:color w:val="auto"/>
        </w:rPr>
        <w:t>The following tables summarize our assets and liabilities that are measured at fair value on a recurring basis, by Level, within the fair value hierarchy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Available-for-sale debt securities</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w:t>
            </w: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Money market funds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30,214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6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5"/>
                <w:szCs w:val="15"/>
                <w:color w:val="auto"/>
              </w:rPr>
              <w:t>Contingent consideration</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liabilities</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6"/>
        </w:trPr>
        <w:tc>
          <w:tcPr>
            <w:tcW w:w="6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Level 3</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Available-for-sale debt securities</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w:t>
            </w: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Money market fund</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money market fund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60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30,208</w:t>
            </w:r>
          </w:p>
        </w:tc>
        <w:tc>
          <w:tcPr>
            <w:tcW w:w="1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1,050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60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Interest rate caps and swaps</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Financial guarantee</w:t>
            </w: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r>
      <w:tr>
        <w:trPr>
          <w:trHeight w:val="198"/>
        </w:trPr>
        <w:tc>
          <w:tcPr>
            <w:tcW w:w="6600" w:type="dxa"/>
            <w:vAlign w:val="bottom"/>
          </w:tcPr>
          <w:p>
            <w:pPr>
              <w:ind w:left="300"/>
              <w:spacing w:after="0"/>
              <w:rPr>
                <w:sz w:val="20"/>
                <w:szCs w:val="20"/>
                <w:color w:val="auto"/>
              </w:rPr>
            </w:pPr>
            <w:r>
              <w:rPr>
                <w:rFonts w:ascii="Arial" w:cs="Arial" w:eastAsia="Arial" w:hAnsi="Arial"/>
                <w:sz w:val="15"/>
                <w:szCs w:val="15"/>
                <w:color w:val="auto"/>
              </w:rPr>
              <w:t>Total liabilities</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5,817</w:t>
            </w:r>
          </w:p>
        </w:tc>
        <w:tc>
          <w:tcPr>
            <w:tcW w:w="1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1,400</w:t>
            </w:r>
          </w:p>
        </w:tc>
      </w:tr>
      <w:tr>
        <w:trPr>
          <w:trHeight w:val="25"/>
        </w:trPr>
        <w:tc>
          <w:tcPr>
            <w:tcW w:w="66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gridSpan w:val="2"/>
          </w:tcPr>
          <w:p>
            <w:pPr>
              <w:ind w:left="460"/>
              <w:spacing w:after="0"/>
              <w:rPr>
                <w:sz w:val="20"/>
                <w:szCs w:val="20"/>
                <w:color w:val="auto"/>
              </w:rPr>
            </w:pPr>
            <w:r>
              <w:rPr>
                <w:rFonts w:ascii="Arial" w:cs="Arial" w:eastAsia="Arial" w:hAnsi="Arial"/>
                <w:sz w:val="15"/>
                <w:szCs w:val="15"/>
                <w:color w:val="auto"/>
              </w:rPr>
              <w:t>Changes in accumulated other comprehensive loss consisted of the following (in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17"/>
        </w:trPr>
        <w:tc>
          <w:tcPr>
            <w:tcW w:w="6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7"/>
          </w:tcPr>
          <w:p>
            <w:pPr>
              <w:jc w:val="center"/>
              <w:ind w:right="205"/>
              <w:spacing w:after="0"/>
              <w:rPr>
                <w:sz w:val="20"/>
                <w:szCs w:val="20"/>
                <w:color w:val="auto"/>
              </w:rPr>
            </w:pPr>
            <w:r>
              <w:rPr>
                <w:rFonts w:ascii="Arial" w:cs="Arial" w:eastAsia="Arial" w:hAnsi="Arial"/>
                <w:sz w:val="15"/>
                <w:szCs w:val="15"/>
                <w:b w:val="1"/>
                <w:bCs w:val="1"/>
                <w:color w:val="auto"/>
                <w:w w:val="99"/>
              </w:rPr>
              <w:t>Nine Months Ended September 30, 2021</w:t>
            </w:r>
          </w:p>
        </w:tc>
      </w:tr>
      <w:tr>
        <w:trPr>
          <w:trHeight w:val="155"/>
        </w:trPr>
        <w:tc>
          <w:tcPr>
            <w:tcW w:w="6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Arial" w:cs="Arial" w:eastAsia="Arial" w:hAnsi="Arial"/>
                <w:sz w:val="15"/>
                <w:szCs w:val="15"/>
                <w:b w:val="1"/>
                <w:bCs w:val="1"/>
                <w:color w:val="auto"/>
              </w:rPr>
              <w:t>Before</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05"/>
              <w:spacing w:after="0" w:line="155" w:lineRule="exact"/>
              <w:rPr>
                <w:sz w:val="20"/>
                <w:szCs w:val="20"/>
                <w:color w:val="auto"/>
              </w:rPr>
            </w:pPr>
            <w:r>
              <w:rPr>
                <w:rFonts w:ascii="Arial" w:cs="Arial" w:eastAsia="Arial" w:hAnsi="Arial"/>
                <w:sz w:val="15"/>
                <w:szCs w:val="15"/>
                <w:b w:val="1"/>
                <w:bCs w:val="1"/>
                <w:color w:val="auto"/>
              </w:rPr>
              <w:t>Net of</w:t>
            </w:r>
          </w:p>
        </w:tc>
      </w:tr>
      <w:tr>
        <w:trPr>
          <w:trHeight w:val="163"/>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line="163" w:lineRule="exact"/>
              <w:rPr>
                <w:sz w:val="20"/>
                <w:szCs w:val="20"/>
                <w:color w:val="auto"/>
              </w:rPr>
            </w:pPr>
            <w:r>
              <w:rPr>
                <w:rFonts w:ascii="Arial" w:cs="Arial" w:eastAsia="Arial" w:hAnsi="Arial"/>
                <w:sz w:val="15"/>
                <w:szCs w:val="15"/>
                <w:b w:val="1"/>
                <w:bCs w:val="1"/>
                <w:color w:val="auto"/>
                <w:w w:val="92"/>
              </w:rPr>
              <w:t>Tax</w:t>
            </w:r>
          </w:p>
        </w:tc>
        <w:tc>
          <w:tcPr>
            <w:tcW w:w="320" w:type="dxa"/>
            <w:vAlign w:val="bottom"/>
          </w:tcPr>
          <w:p>
            <w:pPr>
              <w:spacing w:after="0"/>
              <w:rPr>
                <w:sz w:val="14"/>
                <w:szCs w:val="14"/>
                <w:color w:val="auto"/>
              </w:rPr>
            </w:pPr>
          </w:p>
        </w:tc>
        <w:tc>
          <w:tcPr>
            <w:tcW w:w="1260" w:type="dxa"/>
            <w:vAlign w:val="bottom"/>
            <w:gridSpan w:val="2"/>
          </w:tcPr>
          <w:p>
            <w:pPr>
              <w:jc w:val="center"/>
              <w:ind w:right="420"/>
              <w:spacing w:after="0" w:line="163" w:lineRule="exact"/>
              <w:rPr>
                <w:sz w:val="20"/>
                <w:szCs w:val="20"/>
                <w:color w:val="auto"/>
              </w:rPr>
            </w:pPr>
            <w:r>
              <w:rPr>
                <w:rFonts w:ascii="Arial" w:cs="Arial" w:eastAsia="Arial" w:hAnsi="Arial"/>
                <w:sz w:val="15"/>
                <w:szCs w:val="15"/>
                <w:b w:val="1"/>
                <w:bCs w:val="1"/>
                <w:color w:val="auto"/>
                <w:w w:val="92"/>
              </w:rPr>
              <w:t>Tax</w:t>
            </w:r>
          </w:p>
        </w:tc>
        <w:tc>
          <w:tcPr>
            <w:tcW w:w="280" w:type="dxa"/>
            <w:vAlign w:val="bottom"/>
          </w:tcPr>
          <w:p>
            <w:pPr>
              <w:spacing w:after="0"/>
              <w:rPr>
                <w:sz w:val="14"/>
                <w:szCs w:val="14"/>
                <w:color w:val="auto"/>
              </w:rPr>
            </w:pPr>
          </w:p>
        </w:tc>
        <w:tc>
          <w:tcPr>
            <w:tcW w:w="1200" w:type="dxa"/>
            <w:vAlign w:val="bottom"/>
          </w:tcPr>
          <w:p>
            <w:pPr>
              <w:jc w:val="center"/>
              <w:ind w:right="205"/>
              <w:spacing w:after="0" w:line="163" w:lineRule="exact"/>
              <w:rPr>
                <w:sz w:val="20"/>
                <w:szCs w:val="20"/>
                <w:color w:val="auto"/>
              </w:rPr>
            </w:pPr>
            <w:r>
              <w:rPr>
                <w:rFonts w:ascii="Arial" w:cs="Arial" w:eastAsia="Arial" w:hAnsi="Arial"/>
                <w:sz w:val="15"/>
                <w:szCs w:val="15"/>
                <w:b w:val="1"/>
                <w:bCs w:val="1"/>
                <w:color w:val="auto"/>
                <w:w w:val="92"/>
              </w:rPr>
              <w:t>Tax</w:t>
            </w:r>
          </w:p>
        </w:tc>
      </w:tr>
      <w:tr>
        <w:trPr>
          <w:trHeight w:val="209"/>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8"/>
              </w:rPr>
              <w:t>Amount</w:t>
            </w:r>
          </w:p>
        </w:tc>
        <w:tc>
          <w:tcPr>
            <w:tcW w:w="3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Effect</w:t>
            </w:r>
          </w:p>
        </w:tc>
        <w:tc>
          <w:tcPr>
            <w:tcW w:w="280" w:type="dxa"/>
            <w:vAlign w:val="bottom"/>
          </w:tcPr>
          <w:p>
            <w:pPr>
              <w:spacing w:after="0"/>
              <w:rPr>
                <w:sz w:val="18"/>
                <w:szCs w:val="18"/>
                <w:color w:val="auto"/>
              </w:rPr>
            </w:pPr>
          </w:p>
        </w:tc>
        <w:tc>
          <w:tcPr>
            <w:tcW w:w="1200" w:type="dxa"/>
            <w:vAlign w:val="bottom"/>
          </w:tcPr>
          <w:p>
            <w:pPr>
              <w:jc w:val="center"/>
              <w:ind w:right="205"/>
              <w:spacing w:after="0"/>
              <w:rPr>
                <w:sz w:val="20"/>
                <w:szCs w:val="20"/>
                <w:color w:val="auto"/>
              </w:rPr>
            </w:pPr>
            <w:r>
              <w:rPr>
                <w:rFonts w:ascii="Arial" w:cs="Arial" w:eastAsia="Arial" w:hAnsi="Arial"/>
                <w:sz w:val="15"/>
                <w:szCs w:val="15"/>
                <w:b w:val="1"/>
                <w:bCs w:val="1"/>
                <w:color w:val="auto"/>
                <w:w w:val="98"/>
              </w:rPr>
              <w:t>Amount</w:t>
            </w:r>
          </w:p>
        </w:tc>
      </w:tr>
      <w:tr>
        <w:trPr>
          <w:trHeight w:val="201"/>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Foreign currency translation adjustments:</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2020</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(3,014)</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(3,014)</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during period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(3,161)</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during period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Ending balance at June 30,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(3,365)</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during period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1,452</w:t>
            </w: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2021</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(1,913)</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(1,913)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Available-for-sale debt securities: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2020</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245</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gain</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258</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Ending balance at June 30,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217</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gain</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2021</w:t>
            </w: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Cash flow hedges: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2020</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(14,708)</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3,650</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(11,058)</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gain on interest rate swaps and cap</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2,081</w:t>
            </w:r>
          </w:p>
        </w:tc>
      </w:tr>
      <w:tr>
        <w:trPr>
          <w:trHeight w:val="204"/>
        </w:trPr>
        <w:tc>
          <w:tcPr>
            <w:tcW w:w="6600" w:type="dxa"/>
            <w:vAlign w:val="bottom"/>
          </w:tcPr>
          <w:p>
            <w:pPr>
              <w:ind w:left="240"/>
              <w:spacing w:after="0"/>
              <w:rPr>
                <w:sz w:val="20"/>
                <w:szCs w:val="20"/>
                <w:color w:val="auto"/>
              </w:rPr>
            </w:pPr>
            <w:r>
              <w:rPr>
                <w:rFonts w:ascii="Arial" w:cs="Arial" w:eastAsia="Arial" w:hAnsi="Arial"/>
                <w:sz w:val="15"/>
                <w:szCs w:val="15"/>
                <w:color w:val="auto"/>
              </w:rPr>
              <w:t>Reclassification of losses from interest rate cap to net loss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Reclassification of prior hedge effectiveness to net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(10,580)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(7,960)</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gain on interest rate swaps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r>
      <w:tr>
        <w:trPr>
          <w:trHeight w:val="206"/>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Reclassification of prior hedge effectiveness to net loss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1,298</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at Ending balance at June 30, 2021</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(6,392)</w:t>
            </w:r>
          </w:p>
        </w:tc>
      </w:tr>
      <w:tr>
        <w:trPr>
          <w:trHeight w:val="204"/>
        </w:trPr>
        <w:tc>
          <w:tcPr>
            <w:tcW w:w="6600" w:type="dxa"/>
            <w:vAlign w:val="bottom"/>
          </w:tcPr>
          <w:p>
            <w:pPr>
              <w:ind w:left="240"/>
              <w:spacing w:after="0"/>
              <w:rPr>
                <w:sz w:val="20"/>
                <w:szCs w:val="20"/>
                <w:color w:val="auto"/>
              </w:rPr>
            </w:pPr>
            <w:r>
              <w:rPr>
                <w:rFonts w:ascii="Arial" w:cs="Arial" w:eastAsia="Arial" w:hAnsi="Arial"/>
                <w:sz w:val="15"/>
                <w:szCs w:val="15"/>
                <w:color w:val="auto"/>
              </w:rPr>
              <w:t>Unrealized loss on interest rate swaps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(903)</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Reclassification to net loss upon extinguishment of interest rate swaps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7,295</w:t>
            </w: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2021</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Accumulated other comprehensive loss: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2020</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(17,441)</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3,614</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(13,827)</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2,964</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(13,443)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(10,863)</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w:t>
            </w: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Ending balance at June 30, 2021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(9,540)</w:t>
            </w: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7,916</w:t>
            </w: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2021</w:t>
            </w: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(1,624)</w:t>
            </w:r>
          </w:p>
        </w:tc>
      </w:tr>
      <w:tr>
        <w:trPr>
          <w:trHeight w:val="25"/>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7"/>
          </w:tcPr>
          <w:p>
            <w:pPr>
              <w:jc w:val="center"/>
              <w:ind w:right="205"/>
              <w:spacing w:after="0"/>
              <w:rPr>
                <w:sz w:val="20"/>
                <w:szCs w:val="20"/>
                <w:color w:val="auto"/>
              </w:rPr>
            </w:pPr>
            <w:r>
              <w:rPr>
                <w:rFonts w:ascii="Arial" w:cs="Arial" w:eastAsia="Arial" w:hAnsi="Arial"/>
                <w:sz w:val="15"/>
                <w:szCs w:val="15"/>
                <w:b w:val="1"/>
                <w:bCs w:val="1"/>
                <w:color w:val="auto"/>
                <w:w w:val="99"/>
              </w:rPr>
              <w:t>Nine Months Ended September 30, 2020</w:t>
            </w:r>
          </w:p>
        </w:tc>
        <w:tc>
          <w:tcPr>
            <w:tcW w:w="0" w:type="dxa"/>
            <w:vAlign w:val="bottom"/>
          </w:tcPr>
          <w:p>
            <w:pPr>
              <w:spacing w:after="0"/>
              <w:rPr>
                <w:sz w:val="1"/>
                <w:szCs w:val="1"/>
                <w:color w:val="auto"/>
              </w:rPr>
            </w:pPr>
          </w:p>
        </w:tc>
      </w:tr>
      <w:tr>
        <w:trPr>
          <w:trHeight w:val="159"/>
        </w:trPr>
        <w:tc>
          <w:tcPr>
            <w:tcW w:w="6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9" w:lineRule="exact"/>
              <w:rPr>
                <w:sz w:val="20"/>
                <w:szCs w:val="20"/>
                <w:color w:val="auto"/>
              </w:rPr>
            </w:pPr>
            <w:r>
              <w:rPr>
                <w:rFonts w:ascii="Arial" w:cs="Arial" w:eastAsia="Arial" w:hAnsi="Arial"/>
                <w:sz w:val="15"/>
                <w:szCs w:val="15"/>
                <w:b w:val="1"/>
                <w:bCs w:val="1"/>
                <w:color w:val="auto"/>
              </w:rPr>
              <w:t>Before</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05"/>
              <w:spacing w:after="0" w:line="159" w:lineRule="exact"/>
              <w:rPr>
                <w:sz w:val="20"/>
                <w:szCs w:val="20"/>
                <w:color w:val="auto"/>
              </w:rPr>
            </w:pPr>
            <w:r>
              <w:rPr>
                <w:rFonts w:ascii="Arial" w:cs="Arial" w:eastAsia="Arial" w:hAnsi="Arial"/>
                <w:sz w:val="15"/>
                <w:szCs w:val="15"/>
                <w:b w:val="1"/>
                <w:bCs w:val="1"/>
                <w:color w:val="auto"/>
              </w:rPr>
              <w:t>Net of</w:t>
            </w:r>
          </w:p>
        </w:tc>
        <w:tc>
          <w:tcPr>
            <w:tcW w:w="0" w:type="dxa"/>
            <w:vAlign w:val="bottom"/>
          </w:tcPr>
          <w:p>
            <w:pPr>
              <w:spacing w:after="0"/>
              <w:rPr>
                <w:sz w:val="1"/>
                <w:szCs w:val="1"/>
                <w:color w:val="auto"/>
              </w:rPr>
            </w:pPr>
          </w:p>
        </w:tc>
      </w:tr>
      <w:tr>
        <w:trPr>
          <w:trHeight w:val="163"/>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line="163" w:lineRule="exact"/>
              <w:rPr>
                <w:sz w:val="20"/>
                <w:szCs w:val="20"/>
                <w:color w:val="auto"/>
              </w:rPr>
            </w:pPr>
            <w:r>
              <w:rPr>
                <w:rFonts w:ascii="Arial" w:cs="Arial" w:eastAsia="Arial" w:hAnsi="Arial"/>
                <w:sz w:val="15"/>
                <w:szCs w:val="15"/>
                <w:b w:val="1"/>
                <w:bCs w:val="1"/>
                <w:color w:val="auto"/>
                <w:w w:val="92"/>
              </w:rPr>
              <w:t>Tax</w:t>
            </w:r>
          </w:p>
        </w:tc>
        <w:tc>
          <w:tcPr>
            <w:tcW w:w="320" w:type="dxa"/>
            <w:vAlign w:val="bottom"/>
          </w:tcPr>
          <w:p>
            <w:pPr>
              <w:spacing w:after="0"/>
              <w:rPr>
                <w:sz w:val="14"/>
                <w:szCs w:val="14"/>
                <w:color w:val="auto"/>
              </w:rPr>
            </w:pPr>
          </w:p>
        </w:tc>
        <w:tc>
          <w:tcPr>
            <w:tcW w:w="1260" w:type="dxa"/>
            <w:vAlign w:val="bottom"/>
            <w:gridSpan w:val="2"/>
          </w:tcPr>
          <w:p>
            <w:pPr>
              <w:jc w:val="center"/>
              <w:ind w:right="420"/>
              <w:spacing w:after="0" w:line="163" w:lineRule="exact"/>
              <w:rPr>
                <w:sz w:val="20"/>
                <w:szCs w:val="20"/>
                <w:color w:val="auto"/>
              </w:rPr>
            </w:pPr>
            <w:r>
              <w:rPr>
                <w:rFonts w:ascii="Arial" w:cs="Arial" w:eastAsia="Arial" w:hAnsi="Arial"/>
                <w:sz w:val="15"/>
                <w:szCs w:val="15"/>
                <w:b w:val="1"/>
                <w:bCs w:val="1"/>
                <w:color w:val="auto"/>
                <w:w w:val="92"/>
              </w:rPr>
              <w:t>Tax</w:t>
            </w:r>
          </w:p>
        </w:tc>
        <w:tc>
          <w:tcPr>
            <w:tcW w:w="280" w:type="dxa"/>
            <w:vAlign w:val="bottom"/>
          </w:tcPr>
          <w:p>
            <w:pPr>
              <w:spacing w:after="0"/>
              <w:rPr>
                <w:sz w:val="14"/>
                <w:szCs w:val="14"/>
                <w:color w:val="auto"/>
              </w:rPr>
            </w:pPr>
          </w:p>
        </w:tc>
        <w:tc>
          <w:tcPr>
            <w:tcW w:w="1200" w:type="dxa"/>
            <w:vAlign w:val="bottom"/>
          </w:tcPr>
          <w:p>
            <w:pPr>
              <w:jc w:val="center"/>
              <w:ind w:right="205"/>
              <w:spacing w:after="0" w:line="163" w:lineRule="exact"/>
              <w:rPr>
                <w:sz w:val="20"/>
                <w:szCs w:val="20"/>
                <w:color w:val="auto"/>
              </w:rPr>
            </w:pPr>
            <w:r>
              <w:rPr>
                <w:rFonts w:ascii="Arial" w:cs="Arial" w:eastAsia="Arial" w:hAnsi="Arial"/>
                <w:sz w:val="15"/>
                <w:szCs w:val="15"/>
                <w:b w:val="1"/>
                <w:bCs w:val="1"/>
                <w:color w:val="auto"/>
                <w:w w:val="92"/>
              </w:rPr>
              <w:t>Tax</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8"/>
              </w:rPr>
              <w:t>Amount</w:t>
            </w:r>
          </w:p>
        </w:tc>
        <w:tc>
          <w:tcPr>
            <w:tcW w:w="3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Effect</w:t>
            </w:r>
          </w:p>
        </w:tc>
        <w:tc>
          <w:tcPr>
            <w:tcW w:w="280" w:type="dxa"/>
            <w:vAlign w:val="bottom"/>
          </w:tcPr>
          <w:p>
            <w:pPr>
              <w:spacing w:after="0"/>
              <w:rPr>
                <w:sz w:val="18"/>
                <w:szCs w:val="18"/>
                <w:color w:val="auto"/>
              </w:rPr>
            </w:pPr>
          </w:p>
        </w:tc>
        <w:tc>
          <w:tcPr>
            <w:tcW w:w="1200" w:type="dxa"/>
            <w:vAlign w:val="bottom"/>
          </w:tcPr>
          <w:p>
            <w:pPr>
              <w:jc w:val="center"/>
              <w:ind w:right="165"/>
              <w:spacing w:after="0"/>
              <w:rPr>
                <w:sz w:val="20"/>
                <w:szCs w:val="20"/>
                <w:color w:val="auto"/>
              </w:rPr>
            </w:pPr>
            <w:r>
              <w:rPr>
                <w:rFonts w:ascii="Arial" w:cs="Arial" w:eastAsia="Arial" w:hAnsi="Arial"/>
                <w:sz w:val="15"/>
                <w:szCs w:val="15"/>
                <w:b w:val="1"/>
                <w:bCs w:val="1"/>
                <w:color w:val="auto"/>
                <w:w w:val="98"/>
              </w:rPr>
              <w:t>Amount</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Foreign currency translation adjustments: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2019</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(1,718)</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during period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2,272</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during period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Reclassification upon sale of business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at Ending balance at June 30, 2020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Change during period</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at September 30, 2020</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Available-for-sale debt securities: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 at December 31, 2019</w:t>
            </w: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from impairment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June 30,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from impairment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2020</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Cash flow hedges: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2019</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(5,627)</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1,387</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(4,240)</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loss on interest rate swaps and cap</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(7,286)</w:t>
            </w:r>
          </w:p>
        </w:tc>
        <w:tc>
          <w:tcPr>
            <w:tcW w:w="0" w:type="dxa"/>
            <w:vAlign w:val="bottom"/>
          </w:tcPr>
          <w:p>
            <w:pPr>
              <w:spacing w:after="0"/>
              <w:rPr>
                <w:sz w:val="1"/>
                <w:szCs w:val="1"/>
                <w:color w:val="auto"/>
              </w:rPr>
            </w:pPr>
          </w:p>
        </w:tc>
      </w:tr>
      <w:tr>
        <w:trPr>
          <w:trHeight w:val="204"/>
        </w:trPr>
        <w:tc>
          <w:tcPr>
            <w:tcW w:w="6600" w:type="dxa"/>
            <w:vAlign w:val="bottom"/>
          </w:tcPr>
          <w:p>
            <w:pPr>
              <w:ind w:left="240"/>
              <w:spacing w:after="0"/>
              <w:rPr>
                <w:sz w:val="20"/>
                <w:szCs w:val="20"/>
                <w:color w:val="auto"/>
              </w:rPr>
            </w:pPr>
            <w:r>
              <w:rPr>
                <w:rFonts w:ascii="Arial" w:cs="Arial" w:eastAsia="Arial" w:hAnsi="Arial"/>
                <w:sz w:val="15"/>
                <w:szCs w:val="15"/>
                <w:color w:val="auto"/>
              </w:rPr>
              <w:t>Reclassification of losses from interest rate cap to net loss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Reclassification of prior hedge effectiveness to net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(15,169)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(11,404)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loss on interest rate swaps and cap</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204"/>
        </w:trPr>
        <w:tc>
          <w:tcPr>
            <w:tcW w:w="6600" w:type="dxa"/>
            <w:vAlign w:val="bottom"/>
          </w:tcPr>
          <w:p>
            <w:pPr>
              <w:ind w:left="240"/>
              <w:spacing w:after="0"/>
              <w:rPr>
                <w:sz w:val="20"/>
                <w:szCs w:val="20"/>
                <w:color w:val="auto"/>
              </w:rPr>
            </w:pPr>
            <w:r>
              <w:rPr>
                <w:rFonts w:ascii="Arial" w:cs="Arial" w:eastAsia="Arial" w:hAnsi="Arial"/>
                <w:sz w:val="15"/>
                <w:szCs w:val="15"/>
                <w:color w:val="auto"/>
              </w:rPr>
              <w:t>Reclassification of losses from interest rate cap to net loss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Reclassification of prior hedge effectiveness to net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June 30,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(16,811)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(12,637)</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loss on interest rate swaps and cap</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204"/>
        </w:trPr>
        <w:tc>
          <w:tcPr>
            <w:tcW w:w="6600" w:type="dxa"/>
            <w:vAlign w:val="bottom"/>
          </w:tcPr>
          <w:p>
            <w:pPr>
              <w:ind w:left="240"/>
              <w:spacing w:after="0"/>
              <w:rPr>
                <w:sz w:val="20"/>
                <w:szCs w:val="20"/>
                <w:color w:val="auto"/>
              </w:rPr>
            </w:pPr>
            <w:r>
              <w:rPr>
                <w:rFonts w:ascii="Arial" w:cs="Arial" w:eastAsia="Arial" w:hAnsi="Arial"/>
                <w:sz w:val="15"/>
                <w:szCs w:val="15"/>
                <w:color w:val="auto"/>
              </w:rPr>
              <w:t>Reclassification of losses from interest rate cap to net income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Reclassification of prior hedge effectiveness to net income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2020</w:t>
            </w: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(16,212)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(12,187)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Accumulated other comprehensive loss: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5"/>
                <w:szCs w:val="15"/>
                <w:color w:val="auto"/>
              </w:rPr>
              <w:t>Beginning balance at December 31, 2019</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(7,114)</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1,387</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(5,727)</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(4,892)</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March 31,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(14,384)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(10,619)</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(1,025)</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June 30, 2020</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(15,818)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(11,644)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rPr>
                <w:sz w:val="20"/>
                <w:szCs w:val="20"/>
                <w:color w:val="auto"/>
              </w:rPr>
            </w:pPr>
            <w:r>
              <w:rPr>
                <w:rFonts w:ascii="Arial" w:cs="Arial" w:eastAsia="Arial" w:hAnsi="Arial"/>
                <w:sz w:val="15"/>
                <w:szCs w:val="15"/>
                <w:color w:val="auto"/>
              </w:rPr>
              <w:t>Ending balance at September 30, 2020</w:t>
            </w: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(12,254)</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Related Parties</w:t>
      </w:r>
    </w:p>
    <w:p>
      <w:pPr>
        <w:spacing w:after="0" w:line="121" w:lineRule="exact"/>
        <w:rPr>
          <w:sz w:val="20"/>
          <w:szCs w:val="20"/>
          <w:color w:val="auto"/>
        </w:rPr>
      </w:pPr>
    </w:p>
    <w:p>
      <w:pPr>
        <w:ind w:right="860" w:firstLine="451"/>
        <w:spacing w:after="0" w:line="254" w:lineRule="auto"/>
        <w:rPr>
          <w:sz w:val="20"/>
          <w:szCs w:val="20"/>
          <w:color w:val="auto"/>
        </w:rPr>
      </w:pPr>
      <w:r>
        <w:rPr>
          <w:rFonts w:ascii="Arial" w:cs="Arial" w:eastAsia="Arial" w:hAnsi="Arial"/>
          <w:sz w:val="15"/>
          <w:szCs w:val="15"/>
          <w:color w:val="auto"/>
        </w:rPr>
        <w:t>For the three months ended September 30, 2021 and 2020, we received software and software maintenance services of $0.3 million and $0.2 million, respectively, from two software vendors controlled by our largest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00"/>
        <w:spacing w:after="0" w:line="254" w:lineRule="auto"/>
        <w:rPr>
          <w:sz w:val="20"/>
          <w:szCs w:val="20"/>
          <w:color w:val="auto"/>
        </w:rPr>
      </w:pPr>
      <w:r>
        <w:rPr>
          <w:rFonts w:ascii="Arial" w:cs="Arial" w:eastAsia="Arial" w:hAnsi="Arial"/>
          <w:sz w:val="15"/>
          <w:szCs w:val="15"/>
          <w:color w:val="auto"/>
        </w:rPr>
        <w:t>stockholder. For the nine months ended September 30, 2021 and 2020, we received software and software maintenance services of $0.9 million and $0.7 million, respectively from these vendors. Amounts due to these vendors were immaterial as of September 30, 2021 and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Subsequent Events</w:t>
      </w:r>
    </w:p>
    <w:p>
      <w:pPr>
        <w:spacing w:after="0" w:line="121"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In November 2021, we acquired all of the outstanding equity interests in Earth Class Mail, Inc., a company that provides virtual mailbox solutions for small businesses. The total purchase price was $63 million, subject to customary adjustments, which was paid at closing and funded by our available cash on hand. We are currently evaluating the purchase price allocation for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21" w:lineRule="exact"/>
        <w:rPr>
          <w:sz w:val="20"/>
          <w:szCs w:val="20"/>
          <w:color w:val="auto"/>
        </w:rPr>
      </w:pPr>
    </w:p>
    <w:p>
      <w:pPr>
        <w:ind w:right="200" w:firstLine="451"/>
        <w:spacing w:after="0" w:line="249"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included in our Prospectus, filed with the Securities and Exchange Commission, or SEC, in connection with our initial public offering, or IPO.</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21"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LegalZoom, referred to herein as “we,” “us,” or “our”,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 In 2020, 10% of new limited liability companies, or LLCs, and 5% of new corporations in the U.S. were formed through our platform.</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Initial Public Offering</w:t>
      </w:r>
    </w:p>
    <w:p>
      <w:pPr>
        <w:spacing w:after="0" w:line="121" w:lineRule="exact"/>
        <w:rPr>
          <w:sz w:val="20"/>
          <w:szCs w:val="20"/>
          <w:color w:val="auto"/>
        </w:rPr>
      </w:pPr>
    </w:p>
    <w:p>
      <w:pPr>
        <w:ind w:right="40" w:firstLine="451"/>
        <w:spacing w:after="0" w:line="245" w:lineRule="auto"/>
        <w:rPr>
          <w:sz w:val="20"/>
          <w:szCs w:val="20"/>
          <w:color w:val="auto"/>
        </w:rPr>
      </w:pPr>
      <w:r>
        <w:rPr>
          <w:rFonts w:ascii="Arial" w:cs="Arial" w:eastAsia="Arial" w:hAnsi="Arial"/>
          <w:sz w:val="15"/>
          <w:szCs w:val="15"/>
          <w:color w:val="auto"/>
        </w:rPr>
        <w:t>The registration statement related to our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pursuant to our Prospectus.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96"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Upon the completion of our IPO, 23,081,080 outstanding shares of redeemable convertible preferred stock with a carrying value of $70.9 million converted into an aggregate of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Model and Growth Strategy</w:t>
      </w:r>
    </w:p>
    <w:p>
      <w:pPr>
        <w:spacing w:after="0" w:line="121"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Our business model is to acquire customers at the time of business formation and then continue to serve their legal and compliance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services. We also introduce our customers to a variety of third-party partners, giving them access to critical services they need to start and run their businesses, such as business license services, bookkeeping services, banking services, productivity tools, and business insurance, among others.</w:t>
      </w:r>
    </w:p>
    <w:p>
      <w:pPr>
        <w:spacing w:after="0" w:line="93" w:lineRule="exact"/>
        <w:rPr>
          <w:sz w:val="20"/>
          <w:szCs w:val="20"/>
          <w:color w:val="auto"/>
        </w:rPr>
      </w:pPr>
    </w:p>
    <w:p>
      <w:pPr>
        <w:ind w:right="160" w:firstLine="451"/>
        <w:spacing w:after="0" w:line="247" w:lineRule="auto"/>
        <w:rPr>
          <w:sz w:val="20"/>
          <w:szCs w:val="20"/>
          <w:color w:val="auto"/>
        </w:rPr>
      </w:pPr>
      <w:r>
        <w:rPr>
          <w:rFonts w:ascii="Arial" w:cs="Arial" w:eastAsia="Arial" w:hAnsi="Arial"/>
          <w:sz w:val="15"/>
          <w:szCs w:val="15"/>
          <w:color w:val="auto"/>
        </w:rPr>
        <w:t>Going forward, our strategy is to scale our existing business and gain market share by investing in core products and sales and marketing; expand our addressable market while increasing conversion and average order value, or AOV; by integrating our independent attorney network and tax professionals into our core product set; and growing average revenue per subscription unit, or ARPU, and partnership revenue through building in-house adjacencies and expanding our partner ecosystem to provide new recurring revenue streams.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Business Metrics</w:t>
      </w:r>
    </w:p>
    <w:p>
      <w:pPr>
        <w:spacing w:after="0" w:line="121" w:lineRule="exact"/>
        <w:rPr>
          <w:sz w:val="20"/>
          <w:szCs w:val="20"/>
          <w:color w:val="auto"/>
        </w:rPr>
      </w:pPr>
    </w:p>
    <w:p>
      <w:pPr>
        <w:ind w:right="160" w:firstLine="451"/>
        <w:spacing w:after="0" w:line="254" w:lineRule="auto"/>
        <w:rPr>
          <w:sz w:val="20"/>
          <w:szCs w:val="20"/>
          <w:color w:val="auto"/>
        </w:rPr>
      </w:pPr>
      <w:r>
        <w:rPr>
          <w:rFonts w:ascii="Arial" w:cs="Arial" w:eastAsia="Arial" w:hAnsi="Arial"/>
          <w:sz w:val="15"/>
          <w:szCs w:val="15"/>
          <w:color w:val="auto"/>
        </w:rPr>
        <w:t>In addition to the measures presented in our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Number of business formations</w:t>
      </w:r>
    </w:p>
    <w:p>
      <w:pPr>
        <w:spacing w:after="0" w:line="121"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We define the number of business formations in a given period as the number of global LLC, incorporation, not-for-profit and other formation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they adopt additional products and services throughout their business lifecycles.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below table sets forth the number of business formations for the three and nine months ended September 30,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140" w:type="dxa"/>
            <w:vAlign w:val="bottom"/>
            <w:gridSpan w:val="4"/>
          </w:tcPr>
          <w:p>
            <w:pPr>
              <w:ind w:left="260"/>
              <w:spacing w:after="0"/>
              <w:rPr>
                <w:sz w:val="20"/>
                <w:szCs w:val="20"/>
                <w:color w:val="auto"/>
              </w:rPr>
            </w:pPr>
            <w:r>
              <w:rPr>
                <w:rFonts w:ascii="Arial" w:cs="Arial" w:eastAsia="Arial" w:hAnsi="Arial"/>
                <w:sz w:val="15"/>
                <w:szCs w:val="15"/>
                <w:b w:val="1"/>
                <w:bCs w:val="1"/>
                <w:color w:val="auto"/>
              </w:rPr>
              <w:t>Three Months Ended September 30,</w:t>
            </w:r>
          </w:p>
        </w:tc>
        <w:tc>
          <w:tcPr>
            <w:tcW w:w="3040" w:type="dxa"/>
            <w:vAlign w:val="bottom"/>
            <w:gridSpan w:val="2"/>
          </w:tcPr>
          <w:p>
            <w:pPr>
              <w:jc w:val="right"/>
              <w:ind w:right="20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0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2021</w:t>
            </w:r>
          </w:p>
        </w:tc>
        <w:tc>
          <w:tcPr>
            <w:tcW w:w="7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b w:val="1"/>
                <w:bCs w:val="1"/>
                <w:color w:val="auto"/>
              </w:rPr>
              <w:t>2021</w:t>
            </w:r>
          </w:p>
        </w:tc>
        <w:tc>
          <w:tcPr>
            <w:tcW w:w="12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r>
      <w:tr>
        <w:trPr>
          <w:trHeight w:val="205"/>
        </w:trPr>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40" w:type="dxa"/>
            <w:vAlign w:val="bottom"/>
            <w:gridSpan w:val="3"/>
          </w:tcPr>
          <w:p>
            <w:pPr>
              <w:jc w:val="right"/>
              <w:ind w:right="1265"/>
              <w:spacing w:after="0"/>
              <w:rPr>
                <w:sz w:val="20"/>
                <w:szCs w:val="20"/>
                <w:color w:val="auto"/>
              </w:rPr>
            </w:pPr>
            <w:r>
              <w:rPr>
                <w:rFonts w:ascii="Arial" w:cs="Arial" w:eastAsia="Arial" w:hAnsi="Arial"/>
                <w:sz w:val="15"/>
                <w:szCs w:val="15"/>
                <w:i w:val="1"/>
                <w:iCs w:val="1"/>
                <w:color w:val="auto"/>
              </w:rPr>
              <w:t>(in thousands)</w:t>
            </w:r>
          </w:p>
        </w:tc>
        <w:tc>
          <w:tcPr>
            <w:tcW w:w="1260" w:type="dxa"/>
            <w:vAlign w:val="bottom"/>
          </w:tcPr>
          <w:p>
            <w:pPr>
              <w:spacing w:after="0"/>
              <w:rPr>
                <w:sz w:val="17"/>
                <w:szCs w:val="17"/>
                <w:color w:val="auto"/>
              </w:rPr>
            </w:pPr>
          </w:p>
        </w:tc>
      </w:tr>
      <w:tr>
        <w:trPr>
          <w:trHeight w:val="222"/>
        </w:trPr>
        <w:tc>
          <w:tcPr>
            <w:tcW w:w="6100" w:type="dxa"/>
            <w:vAlign w:val="bottom"/>
            <w:gridSpan w:val="2"/>
            <w:shd w:val="clear" w:color="auto" w:fill="CCEEFF"/>
          </w:tcPr>
          <w:p>
            <w:pPr>
              <w:jc w:val="right"/>
              <w:ind w:right="3925"/>
              <w:spacing w:after="0"/>
              <w:rPr>
                <w:sz w:val="20"/>
                <w:szCs w:val="20"/>
                <w:color w:val="auto"/>
              </w:rPr>
            </w:pPr>
            <w:r>
              <w:rPr>
                <w:rFonts w:ascii="Arial" w:cs="Arial" w:eastAsia="Arial" w:hAnsi="Arial"/>
                <w:sz w:val="15"/>
                <w:szCs w:val="15"/>
                <w:color w:val="auto"/>
              </w:rPr>
              <w:t>Number of business formations</w:t>
            </w:r>
          </w:p>
        </w:tc>
        <w:tc>
          <w:tcPr>
            <w:tcW w:w="7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106</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117</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351</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r>
    </w:tbl>
    <w:p>
      <w:pPr>
        <w:spacing w:after="0" w:line="190"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experienced a 9% reduction in business formations from the three months ended September 30, 2020 compared to the three months ended September 30, 2021, and a 21% increase from the nine months ended September 30, 2020 compared to the nine months ended September 30, 2021. While we generally see demand for our services decline toward the beginning of the third quarter as a result of summer vacations, the third quarter of 2020 deviated from this seasonal trend as pent-up demand from COVID-19-related shelter-in-place directives was realized and the economy re-opened. For the three months ended September 30, 2021, we saw a return to the historical seasonal reduction in overall U.S. business formations, leading to a year-over-year decline in the number of business formations on our platform. The increase in the number of business formations on our platform during the nine months ended September 30, 2021 reflected year-over-year growth in overall U.S. business formations during the first half of 2021 as well as the year-to-date increase in business generated from our sales and marketing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Number of transactions</w:t>
      </w:r>
    </w:p>
    <w:p>
      <w:pPr>
        <w:spacing w:after="0" w:line="121"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define the number of transactions in a given period as gross transaction order volume, prior to refunds, on our platform during such period, excluding transactions from our subsidiary, Beaumont ABS Limited, or Beaumont, which was divested in April 2020.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below table sets forth the number of transactions for the three and nine months ended September 30,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140" w:type="dxa"/>
            <w:vAlign w:val="bottom"/>
            <w:gridSpan w:val="4"/>
          </w:tcPr>
          <w:p>
            <w:pPr>
              <w:ind w:left="260"/>
              <w:spacing w:after="0"/>
              <w:rPr>
                <w:sz w:val="20"/>
                <w:szCs w:val="20"/>
                <w:color w:val="auto"/>
              </w:rPr>
            </w:pPr>
            <w:r>
              <w:rPr>
                <w:rFonts w:ascii="Arial" w:cs="Arial" w:eastAsia="Arial" w:hAnsi="Arial"/>
                <w:sz w:val="15"/>
                <w:szCs w:val="15"/>
                <w:b w:val="1"/>
                <w:bCs w:val="1"/>
                <w:color w:val="auto"/>
              </w:rPr>
              <w:t>Three Months Ended September 30,</w:t>
            </w:r>
          </w:p>
        </w:tc>
        <w:tc>
          <w:tcPr>
            <w:tcW w:w="3040" w:type="dxa"/>
            <w:vAlign w:val="bottom"/>
            <w:gridSpan w:val="2"/>
          </w:tcPr>
          <w:p>
            <w:pPr>
              <w:jc w:val="right"/>
              <w:ind w:right="20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0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2021</w:t>
            </w:r>
          </w:p>
        </w:tc>
        <w:tc>
          <w:tcPr>
            <w:tcW w:w="7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b w:val="1"/>
                <w:bCs w:val="1"/>
                <w:color w:val="auto"/>
              </w:rPr>
              <w:t>2021</w:t>
            </w:r>
          </w:p>
        </w:tc>
        <w:tc>
          <w:tcPr>
            <w:tcW w:w="12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r>
      <w:tr>
        <w:trPr>
          <w:trHeight w:val="205"/>
        </w:trPr>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40" w:type="dxa"/>
            <w:vAlign w:val="bottom"/>
            <w:gridSpan w:val="3"/>
          </w:tcPr>
          <w:p>
            <w:pPr>
              <w:jc w:val="right"/>
              <w:ind w:right="1265"/>
              <w:spacing w:after="0"/>
              <w:rPr>
                <w:sz w:val="20"/>
                <w:szCs w:val="20"/>
                <w:color w:val="auto"/>
              </w:rPr>
            </w:pPr>
            <w:r>
              <w:rPr>
                <w:rFonts w:ascii="Arial" w:cs="Arial" w:eastAsia="Arial" w:hAnsi="Arial"/>
                <w:sz w:val="15"/>
                <w:szCs w:val="15"/>
                <w:i w:val="1"/>
                <w:iCs w:val="1"/>
                <w:color w:val="auto"/>
              </w:rPr>
              <w:t>(in thousands)</w:t>
            </w:r>
          </w:p>
        </w:tc>
        <w:tc>
          <w:tcPr>
            <w:tcW w:w="1260" w:type="dxa"/>
            <w:vAlign w:val="bottom"/>
          </w:tcPr>
          <w:p>
            <w:pPr>
              <w:spacing w:after="0"/>
              <w:rPr>
                <w:sz w:val="17"/>
                <w:szCs w:val="17"/>
                <w:color w:val="auto"/>
              </w:rPr>
            </w:pPr>
          </w:p>
        </w:tc>
      </w:tr>
      <w:tr>
        <w:trPr>
          <w:trHeight w:val="222"/>
        </w:trPr>
        <w:tc>
          <w:tcPr>
            <w:tcW w:w="6100" w:type="dxa"/>
            <w:vAlign w:val="bottom"/>
            <w:gridSpan w:val="2"/>
            <w:shd w:val="clear" w:color="auto" w:fill="CCEEFF"/>
          </w:tcPr>
          <w:p>
            <w:pPr>
              <w:jc w:val="right"/>
              <w:ind w:right="4445"/>
              <w:spacing w:after="0"/>
              <w:rPr>
                <w:sz w:val="20"/>
                <w:szCs w:val="20"/>
                <w:color w:val="auto"/>
              </w:rPr>
            </w:pPr>
            <w:r>
              <w:rPr>
                <w:rFonts w:ascii="Arial" w:cs="Arial" w:eastAsia="Arial" w:hAnsi="Arial"/>
                <w:sz w:val="15"/>
                <w:szCs w:val="15"/>
                <w:color w:val="auto"/>
              </w:rPr>
              <w:t>Number of transactions</w:t>
            </w:r>
          </w:p>
        </w:tc>
        <w:tc>
          <w:tcPr>
            <w:tcW w:w="7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229</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765</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r>
    </w:tbl>
    <w:p>
      <w:pPr>
        <w:spacing w:after="0" w:line="177"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experienced a 10% reduction in transactions from the three months ended September 30, 2020 compared to the three months ended September 30, 2021, and a 10% increase from the nine months ended September 30, 2020 compared to the nine months ended September 30, 2021. While we generally see demand for our services decline toward the beginning of the third quarter as a result of summer vacations, the third quarter of 2020 deviated from this seasonal trend as pent-up demand from COVID-19-related shelter-in-place directives was realized and the economy re-opened. For the three months ended September 30, 2021, we saw a return to the historical seasonal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reduction in overall U.S. business formations, leading to a year-over-year decline in the number of transactions on our platform. The increase in the number of transactions during the nine months ended September 30, 2021 resulted from year-over-year growth in overall U.S. business formations during the first half of 2021. Our estate planning and other consumer transactions continued to decline as a percentage of total transactions in both the three and nine month periods. We expect the proportion of consumer transactions to continue to decrease over time as we focus more of our investment in small business formations, which have a significantly higher order value. Estate planning transactions benefited from tailwinds driven by the COVID-19 pandemic in the prior year, as individuals turned to our online services given the relative inaccessibility of offline alternatives. We expect to continue to grow transactions; however, the growth may fluctuate period-over-period based on the variability of overall business formations and estate planning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Average order value</w:t>
      </w:r>
    </w:p>
    <w:p>
      <w:pPr>
        <w:spacing w:after="0" w:line="121" w:lineRule="exact"/>
        <w:rPr>
          <w:sz w:val="20"/>
          <w:szCs w:val="20"/>
          <w:color w:val="auto"/>
        </w:rPr>
      </w:pPr>
    </w:p>
    <w:p>
      <w:pPr>
        <w:ind w:right="140" w:firstLine="451"/>
        <w:spacing w:after="0" w:line="247" w:lineRule="auto"/>
        <w:rPr>
          <w:sz w:val="20"/>
          <w:szCs w:val="20"/>
          <w:color w:val="auto"/>
        </w:rPr>
      </w:pPr>
      <w:r>
        <w:rPr>
          <w:rFonts w:ascii="Arial" w:cs="Arial" w:eastAsia="Arial" w:hAnsi="Arial"/>
          <w:sz w:val="15"/>
          <w:szCs w:val="15"/>
          <w:color w:val="auto"/>
        </w:rPr>
        <w:t>We define average order value for a given period as total transaction revenue divided by total number of transactions in such period, excluding revenue and related transactions from our Beaumont subsidiary. We consider average order value to be an important metric given it indicates how much customers are spending on our platform. Estate planning transactions are generally at a lower price point, making our overall average order value lower than our typical price point for small business formations.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below table sets forth the average order value for the three and nine months ended September 30,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40" w:type="dxa"/>
            <w:vAlign w:val="bottom"/>
          </w:tcPr>
          <w:p>
            <w:pPr>
              <w:spacing w:after="0"/>
              <w:rPr>
                <w:sz w:val="18"/>
                <w:szCs w:val="18"/>
                <w:color w:val="auto"/>
              </w:rPr>
            </w:pPr>
          </w:p>
        </w:tc>
        <w:tc>
          <w:tcPr>
            <w:tcW w:w="314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0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order value</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r>
    </w:tbl>
    <w:p>
      <w:pPr>
        <w:spacing w:after="0" w:line="190"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Average order value increased by 16% from the three months ended September 30, 2020 compared to the three months ended September 30, 2021 and increased 16% from the nine months ended September 30, 2020 compared to the nine months ended September 30, 2021. Growth in average order value for the three and nine months ended September 30, 2021 was primarily driven by an increase in the proportion of business formations and other small business transactions, which have a significantly higher order value compared to other transactions relative to total transactions, the timing of transaction revenue recognition and increased customer adoption of our attorney-led trademark product. Transaction revenue recognized in the third quarter of 2020 was negatively impacted by capacity constraints related to the COVID-19 pandemic, including delays at various secretaries of state, which pushed fulfillment of transaction orders placed in the third quarter to subsequent periods. Growth may fluctuate period-over-period based on estate planning transactions, the timing of transaction revenue recognition, and our ability to introduce and sell higher-value products. While we expect continued strength in average order value as business formations continue to account for a larger share of overall transaction units, we expect year-over-year average order value growth to taper in the fourth quarter of 2021. Our goal is to grow average order value as we increase the average number of transactional products purchased in a single order and the mix of higher-value credentialed professional-assisted products.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Number of subscription units</w:t>
      </w:r>
    </w:p>
    <w:p>
      <w:pPr>
        <w:spacing w:after="0" w:line="121" w:lineRule="exact"/>
        <w:rPr>
          <w:sz w:val="20"/>
          <w:szCs w:val="20"/>
          <w:color w:val="auto"/>
        </w:rPr>
      </w:pPr>
    </w:p>
    <w:p>
      <w:pPr>
        <w:ind w:right="40" w:firstLine="451"/>
        <w:spacing w:after="0" w:line="247" w:lineRule="auto"/>
        <w:rPr>
          <w:sz w:val="20"/>
          <w:szCs w:val="20"/>
          <w:color w:val="auto"/>
        </w:rPr>
      </w:pPr>
      <w:r>
        <w:rPr>
          <w:rFonts w:ascii="Arial" w:cs="Arial" w:eastAsia="Arial" w:hAnsi="Arial"/>
          <w:sz w:val="15"/>
          <w:szCs w:val="15"/>
          <w:color w:val="auto"/>
        </w:rPr>
        <w:t>We define the number of subscription units in a given period as the paid subscriptions that remain active at the end of such period, including those that are not yet 60 days past their subscription order dates, excluding subscriptions from our employer group legal plan and small business concierge subscription service, for which we ceased acquiring new subscribers in October 2020. Refunds, or partial refunds, may be issued under certain circumstances pursuant to the terms of our customer satisfaction guarantee.</w:t>
      </w:r>
    </w:p>
    <w:p>
      <w:pPr>
        <w:spacing w:after="0" w:line="92" w:lineRule="exact"/>
        <w:rPr>
          <w:sz w:val="20"/>
          <w:szCs w:val="20"/>
          <w:color w:val="auto"/>
        </w:rPr>
      </w:pPr>
    </w:p>
    <w:p>
      <w:pPr>
        <w:ind w:right="100" w:firstLine="451"/>
        <w:spacing w:after="0" w:line="246" w:lineRule="auto"/>
        <w:rPr>
          <w:sz w:val="20"/>
          <w:szCs w:val="20"/>
          <w:color w:val="auto"/>
        </w:rPr>
      </w:pPr>
      <w:r>
        <w:rPr>
          <w:rFonts w:ascii="Arial" w:cs="Arial" w:eastAsia="Arial" w:hAnsi="Arial"/>
          <w:sz w:val="15"/>
          <w:szCs w:val="15"/>
          <w:color w:val="auto"/>
        </w:rPr>
        <w:t>We consider the number of subscription units to be an important metric since subscriptions enable us to increase lifetime value through deeper, longer-term relationships with customers.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 Our registered agent offering comprised approximately 60% of our subscription units for the three and nine months ended September 30, 2021 and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below table sets forth the number of subscription units as of September 30, 2021 and 2020:</w:t>
      </w:r>
    </w:p>
    <w:p>
      <w:pPr>
        <w:spacing w:after="0" w:line="223" w:lineRule="exact"/>
        <w:rPr>
          <w:sz w:val="20"/>
          <w:szCs w:val="20"/>
          <w:color w:val="auto"/>
        </w:rPr>
      </w:pPr>
    </w:p>
    <w:p>
      <w:pPr>
        <w:ind w:left="9220"/>
        <w:spacing w:after="0"/>
        <w:rPr>
          <w:sz w:val="20"/>
          <w:szCs w:val="20"/>
          <w:color w:val="auto"/>
        </w:rPr>
      </w:pPr>
      <w:r>
        <w:rPr>
          <w:rFonts w:ascii="Arial" w:cs="Arial" w:eastAsia="Arial" w:hAnsi="Arial"/>
          <w:sz w:val="15"/>
          <w:szCs w:val="15"/>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1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r>
      <w:tr>
        <w:trPr>
          <w:trHeight w:val="205"/>
        </w:trPr>
        <w:tc>
          <w:tcPr>
            <w:tcW w:w="8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i w:val="1"/>
                <w:iCs w:val="1"/>
                <w:color w:val="auto"/>
              </w:rPr>
              <w:t>(in thousands)</w:t>
            </w:r>
          </w:p>
        </w:tc>
        <w:tc>
          <w:tcPr>
            <w:tcW w:w="960" w:type="dxa"/>
            <w:vAlign w:val="bottom"/>
          </w:tcPr>
          <w:p>
            <w:pPr>
              <w:spacing w:after="0"/>
              <w:rPr>
                <w:sz w:val="17"/>
                <w:szCs w:val="17"/>
                <w:color w:val="auto"/>
              </w:rPr>
            </w:pPr>
          </w:p>
        </w:tc>
      </w:tr>
      <w:tr>
        <w:trPr>
          <w:trHeight w:val="222"/>
        </w:trPr>
        <w:tc>
          <w:tcPr>
            <w:tcW w:w="9180" w:type="dxa"/>
            <w:vAlign w:val="bottom"/>
            <w:gridSpan w:val="2"/>
            <w:shd w:val="clear" w:color="auto" w:fill="CCEEFF"/>
          </w:tcPr>
          <w:p>
            <w:pPr>
              <w:jc w:val="right"/>
              <w:ind w:right="7185"/>
              <w:spacing w:after="0"/>
              <w:rPr>
                <w:sz w:val="20"/>
                <w:szCs w:val="20"/>
                <w:color w:val="auto"/>
              </w:rPr>
            </w:pPr>
            <w:r>
              <w:rPr>
                <w:rFonts w:ascii="Arial" w:cs="Arial" w:eastAsia="Arial" w:hAnsi="Arial"/>
                <w:sz w:val="15"/>
                <w:szCs w:val="15"/>
                <w:color w:val="auto"/>
                <w:w w:val="99"/>
              </w:rPr>
              <w:t>Number of subscription units</w:t>
            </w:r>
          </w:p>
        </w:tc>
        <w:tc>
          <w:tcPr>
            <w:tcW w:w="11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rPr>
              <w:t>1,264</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1,043</w:t>
            </w:r>
          </w:p>
        </w:tc>
      </w:tr>
    </w:tbl>
    <w:p>
      <w:pPr>
        <w:spacing w:after="0" w:line="190"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We achieved 21% growth in our number of subscription units from September 30, 2020 to September 30, 2021, reflecting strong growth from our registered agent, compliance, and attorney advice subscriptions primarily due to the year-to-date increase in business formations compared to the same period last year. The number of subscriptions units as of September 30, 2021 increased 16% from 1,085,000 units as of December 31, 2020. We aim to continue to grow subscription units by increasing the proportion of our small business customers that purchase a subscription service at the time of their initial formation purchase and improving retention rates.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Average revenue per subscription unit</w:t>
      </w:r>
    </w:p>
    <w:p>
      <w:pPr>
        <w:spacing w:after="0" w:line="121"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We define ARPU as of a given date as subscription revenue for the 12-month period ended on such date, or LTM, divided by the average number of subscription units at the beginning and end of the LTM period, excluding revenue and subscriptions from our employer group legal plan and small business concierge subscription service, for which we ceased acquiring new subscribers in October 2020. We consider ARPU to be an important metric because it helps to illustrate our ability to deepen our relationship with our existing customers as they purchase incremental and higher-value services. We have expanded ARPU in recent periods, and for the three months ended September 30, 2021, ARPU increased 5% from the same period in 2020.</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below table sets forth ARPU as at September 30, 2021 and 2020:</w:t>
      </w:r>
    </w:p>
    <w:p>
      <w:pPr>
        <w:spacing w:after="0" w:line="223" w:lineRule="exact"/>
        <w:rPr>
          <w:sz w:val="20"/>
          <w:szCs w:val="20"/>
          <w:color w:val="auto"/>
        </w:rPr>
      </w:pPr>
    </w:p>
    <w:p>
      <w:pPr>
        <w:jc w:val="center"/>
        <w:ind w:left="816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27940</wp:posOffset>
            </wp:positionV>
            <wp:extent cx="1950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33" w:lineRule="exact"/>
        <w:rPr>
          <w:sz w:val="20"/>
          <w:szCs w:val="20"/>
          <w:color w:val="auto"/>
        </w:rPr>
      </w:pPr>
    </w:p>
    <w:p>
      <w:pPr>
        <w:ind w:left="8760"/>
        <w:spacing w:after="0"/>
        <w:tabs>
          <w:tab w:leader="none" w:pos="1032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1845" cy="143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39" w:lineRule="exact"/>
        <w:rPr>
          <w:sz w:val="20"/>
          <w:szCs w:val="20"/>
          <w:color w:val="auto"/>
        </w:rPr>
      </w:pPr>
    </w:p>
    <w:p>
      <w:pPr>
        <w:ind w:left="20"/>
        <w:spacing w:after="0"/>
        <w:tabs>
          <w:tab w:leader="none" w:pos="8180" w:val="left"/>
          <w:tab w:leader="none" w:pos="9340" w:val="left"/>
          <w:tab w:leader="none" w:pos="9760" w:val="left"/>
          <w:tab w:leader="none" w:pos="10920" w:val="left"/>
        </w:tabs>
        <w:rPr>
          <w:sz w:val="20"/>
          <w:szCs w:val="20"/>
          <w:color w:val="auto"/>
        </w:rPr>
      </w:pPr>
      <w:r>
        <w:rPr>
          <w:rFonts w:ascii="Arial" w:cs="Arial" w:eastAsia="Arial" w:hAnsi="Arial"/>
          <w:sz w:val="15"/>
          <w:szCs w:val="15"/>
          <w:color w:val="auto"/>
        </w:rPr>
        <w:t>Average revenue per subscription unit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231</w:t>
        <w:tab/>
        <w:t>$</w:t>
      </w:r>
      <w:r>
        <w:rPr>
          <w:sz w:val="20"/>
          <w:szCs w:val="20"/>
          <w:color w:val="auto"/>
        </w:rPr>
        <w:tab/>
      </w:r>
      <w:r>
        <w:rPr>
          <w:rFonts w:ascii="Arial" w:cs="Arial" w:eastAsia="Arial" w:hAnsi="Arial"/>
          <w:sz w:val="14"/>
          <w:szCs w:val="14"/>
          <w:color w:val="auto"/>
        </w:rPr>
        <w:t>221</w:t>
      </w:r>
    </w:p>
    <w:p>
      <w:pPr>
        <w:spacing w:after="0" w:line="216" w:lineRule="exact"/>
        <w:rPr>
          <w:sz w:val="20"/>
          <w:szCs w:val="20"/>
          <w:color w:val="auto"/>
        </w:rPr>
      </w:pPr>
    </w:p>
    <w:p>
      <w:pPr>
        <w:ind w:right="80" w:firstLine="451"/>
        <w:spacing w:after="0" w:line="254" w:lineRule="auto"/>
        <w:rPr>
          <w:sz w:val="20"/>
          <w:szCs w:val="20"/>
          <w:color w:val="auto"/>
        </w:rPr>
      </w:pPr>
      <w:r>
        <w:rPr>
          <w:rFonts w:ascii="Arial" w:cs="Arial" w:eastAsia="Arial" w:hAnsi="Arial"/>
          <w:sz w:val="15"/>
          <w:szCs w:val="15"/>
          <w:color w:val="auto"/>
        </w:rPr>
        <w:t>We expect ARPU to remain relatively stable over time, as we plan to focus more of our efforts on increasing the number of subscription units rather than routinely increasing pricing on existing subscription plans.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details of key factors affecting our performance are included in our Prospectus.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generate revenue from the sources identified below.</w:t>
      </w:r>
    </w:p>
    <w:p>
      <w:pPr>
        <w:spacing w:after="0" w:line="87" w:lineRule="exact"/>
        <w:rPr>
          <w:sz w:val="20"/>
          <w:szCs w:val="20"/>
          <w:color w:val="auto"/>
        </w:rPr>
      </w:pPr>
    </w:p>
    <w:p>
      <w:pPr>
        <w:ind w:right="240" w:firstLine="451"/>
        <w:spacing w:after="0" w:line="252" w:lineRule="auto"/>
        <w:rPr>
          <w:sz w:val="20"/>
          <w:szCs w:val="20"/>
          <w:color w:val="auto"/>
        </w:rPr>
      </w:pPr>
      <w:r>
        <w:rPr>
          <w:rFonts w:ascii="Arial" w:cs="Arial" w:eastAsia="Arial" w:hAnsi="Arial"/>
          <w:sz w:val="15"/>
          <w:szCs w:val="15"/>
          <w:i w:val="1"/>
          <w:iCs w:val="1"/>
          <w:color w:val="auto"/>
        </w:rPr>
        <w:t>Transaction revenue</w:t>
      </w:r>
      <w:r>
        <w:rPr>
          <w:rFonts w:ascii="Arial" w:cs="Arial" w:eastAsia="Arial" w:hAnsi="Arial"/>
          <w:sz w:val="15"/>
          <w:szCs w:val="15"/>
          <w:color w:val="auto"/>
        </w:rPr>
        <w:t>. Transaction revenue is primarily generated from our customized legal document services upon fulfillment of these services. Transaction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includes filing fees and is net of cancellations, promotional discounts, sales allowances and credit reserves. Until April 2020, when we ceased providing such services, we also generated transaction revenue from our residential and commercial conveyancing business in the United Kingdom, or U.K., and revenue for these services was recognized when delivered to the customer. In the fourth quarter of 2020, we commenced providing tax preparation services in the U.S. which are recognized at the point in time when the customer’s tax return is filed and accepted by the applicable government authority.</w:t>
      </w:r>
    </w:p>
    <w:p>
      <w:pPr>
        <w:spacing w:after="0" w:line="72" w:lineRule="exact"/>
        <w:rPr>
          <w:sz w:val="20"/>
          <w:szCs w:val="20"/>
          <w:color w:val="auto"/>
        </w:rPr>
      </w:pPr>
    </w:p>
    <w:p>
      <w:pPr>
        <w:ind w:right="20" w:firstLine="451"/>
        <w:spacing w:after="0" w:line="252" w:lineRule="auto"/>
        <w:rPr>
          <w:sz w:val="20"/>
          <w:szCs w:val="20"/>
          <w:color w:val="auto"/>
        </w:rPr>
      </w:pPr>
      <w:r>
        <w:rPr>
          <w:rFonts w:ascii="Arial" w:cs="Arial" w:eastAsia="Arial" w:hAnsi="Arial"/>
          <w:sz w:val="15"/>
          <w:szCs w:val="15"/>
          <w:i w:val="1"/>
          <w:iCs w:val="1"/>
          <w:color w:val="auto"/>
        </w:rPr>
        <w:t>Subscription revenue</w:t>
      </w:r>
      <w:r>
        <w:rPr>
          <w:rFonts w:ascii="Arial" w:cs="Arial" w:eastAsia="Arial" w:hAnsi="Arial"/>
          <w:sz w:val="15"/>
          <w:szCs w:val="15"/>
          <w:color w:val="auto"/>
        </w:rPr>
        <w:t>. Subscription revenue is generated primarily from subscriptions to our registered agent services, compliance packages, attorney advice, and</w:t>
      </w:r>
      <w:r>
        <w:rPr>
          <w:rFonts w:ascii="Arial" w:cs="Arial" w:eastAsia="Arial" w:hAnsi="Arial"/>
          <w:sz w:val="15"/>
          <w:szCs w:val="15"/>
          <w:i w:val="1"/>
          <w:iCs w:val="1"/>
          <w:color w:val="auto"/>
        </w:rPr>
        <w:t xml:space="preserve"> </w:t>
      </w:r>
      <w:r>
        <w:rPr>
          <w:rFonts w:ascii="Arial" w:cs="Arial" w:eastAsia="Arial" w:hAnsi="Arial"/>
          <w:sz w:val="15"/>
          <w:szCs w:val="15"/>
          <w:color w:val="auto"/>
        </w:rPr>
        <w:t>legal forms services, in addition to software-as-a-service, or SaaS, subscriptions in the U.K. In the fourth quarter of 2020, we commenced providing tax, bookkeeping and payroll subscription services. We generally recognize revenue from our subscriptions ratably over the subscription term. Subscription terms generally range from thirty days to one year. Subscription revenue includes the value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88" w:lineRule="exact"/>
        <w:rPr>
          <w:sz w:val="20"/>
          <w:szCs w:val="20"/>
          <w:color w:val="auto"/>
        </w:rPr>
      </w:pPr>
    </w:p>
    <w:p>
      <w:pPr>
        <w:jc w:val="both"/>
        <w:ind w:right="160" w:firstLine="451"/>
        <w:spacing w:after="0" w:line="249" w:lineRule="auto"/>
        <w:rPr>
          <w:sz w:val="20"/>
          <w:szCs w:val="20"/>
          <w:color w:val="auto"/>
        </w:rPr>
      </w:pPr>
      <w:r>
        <w:rPr>
          <w:rFonts w:ascii="Arial" w:cs="Arial" w:eastAsia="Arial" w:hAnsi="Arial"/>
          <w:sz w:val="15"/>
          <w:szCs w:val="15"/>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contractual amounts in our contracts and is reduced for estimated sales allowances for price concessions, charge-backs, sales credits and refunds, which are accounted for as variable consideration when estimating the amount of revenue to recognize.</w:t>
      </w:r>
    </w:p>
    <w:p>
      <w:pPr>
        <w:spacing w:after="0" w:line="70" w:lineRule="exact"/>
        <w:rPr>
          <w:sz w:val="20"/>
          <w:szCs w:val="20"/>
          <w:color w:val="auto"/>
        </w:rPr>
      </w:pPr>
    </w:p>
    <w:p>
      <w:pPr>
        <w:ind w:right="60" w:firstLine="451"/>
        <w:spacing w:after="0" w:line="255" w:lineRule="auto"/>
        <w:rPr>
          <w:sz w:val="20"/>
          <w:szCs w:val="20"/>
          <w:color w:val="auto"/>
        </w:rPr>
      </w:pPr>
      <w:r>
        <w:rPr>
          <w:rFonts w:ascii="Arial" w:cs="Arial" w:eastAsia="Arial" w:hAnsi="Arial"/>
          <w:sz w:val="15"/>
          <w:szCs w:val="15"/>
          <w:i w:val="1"/>
          <w:iCs w:val="1"/>
          <w:color w:val="auto"/>
        </w:rPr>
        <w:t>Partner revenue</w:t>
      </w:r>
      <w:r>
        <w:rPr>
          <w:rFonts w:ascii="Arial" w:cs="Arial" w:eastAsia="Arial" w:hAnsi="Arial"/>
          <w:sz w:val="15"/>
          <w:szCs w:val="15"/>
          <w:color w:val="auto"/>
        </w:rPr>
        <w:t>. Partner revenue consists primarily of one-time or recurring fees earned from third-party providers from leads generated to such providers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our online legal platform. Revenue is recognized when the related performance-based criteria have been met. We assess whether performance criteria have been met on a cost-per-click or cost-per-action basis. In the near term, we expect lower performance in partner revenue as we transition away from legacy partners that do not align with our new strategic direction, and we focus more on long-term opportunities to have strategic partnerships that build on recurring revenue models.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Cost of revenue</w:t>
      </w:r>
    </w:p>
    <w:p>
      <w:pPr>
        <w:spacing w:after="0" w:line="121"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Cost of revenue includes all costs of providing and fulfilling our services. Cost of revenue primarily includes government filing fees; costs of fulfillment, customer care and credentialed professionals,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93" w:lineRule="exact"/>
        <w:rPr>
          <w:sz w:val="20"/>
          <w:szCs w:val="20"/>
          <w:color w:val="auto"/>
        </w:rPr>
      </w:pPr>
    </w:p>
    <w:p>
      <w:pPr>
        <w:ind w:right="180" w:firstLine="451"/>
        <w:spacing w:after="0" w:line="254" w:lineRule="auto"/>
        <w:rPr>
          <w:sz w:val="20"/>
          <w:szCs w:val="20"/>
          <w:color w:val="auto"/>
        </w:rPr>
      </w:pPr>
      <w:r>
        <w:rPr>
          <w:rFonts w:ascii="Arial" w:cs="Arial" w:eastAsia="Arial" w:hAnsi="Arial"/>
          <w:sz w:val="15"/>
          <w:szCs w:val="15"/>
          <w:color w:val="auto"/>
        </w:rPr>
        <w:t>We expect our cost of revenue to increase in absolute dollars as we continue to invest in enhancing our customer experience and in new product development, including expert-assisted offerings for our Tax and Attorney-Assisted services.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Gross profit and gross margin</w:t>
      </w:r>
    </w:p>
    <w:p>
      <w:pPr>
        <w:spacing w:after="0" w:line="121" w:lineRule="exact"/>
        <w:rPr>
          <w:sz w:val="20"/>
          <w:szCs w:val="20"/>
          <w:color w:val="auto"/>
        </w:rPr>
      </w:pPr>
    </w:p>
    <w:p>
      <w:pPr>
        <w:ind w:right="40" w:firstLine="451"/>
        <w:spacing w:after="0" w:line="247" w:lineRule="auto"/>
        <w:rPr>
          <w:sz w:val="20"/>
          <w:szCs w:val="20"/>
          <w:color w:val="auto"/>
        </w:rPr>
      </w:pPr>
      <w:r>
        <w:rPr>
          <w:rFonts w:ascii="Arial" w:cs="Arial" w:eastAsia="Arial" w:hAnsi="Arial"/>
          <w:sz w:val="15"/>
          <w:szCs w:val="15"/>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gross margin expansion is also driven by automation improvements and digitization efforts. Further, our acquisitions of other companies have negatively impacted our gross margin in the short term, and any such future acquisitions could have a similar effect.</w:t>
      </w:r>
    </w:p>
    <w:p>
      <w:pPr>
        <w:spacing w:after="0" w:line="92" w:lineRule="exact"/>
        <w:rPr>
          <w:sz w:val="20"/>
          <w:szCs w:val="20"/>
          <w:color w:val="auto"/>
        </w:rPr>
      </w:pPr>
    </w:p>
    <w:p>
      <w:pPr>
        <w:ind w:right="140" w:firstLine="451"/>
        <w:spacing w:after="0" w:line="249" w:lineRule="auto"/>
        <w:rPr>
          <w:sz w:val="20"/>
          <w:szCs w:val="20"/>
          <w:color w:val="auto"/>
        </w:rPr>
      </w:pPr>
      <w:r>
        <w:rPr>
          <w:rFonts w:ascii="Arial" w:cs="Arial" w:eastAsia="Arial" w:hAnsi="Arial"/>
          <w:sz w:val="15"/>
          <w:szCs w:val="15"/>
          <w:color w:val="auto"/>
        </w:rPr>
        <w:t>We expect our gross profit to increase in absolute dollars and our gross margin to increase modestly over the long term as we continue to focus on growing higher-margin subscription revenue and invest in fulfillment automation technologies. However, our gross margin could fluctuate from period to period due to fulfillment rates and seasonality.</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21" w:lineRule="exact"/>
        <w:rPr>
          <w:sz w:val="20"/>
          <w:szCs w:val="20"/>
          <w:color w:val="auto"/>
        </w:rPr>
      </w:pPr>
    </w:p>
    <w:p>
      <w:pPr>
        <w:ind w:right="360" w:firstLine="451"/>
        <w:spacing w:after="0" w:line="254" w:lineRule="auto"/>
        <w:rPr>
          <w:sz w:val="20"/>
          <w:szCs w:val="20"/>
          <w:color w:val="auto"/>
        </w:rPr>
      </w:pPr>
      <w:r>
        <w:rPr>
          <w:rFonts w:ascii="Arial" w:cs="Arial" w:eastAsia="Arial" w:hAnsi="Arial"/>
          <w:sz w:val="15"/>
          <w:szCs w:val="15"/>
          <w:color w:val="auto"/>
        </w:rPr>
        <w:t>Our operating expenses consist primarily of sales and marketing, technology and development, general and administrative expenses, and to a lesser extent, impairments of goodwill, long-lived assets and other assets, in addition to a loss on sale of a business in the second quarter of 2020.</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121"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92"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We intend to continue to make significant investments in sales and marketing to drive additional revenue, further penetrate our expanding addressable market, and build on our digital brand leadership and awareness. As a result, we expect our sales and marketing expenses to continue to increase in absolute dollars and to be our largest operating expense category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Technology and development</w:t>
      </w:r>
    </w:p>
    <w:p>
      <w:pPr>
        <w:spacing w:after="0" w:line="121" w:lineRule="exact"/>
        <w:rPr>
          <w:sz w:val="20"/>
          <w:szCs w:val="20"/>
          <w:color w:val="auto"/>
        </w:rPr>
      </w:pPr>
    </w:p>
    <w:p>
      <w:pPr>
        <w:ind w:right="200" w:firstLine="451"/>
        <w:spacing w:after="0" w:line="249" w:lineRule="auto"/>
        <w:rPr>
          <w:sz w:val="20"/>
          <w:szCs w:val="20"/>
          <w:color w:val="auto"/>
        </w:rPr>
      </w:pPr>
      <w:r>
        <w:rPr>
          <w:rFonts w:ascii="Arial" w:cs="Arial" w:eastAsia="Arial" w:hAnsi="Arial"/>
          <w:sz w:val="15"/>
          <w:szCs w:val="15"/>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40"/>
        <w:spacing w:after="0" w:line="254" w:lineRule="auto"/>
        <w:rPr>
          <w:sz w:val="20"/>
          <w:szCs w:val="20"/>
          <w:color w:val="auto"/>
        </w:rPr>
      </w:pPr>
      <w:r>
        <w:rPr>
          <w:rFonts w:ascii="Arial" w:cs="Arial" w:eastAsia="Arial" w:hAnsi="Arial"/>
          <w:sz w:val="15"/>
          <w:szCs w:val="15"/>
          <w:color w:val="auto"/>
        </w:rPr>
        <w:t>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86" w:lineRule="exact"/>
        <w:rPr>
          <w:sz w:val="20"/>
          <w:szCs w:val="20"/>
          <w:color w:val="auto"/>
        </w:rPr>
      </w:pPr>
    </w:p>
    <w:p>
      <w:pPr>
        <w:ind w:right="300" w:firstLine="451"/>
        <w:spacing w:after="0" w:line="247" w:lineRule="auto"/>
        <w:rPr>
          <w:sz w:val="20"/>
          <w:szCs w:val="20"/>
          <w:color w:val="auto"/>
        </w:rPr>
      </w:pPr>
      <w:r>
        <w:rPr>
          <w:rFonts w:ascii="Arial" w:cs="Arial" w:eastAsia="Arial" w:hAnsi="Arial"/>
          <w:sz w:val="15"/>
          <w:szCs w:val="15"/>
          <w:color w:val="auto"/>
        </w:rPr>
        <w:t>We expect our technology and development expenses to continue to increase in absolute dollars for the foreseeable future as we invest in new products and services, enhancing our customer experience, and in production automation technologies. We expect our technology and development expenses to remain relatively consistent or increase as a percentage of our revenue over the long term, although our technology and development expenses may fluctuate as a percentage of our revenue from period-to-period due to seasonality and the timing and extent of these expenses.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121"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spacing w:after="0" w:line="90"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We expect our general and administrative expenses to increase in absolute dollars for the foreseeable future due to additional costs associated with accounting, compliance, insurance and investor relations as we have recently become a public company. Over the next three years, we will incur significant stock-based compensation expense as a result of certain modifications to equity awards that occurred in connection with our IPO; however, we expect our general and administrative expenses to decrease as a percentage of our revenue over the longer term, although our general and administrative expenses may fluctuate as a percentage of our revenue from period-to-period due to seasonality and the timing and extent of these expenses.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121" w:lineRule="exact"/>
        <w:rPr>
          <w:sz w:val="20"/>
          <w:szCs w:val="20"/>
          <w:color w:val="auto"/>
        </w:rPr>
      </w:pPr>
    </w:p>
    <w:p>
      <w:pPr>
        <w:ind w:right="260" w:firstLine="451"/>
        <w:spacing w:after="0" w:line="254" w:lineRule="auto"/>
        <w:rPr>
          <w:sz w:val="20"/>
          <w:szCs w:val="20"/>
          <w:color w:val="auto"/>
        </w:rPr>
      </w:pPr>
      <w:r>
        <w:rPr>
          <w:rFonts w:ascii="Arial" w:cs="Arial" w:eastAsia="Arial" w:hAnsi="Arial"/>
          <w:sz w:val="15"/>
          <w:szCs w:val="15"/>
          <w:color w:val="auto"/>
        </w:rPr>
        <w:t>Interest expense, net, consists primarily of interest expense on our 2018 Credit Facility, hedging instruments, capital lease obligations and amortization of debt issuance costs. Interest expense, net, decreased in 2020 primarily due to a decrease in London Interbank Offered Rate, or LIBOR, on our 2018 Term Loan.</w:t>
      </w:r>
    </w:p>
    <w:p>
      <w:pPr>
        <w:spacing w:after="0" w:line="86" w:lineRule="exact"/>
        <w:rPr>
          <w:sz w:val="20"/>
          <w:szCs w:val="20"/>
          <w:color w:val="auto"/>
        </w:rPr>
      </w:pPr>
    </w:p>
    <w:p>
      <w:pPr>
        <w:ind w:right="100" w:firstLine="451"/>
        <w:spacing w:after="0" w:line="254" w:lineRule="auto"/>
        <w:rPr>
          <w:sz w:val="20"/>
          <w:szCs w:val="20"/>
          <w:color w:val="auto"/>
        </w:rPr>
      </w:pPr>
      <w:r>
        <w:rPr>
          <w:rFonts w:ascii="Arial" w:cs="Arial" w:eastAsia="Arial" w:hAnsi="Arial"/>
          <w:sz w:val="15"/>
          <w:szCs w:val="15"/>
          <w:color w:val="auto"/>
        </w:rPr>
        <w:t>We expect interest expense, net, to decrease significantly in the near term as a result of the full repayment of our outstanding indebtedness under our 2018 Term Loan in July 2021 after the completion of our IPO and the extinguishment of hedging instruments.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provision for income taxes consists of current and deferred federal, state and foreign income taxes.</w:t>
      </w:r>
    </w:p>
    <w:p>
      <w:pPr>
        <w:spacing w:after="0" w:line="103"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At December 31, 2020, we had federal net operating loss, or NOL, carryforwards of $11.7 million which will begin to expire in 2031. In 2020, we had state NOL carryforwards of $49.8 million, which will begin to expire in 2022 and we had foreign NOL carryforwards of $32.4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spacing w:after="0" w:line="94" w:lineRule="exact"/>
        <w:rPr>
          <w:sz w:val="20"/>
          <w:szCs w:val="20"/>
          <w:color w:val="auto"/>
        </w:rPr>
      </w:pPr>
    </w:p>
    <w:p>
      <w:pPr>
        <w:ind w:right="60" w:firstLine="451"/>
        <w:spacing w:after="0" w:line="245" w:lineRule="auto"/>
        <w:rPr>
          <w:sz w:val="20"/>
          <w:szCs w:val="20"/>
          <w:color w:val="auto"/>
        </w:rPr>
      </w:pPr>
      <w:r>
        <w:rPr>
          <w:rFonts w:ascii="Arial" w:cs="Arial" w:eastAsia="Arial" w:hAnsi="Arial"/>
          <w:sz w:val="15"/>
          <w:szCs w:val="15"/>
          <w:color w:val="auto"/>
        </w:rPr>
        <w:t>We had an ownership change in prior years, and as a result certain federal and state NOLs were limited pursuant to Section 382 of the Code. This limitation has been accounted for in calculating our available NOL carryforwards. We may experience an ownership change in the future or subsequent changes in our stock ownership, some of which changes are outside our control. If we undergo another ownership change, our ability to further utilize federal NOLs could be limited by Section 382 of the Code. Furthermore, for federal NOLs arising in tax years beginning after December 31, 2020, the 2017 Tax Cuts and Jobs Act, or Tax Act, limits a taxpayer’s ability to utilize federal NOL carryforwards to 80% of taxable income. In addition, NOLs arising in tax years beginning after December 31, 2017 can be carried forward indefinitely. However, carryback of such NOLs is generally prohibited, except that, under the CARES Act, federal NOLs generated in 2018, 2019 and 2020 may be carried back to each of the five taxable years preceding the taxable year in which the loss arises. For these reasons, we may not be able to utilize a material portion of any NOLs that are generated in tax years ending after December 31, 2020. In addition, at the state level, there may be periods during which the use of NOLs is suspended or otherwise limited, which could accelerate or increase our state taxes we owe.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21" w:lineRule="exact"/>
        <w:rPr>
          <w:sz w:val="20"/>
          <w:szCs w:val="20"/>
          <w:color w:val="auto"/>
        </w:rPr>
      </w:pPr>
    </w:p>
    <w:p>
      <w:pPr>
        <w:ind w:right="80" w:firstLine="451"/>
        <w:spacing w:after="0" w:line="254" w:lineRule="auto"/>
        <w:rPr>
          <w:sz w:val="20"/>
          <w:szCs w:val="20"/>
          <w:color w:val="auto"/>
        </w:rPr>
      </w:pPr>
      <w:r>
        <w:rPr>
          <w:rFonts w:ascii="Arial" w:cs="Arial" w:eastAsia="Arial" w:hAnsi="Arial"/>
          <w:sz w:val="15"/>
          <w:szCs w:val="15"/>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45"/>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7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147,879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348,397</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ind w:left="20"/>
              <w:spacing w:after="0" w:line="214" w:lineRule="exact"/>
              <w:rPr>
                <w:sz w:val="20"/>
                <w:szCs w:val="20"/>
                <w:color w:val="auto"/>
              </w:rPr>
            </w:pPr>
            <w:r>
              <w:rPr>
                <w:rFonts w:ascii="Arial" w:cs="Arial" w:eastAsia="Arial" w:hAnsi="Arial"/>
                <w:sz w:val="15"/>
                <w:szCs w:val="15"/>
                <w:color w:val="auto"/>
              </w:rPr>
              <w:t xml:space="preserve">Cost of revenue </w:t>
            </w:r>
            <w:r>
              <w:rPr>
                <w:rFonts w:ascii="Arial" w:cs="Arial" w:eastAsia="Arial" w:hAnsi="Arial"/>
                <w:sz w:val="19"/>
                <w:szCs w:val="19"/>
                <w:color w:val="auto"/>
                <w:vertAlign w:val="superscript"/>
              </w:rPr>
              <w:t>(1)(2)</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47,267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141,086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114,712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100,612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291,857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233,685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 xml:space="preserve">Sales and marketing </w:t>
            </w:r>
            <w:r>
              <w:rPr>
                <w:rFonts w:ascii="Arial" w:cs="Arial" w:eastAsia="Arial" w:hAnsi="Arial"/>
                <w:sz w:val="19"/>
                <w:szCs w:val="19"/>
                <w:color w:val="auto"/>
                <w:vertAlign w:val="superscript"/>
              </w:rPr>
              <w:t>(1)(2)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130,487</w:t>
            </w:r>
          </w:p>
        </w:tc>
        <w:tc>
          <w:tcPr>
            <w:tcW w:w="0" w:type="dxa"/>
            <w:vAlign w:val="bottom"/>
          </w:tcPr>
          <w:p>
            <w:pPr>
              <w:spacing w:after="0"/>
              <w:rPr>
                <w:sz w:val="1"/>
                <w:szCs w:val="1"/>
                <w:color w:val="auto"/>
              </w:rPr>
            </w:pPr>
          </w:p>
        </w:tc>
      </w:tr>
      <w:tr>
        <w:trPr>
          <w:trHeight w:val="213"/>
        </w:trPr>
        <w:tc>
          <w:tcPr>
            <w:tcW w:w="5040" w:type="dxa"/>
            <w:vAlign w:val="bottom"/>
          </w:tcPr>
          <w:p>
            <w:pPr>
              <w:ind w:left="300"/>
              <w:spacing w:after="0" w:line="214" w:lineRule="exact"/>
              <w:rPr>
                <w:sz w:val="20"/>
                <w:szCs w:val="20"/>
                <w:color w:val="auto"/>
              </w:rPr>
            </w:pPr>
            <w:r>
              <w:rPr>
                <w:rFonts w:ascii="Arial" w:cs="Arial" w:eastAsia="Arial" w:hAnsi="Arial"/>
                <w:sz w:val="15"/>
                <w:szCs w:val="15"/>
                <w:color w:val="auto"/>
              </w:rPr>
              <w:t xml:space="preserve">Technology and development </w:t>
            </w:r>
            <w:r>
              <w:rPr>
                <w:rFonts w:ascii="Arial" w:cs="Arial" w:eastAsia="Arial" w:hAnsi="Arial"/>
                <w:sz w:val="19"/>
                <w:szCs w:val="19"/>
                <w:color w:val="auto"/>
                <w:vertAlign w:val="superscript"/>
              </w:rPr>
              <w:t>(1)(2)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26,865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10,911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65,790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31,619</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300"/>
              <w:spacing w:after="0" w:line="214" w:lineRule="exact"/>
              <w:rPr>
                <w:sz w:val="20"/>
                <w:szCs w:val="20"/>
                <w:color w:val="auto"/>
              </w:rPr>
            </w:pPr>
            <w:r>
              <w:rPr>
                <w:rFonts w:ascii="Arial" w:cs="Arial" w:eastAsia="Arial" w:hAnsi="Arial"/>
                <w:sz w:val="15"/>
                <w:szCs w:val="15"/>
                <w:color w:val="auto"/>
              </w:rPr>
              <w:t xml:space="preserve">General and administrative </w:t>
            </w:r>
            <w:r>
              <w:rPr>
                <w:rFonts w:ascii="Arial" w:cs="Arial" w:eastAsia="Arial" w:hAnsi="Arial"/>
                <w:sz w:val="19"/>
                <w:szCs w:val="19"/>
                <w:color w:val="auto"/>
                <w:vertAlign w:val="superscript"/>
              </w:rPr>
              <w:t>(1)(2)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35,697</w:t>
            </w:r>
          </w:p>
        </w:tc>
        <w:tc>
          <w:tcPr>
            <w:tcW w:w="0" w:type="dxa"/>
            <w:vAlign w:val="bottom"/>
          </w:tcPr>
          <w:p>
            <w:pPr>
              <w:spacing w:after="0"/>
              <w:rPr>
                <w:sz w:val="1"/>
                <w:szCs w:val="1"/>
                <w:color w:val="auto"/>
              </w:rPr>
            </w:pPr>
          </w:p>
        </w:tc>
      </w:tr>
      <w:tr>
        <w:trPr>
          <w:trHeight w:val="210"/>
        </w:trPr>
        <w:tc>
          <w:tcPr>
            <w:tcW w:w="5040" w:type="dxa"/>
            <w:vAlign w:val="bottom"/>
          </w:tcPr>
          <w:p>
            <w:pPr>
              <w:ind w:left="300"/>
              <w:spacing w:after="0"/>
              <w:rPr>
                <w:sz w:val="20"/>
                <w:szCs w:val="20"/>
                <w:color w:val="auto"/>
              </w:rPr>
            </w:pPr>
            <w:r>
              <w:rPr>
                <w:rFonts w:ascii="Arial" w:cs="Arial" w:eastAsia="Arial" w:hAnsi="Arial"/>
                <w:sz w:val="15"/>
                <w:szCs w:val="15"/>
                <w:color w:val="auto"/>
              </w:rPr>
              <w:t>Impairment of long-lived and other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Loss on sale of business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0" w:type="dxa"/>
            <w:vAlign w:val="bottom"/>
          </w:tcPr>
          <w:p>
            <w:pPr>
              <w:spacing w:after="0"/>
              <w:rPr>
                <w:sz w:val="1"/>
                <w:szCs w:val="1"/>
                <w:color w:val="auto"/>
              </w:rPr>
            </w:pPr>
          </w:p>
        </w:tc>
      </w:tr>
      <w:tr>
        <w:trPr>
          <w:trHeight w:val="190"/>
        </w:trPr>
        <w:tc>
          <w:tcPr>
            <w:tcW w:w="504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128,122</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68,168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351,228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200,122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income from operations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33,563</w:t>
            </w:r>
          </w:p>
        </w:tc>
        <w:tc>
          <w:tcPr>
            <w:tcW w:w="0" w:type="dxa"/>
            <w:vAlign w:val="bottom"/>
          </w:tcPr>
          <w:p>
            <w:pPr>
              <w:spacing w:after="0"/>
              <w:rPr>
                <w:sz w:val="1"/>
                <w:szCs w:val="1"/>
                <w:color w:val="auto"/>
              </w:rPr>
            </w:pPr>
          </w:p>
        </w:tc>
      </w:tr>
      <w:tr>
        <w:trPr>
          <w:trHeight w:val="210"/>
        </w:trPr>
        <w:tc>
          <w:tcPr>
            <w:tcW w:w="5040" w:type="dxa"/>
            <w:vAlign w:val="bottom"/>
          </w:tcPr>
          <w:p>
            <w:pPr>
              <w:ind w:left="300"/>
              <w:spacing w:after="0"/>
              <w:rPr>
                <w:sz w:val="20"/>
                <w:szCs w:val="20"/>
                <w:color w:val="auto"/>
              </w:rPr>
            </w:pPr>
            <w:r>
              <w:rPr>
                <w:rFonts w:ascii="Arial" w:cs="Arial" w:eastAsia="Arial" w:hAnsi="Arial"/>
                <w:sz w:val="15"/>
                <w:szCs w:val="15"/>
                <w:color w:val="auto"/>
              </w:rPr>
              <w:t>Interest expense,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(9,957)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(26,785)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(expense) income,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10"/>
        </w:trPr>
        <w:tc>
          <w:tcPr>
            <w:tcW w:w="5040" w:type="dxa"/>
            <w:vAlign w:val="bottom"/>
          </w:tcPr>
          <w:p>
            <w:pPr>
              <w:ind w:left="300"/>
              <w:spacing w:after="0"/>
              <w:rPr>
                <w:sz w:val="20"/>
                <w:szCs w:val="20"/>
                <w:color w:val="auto"/>
              </w:rPr>
            </w:pPr>
            <w:r>
              <w:rPr>
                <w:rFonts w:ascii="Arial" w:cs="Arial" w:eastAsia="Arial" w:hAnsi="Arial"/>
                <w:sz w:val="15"/>
                <w:szCs w:val="15"/>
                <w:color w:val="auto"/>
              </w:rPr>
              <w:t>Loss on debt extinguishment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Impairment of available-for-sale debt securities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(4,818)</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20"/>
                <w:szCs w:val="20"/>
                <w:color w:val="auto"/>
              </w:rPr>
            </w:pPr>
            <w:r>
              <w:rPr>
                <w:rFonts w:ascii="Arial" w:cs="Arial" w:eastAsia="Arial" w:hAnsi="Arial"/>
                <w:sz w:val="15"/>
                <w:szCs w:val="15"/>
                <w:color w:val="auto"/>
              </w:rPr>
              <w:t>(Loss) income before income taxes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(45,583)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12,538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(94,742)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2,109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(Benefit from) 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187"/>
        </w:trPr>
        <w:tc>
          <w:tcPr>
            <w:tcW w:w="504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(39,675)</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(87,893)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4"/>
        </w:trPr>
        <w:tc>
          <w:tcPr>
            <w:tcW w:w="5040" w:type="dxa"/>
            <w:vAlign w:val="bottom"/>
            <w:vMerge w:val="restart"/>
          </w:tcPr>
          <w:p>
            <w:pPr>
              <w:spacing w:after="0"/>
              <w:rPr>
                <w:sz w:val="20"/>
                <w:szCs w:val="20"/>
                <w:color w:val="auto"/>
              </w:rPr>
            </w:pPr>
            <w:r>
              <w:rPr>
                <w:rFonts w:ascii="Arial" w:cs="Arial" w:eastAsia="Arial" w:hAnsi="Arial"/>
                <w:sz w:val="15"/>
                <w:szCs w:val="15"/>
                <w:color w:val="auto"/>
              </w:rPr>
              <w:t>(1)  Includes stock-based compensation expense as follows: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5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24"/>
                <w:szCs w:val="24"/>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7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rPr>
                <w:sz w:val="20"/>
                <w:szCs w:val="20"/>
                <w:color w:val="auto"/>
              </w:rPr>
            </w:pPr>
            <w:r>
              <w:rPr>
                <w:rFonts w:ascii="Arial" w:cs="Arial" w:eastAsia="Arial" w:hAnsi="Arial"/>
                <w:sz w:val="15"/>
                <w:szCs w:val="15"/>
                <w:color w:val="auto"/>
              </w:rPr>
              <w:t>Sales and marketing</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950</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and development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14,446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2,153</w:t>
            </w:r>
          </w:p>
        </w:tc>
        <w:tc>
          <w:tcPr>
            <w:tcW w:w="0" w:type="dxa"/>
            <w:vAlign w:val="bottom"/>
          </w:tcPr>
          <w:p>
            <w:pPr>
              <w:spacing w:after="0"/>
              <w:rPr>
                <w:sz w:val="1"/>
                <w:szCs w:val="1"/>
                <w:color w:val="auto"/>
              </w:rPr>
            </w:pPr>
          </w:p>
        </w:tc>
      </w:tr>
      <w:tr>
        <w:trPr>
          <w:trHeight w:val="19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7,383</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stock-based compensation</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86,961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20" w:firstLine="451"/>
        <w:spacing w:after="0" w:line="254" w:lineRule="auto"/>
        <w:rPr>
          <w:sz w:val="20"/>
          <w:szCs w:val="20"/>
          <w:color w:val="auto"/>
        </w:rPr>
      </w:pPr>
      <w:r>
        <w:rPr>
          <w:rFonts w:ascii="Arial" w:cs="Arial" w:eastAsia="Arial" w:hAnsi="Arial"/>
          <w:sz w:val="15"/>
          <w:szCs w:val="15"/>
          <w:color w:val="auto"/>
        </w:rPr>
        <w:t>Stock-based compensation expense increased significantly for the three and nine months ended September 30, 2021 due to the modification of certain equity awards in connection with our IPO. Refer to Note 9 of our unaudited condensed consolidated financial statements included in this Quarterly Report on Form 10-Q.</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(2)</w:t>
        <w:tab/>
        <w:t>Includes depreciation and amortization expense for our property and equipment, including capitalized internal-use software and intangible assets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40" w:type="dxa"/>
            <w:vAlign w:val="bottom"/>
          </w:tcPr>
          <w:p>
            <w:pPr>
              <w:spacing w:after="0"/>
              <w:rPr>
                <w:sz w:val="18"/>
                <w:szCs w:val="18"/>
                <w:color w:val="auto"/>
              </w:rPr>
            </w:pPr>
          </w:p>
        </w:tc>
        <w:tc>
          <w:tcPr>
            <w:tcW w:w="314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50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05"/>
        </w:trPr>
        <w:tc>
          <w:tcPr>
            <w:tcW w:w="5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7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5,796</w:t>
            </w:r>
          </w:p>
        </w:tc>
      </w:tr>
      <w:tr>
        <w:trPr>
          <w:trHeight w:val="204"/>
        </w:trPr>
        <w:tc>
          <w:tcPr>
            <w:tcW w:w="5040" w:type="dxa"/>
            <w:vAlign w:val="bottom"/>
          </w:tcPr>
          <w:p>
            <w:pPr>
              <w:ind w:left="20"/>
              <w:spacing w:after="0"/>
              <w:rPr>
                <w:sz w:val="20"/>
                <w:szCs w:val="20"/>
                <w:color w:val="auto"/>
              </w:rPr>
            </w:pPr>
            <w:r>
              <w:rPr>
                <w:rFonts w:ascii="Arial" w:cs="Arial" w:eastAsia="Arial" w:hAnsi="Arial"/>
                <w:sz w:val="15"/>
                <w:szCs w:val="15"/>
                <w:color w:val="auto"/>
              </w:rPr>
              <w:t>Sales and marketing</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4,988</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and development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w:t>
            </w:r>
          </w:p>
        </w:tc>
      </w:tr>
      <w:tr>
        <w:trPr>
          <w:trHeight w:val="20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and administrative</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1,405</w:t>
            </w:r>
          </w:p>
        </w:tc>
      </w:tr>
      <w:tr>
        <w:trPr>
          <w:trHeight w:val="231"/>
        </w:trPr>
        <w:tc>
          <w:tcPr>
            <w:tcW w:w="5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depreciation and amortization expense</w:t>
            </w:r>
          </w:p>
        </w:tc>
        <w:tc>
          <w:tcPr>
            <w:tcW w:w="98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14,162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Three Months Ended September 30, 2021 and 2020</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6"/>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percentages)</w:t>
            </w:r>
          </w:p>
        </w:tc>
        <w:tc>
          <w:tcPr>
            <w:tcW w:w="1580" w:type="dxa"/>
            <w:vAlign w:val="bottom"/>
          </w:tcPr>
          <w:p>
            <w:pPr>
              <w:spacing w:after="0"/>
              <w:rPr>
                <w:sz w:val="17"/>
                <w:szCs w:val="17"/>
                <w:color w:val="auto"/>
              </w:rPr>
            </w:pP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 by type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5"/>
                <w:szCs w:val="15"/>
                <w:color w:val="auto"/>
              </w:rPr>
              <w:t>Transaction</w:t>
            </w: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66,873</w:t>
            </w:r>
          </w:p>
        </w:tc>
        <w:tc>
          <w:tcPr>
            <w:tcW w:w="80" w:type="dxa"/>
            <w:vAlign w:val="bottom"/>
          </w:tcPr>
          <w:p>
            <w:pPr>
              <w:spacing w:after="0"/>
              <w:rPr>
                <w:sz w:val="18"/>
                <w:szCs w:val="18"/>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63,850</w:t>
            </w:r>
          </w:p>
        </w:tc>
        <w:tc>
          <w:tcPr>
            <w:tcW w:w="80" w:type="dxa"/>
            <w:vAlign w:val="bottom"/>
          </w:tcPr>
          <w:p>
            <w:pPr>
              <w:spacing w:after="0"/>
              <w:rPr>
                <w:sz w:val="18"/>
                <w:szCs w:val="18"/>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3,023</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5 %</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Subscription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73,317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21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Partner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7,689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(708)</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r>
      <w:tr>
        <w:trPr>
          <w:trHeight w:val="226"/>
        </w:trPr>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147,879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131,595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16,284</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00" w:firstLine="451"/>
        <w:spacing w:after="0" w:line="247" w:lineRule="auto"/>
        <w:rPr>
          <w:sz w:val="20"/>
          <w:szCs w:val="20"/>
          <w:color w:val="auto"/>
        </w:rPr>
      </w:pPr>
      <w:r>
        <w:rPr>
          <w:rFonts w:ascii="Arial" w:cs="Arial" w:eastAsia="Arial" w:hAnsi="Arial"/>
          <w:sz w:val="15"/>
          <w:szCs w:val="15"/>
          <w:color w:val="auto"/>
        </w:rPr>
        <w:t>Total revenue for the three months ended September 30, 2021 increased $16.3 million, or 12%, compared to the three months ended September 30, 2020. The increase was primarily driven by increases in transaction revenue and subscription revenue. Transaction revenue was 45% and 49% of total revenue for the three months ended September 30, 2021 and 2020, respectively, and subscription revenue was 50% and 45% of total revenue for the three months ended September 30, 2021 and 2020, respectively.</w:t>
      </w:r>
    </w:p>
    <w:p>
      <w:pPr>
        <w:spacing w:after="0" w:line="193" w:lineRule="exact"/>
        <w:rPr>
          <w:sz w:val="20"/>
          <w:szCs w:val="20"/>
          <w:color w:val="auto"/>
        </w:rPr>
      </w:pPr>
    </w:p>
    <w:p>
      <w:pPr>
        <w:ind w:right="60" w:firstLine="451"/>
        <w:spacing w:after="0" w:line="247" w:lineRule="auto"/>
        <w:rPr>
          <w:sz w:val="20"/>
          <w:szCs w:val="20"/>
          <w:color w:val="auto"/>
        </w:rPr>
      </w:pPr>
      <w:r>
        <w:rPr>
          <w:rFonts w:ascii="Arial" w:cs="Arial" w:eastAsia="Arial" w:hAnsi="Arial"/>
          <w:sz w:val="15"/>
          <w:szCs w:val="15"/>
          <w:color w:val="auto"/>
        </w:rPr>
        <w:t>Transaction revenue for the three months ended September 30, 2021 increased $3.0 million, or 5%, compared to the three months ended September 30, 2020, driven by a 16% improvement in average order value, partially offset by a 10% decrease in the number of transactions. The improvement in average order value was primarily driven by the timing of transaction revenue recognition, an increase in the proportion of small business formations, which have a significantly higher order value compared to other transactions, relative to total transactions and increased customer adoption of our attorney-led trademark product.</w:t>
      </w:r>
    </w:p>
    <w:p>
      <w:pPr>
        <w:spacing w:after="0" w:line="193" w:lineRule="exact"/>
        <w:rPr>
          <w:sz w:val="20"/>
          <w:szCs w:val="20"/>
          <w:color w:val="auto"/>
        </w:rPr>
      </w:pPr>
    </w:p>
    <w:p>
      <w:pPr>
        <w:ind w:right="300" w:firstLine="451"/>
        <w:spacing w:after="0" w:line="249" w:lineRule="auto"/>
        <w:rPr>
          <w:sz w:val="20"/>
          <w:szCs w:val="20"/>
          <w:color w:val="auto"/>
        </w:rPr>
      </w:pPr>
      <w:r>
        <w:rPr>
          <w:rFonts w:ascii="Arial" w:cs="Arial" w:eastAsia="Arial" w:hAnsi="Arial"/>
          <w:sz w:val="15"/>
          <w:szCs w:val="15"/>
          <w:color w:val="auto"/>
        </w:rPr>
        <w:t>Subscription revenue for the three months ended September 30, 2021 increased $14.0 million, or 24%, compared to the three months ended September 30, 2020. The increase was primarily due to a 21% increase in the number of subscription units. The increase in subscription units was primarily driven by increased business formations. Strong performance from our registered agent subscription services drove the largest contribution of growth in the number of subscription units.</w:t>
      </w:r>
    </w:p>
    <w:p>
      <w:pPr>
        <w:spacing w:after="0" w:line="190" w:lineRule="exact"/>
        <w:rPr>
          <w:sz w:val="20"/>
          <w:szCs w:val="20"/>
          <w:color w:val="auto"/>
        </w:rPr>
      </w:pPr>
    </w:p>
    <w:p>
      <w:pPr>
        <w:ind w:right="140" w:firstLine="451"/>
        <w:spacing w:after="0" w:line="254" w:lineRule="auto"/>
        <w:rPr>
          <w:sz w:val="20"/>
          <w:szCs w:val="20"/>
          <w:color w:val="auto"/>
        </w:rPr>
      </w:pPr>
      <w:r>
        <w:rPr>
          <w:rFonts w:ascii="Arial" w:cs="Arial" w:eastAsia="Arial" w:hAnsi="Arial"/>
          <w:sz w:val="15"/>
          <w:szCs w:val="15"/>
          <w:color w:val="auto"/>
        </w:rPr>
        <w:t>Partner revenue for the three months ended September 30, 2021 decreased $0.7 million, or 8%, compared to the three months ended September 30, 2020. The decrease was primarily due to lower transaction volumes and our transition away from legacy partners that do not align with our new strategic direction.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Cost of revenue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25"/>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43,841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00" w:firstLine="451"/>
        <w:spacing w:after="0" w:line="254" w:lineRule="auto"/>
        <w:rPr>
          <w:sz w:val="20"/>
          <w:szCs w:val="20"/>
          <w:color w:val="auto"/>
        </w:rPr>
      </w:pPr>
      <w:r>
        <w:rPr>
          <w:rFonts w:ascii="Arial" w:cs="Arial" w:eastAsia="Arial" w:hAnsi="Arial"/>
          <w:sz w:val="15"/>
          <w:szCs w:val="15"/>
          <w:color w:val="auto"/>
        </w:rPr>
        <w:t>Cost of revenue for the three months ended September 30, 2021 increased $3.4 million, or 8%, compared to the three months ended September 30, 2020. The increase was primarily due to higher fulfillment costs as we increased production capacity to improve our customer experience.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Gross profit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25"/>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49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100,612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87,754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12,858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60" w:firstLine="451"/>
        <w:spacing w:after="0" w:line="254" w:lineRule="auto"/>
        <w:rPr>
          <w:sz w:val="20"/>
          <w:szCs w:val="20"/>
          <w:color w:val="auto"/>
        </w:rPr>
      </w:pPr>
      <w:r>
        <w:rPr>
          <w:rFonts w:ascii="Arial" w:cs="Arial" w:eastAsia="Arial" w:hAnsi="Arial"/>
          <w:sz w:val="15"/>
          <w:szCs w:val="15"/>
          <w:color w:val="auto"/>
        </w:rPr>
        <w:t>Gross profit for the three months ended September 30, 2021 increased $12.9 million, or 15%. The increase was primarily due to the increase in revenue and a change in our revenue mix toward subscriptions, which have higher gross margins than transactions, partially offset by higher fulfillment costs.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Sales and marketing</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72,572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25,739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Sales and marketing expenses for the three months ended September 30, 2021 increased $25.7 million, or 55%, compared to the three months ended September 30, 2020. The increase was primarily due to an increase in customer acquisition marketing spend of $15.7 million, an increase in stock-based compensation of $6.2 million, mainly in connection with our IPO, and increased payroll and related costs due to increased head count in our sales organization of $2.6 million to support higher revenue. Customer acquisition marketing spend was $49.7 million and $34.0 million for the three months ended September 30, 2021 and September 30, 2020, respectively, an increase of 46% as we invested to expand our customer base and build our digital brand leadership and awareness.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Technology and development</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Technology and development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10,911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15,954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451"/>
        <w:spacing w:after="0" w:line="249" w:lineRule="auto"/>
        <w:rPr>
          <w:sz w:val="20"/>
          <w:szCs w:val="20"/>
          <w:color w:val="auto"/>
        </w:rPr>
      </w:pPr>
      <w:r>
        <w:rPr>
          <w:rFonts w:ascii="Arial" w:cs="Arial" w:eastAsia="Arial" w:hAnsi="Arial"/>
          <w:sz w:val="15"/>
          <w:szCs w:val="15"/>
          <w:color w:val="auto"/>
        </w:rPr>
        <w:t>Technology and development expenses for the three months ended September 30, 2021 increased $16.0 million, or 146%, compared to the three months ended September 30, 2020. This growth was primarily due to an increase in stock-based compensation of $13.8 million mainly in connection with our IPO, and an increase in payroll and related benefits of $1.4 million, mainly due to increased headcount as we added staff to support our investment in new products and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General and administrative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17,768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51"/>
        <w:spacing w:after="0" w:line="247" w:lineRule="auto"/>
        <w:rPr>
          <w:sz w:val="20"/>
          <w:szCs w:val="20"/>
          <w:color w:val="auto"/>
        </w:rPr>
      </w:pPr>
      <w:r>
        <w:rPr>
          <w:rFonts w:ascii="Arial" w:cs="Arial" w:eastAsia="Arial" w:hAnsi="Arial"/>
          <w:sz w:val="15"/>
          <w:szCs w:val="15"/>
          <w:color w:val="auto"/>
        </w:rPr>
        <w:t>General and administrative expenses for the three months ended September 30, 2021 increased $17.8 million, or 170%, compared to the three months ended September 30, 2020. The increase was primarily due to an increase in stock-based compensation of $14.4 million and professional services costs of $1.3 million related to pre-development costs for our financial systems infrastructure, recruiting costs for new hires, as well as accounting, compliance and insurance costs associated with becoming a public company and a $1 million increase in payroll and related benefits largely due to increased headcount.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Impairment of long-lived and other assets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6"/>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long-lived and 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540" w:type="dxa"/>
            <w:vAlign w:val="bottom"/>
            <w:gridSpan w:val="3"/>
            <w:shd w:val="clear" w:color="auto" w:fill="CCEEFF"/>
          </w:tcPr>
          <w:p>
            <w:pPr>
              <w:ind w:left="98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400" w:firstLine="451"/>
        <w:spacing w:after="0" w:line="254" w:lineRule="auto"/>
        <w:rPr>
          <w:sz w:val="20"/>
          <w:szCs w:val="20"/>
          <w:color w:val="auto"/>
        </w:rPr>
      </w:pPr>
      <w:r>
        <w:rPr>
          <w:rFonts w:ascii="Arial" w:cs="Arial" w:eastAsia="Arial" w:hAnsi="Arial"/>
          <w:sz w:val="15"/>
          <w:szCs w:val="15"/>
          <w:color w:val="auto"/>
        </w:rPr>
        <w:t>In the three months ended September 30, 2021, we recorded an impairment charge of $0.5 million related to capitalized software projects for certain product initiatives that were no longer aligned with our go-forward strategy.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Interest expense, net</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firstLine="451"/>
        <w:spacing w:after="0" w:line="249" w:lineRule="auto"/>
        <w:rPr>
          <w:sz w:val="20"/>
          <w:szCs w:val="20"/>
          <w:color w:val="auto"/>
        </w:rPr>
      </w:pPr>
      <w:r>
        <w:rPr>
          <w:rFonts w:ascii="Arial" w:cs="Arial" w:eastAsia="Arial" w:hAnsi="Arial"/>
          <w:sz w:val="15"/>
          <w:szCs w:val="15"/>
          <w:color w:val="auto"/>
        </w:rPr>
        <w:t>Interest expense, net, for the three months ended September 30, 2021 increased $1.3 million, or 15%, compared to the three months ended September 30, 2020. The increase was primarily related to charges associated with the early extinguishment of our interest rate swaps during the most recent quarter, partially offset by a reduction in interest expense on our 2018 Term Loan, which was extinguished on July 2,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Other income (expense), net</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40" w:firstLine="451"/>
        <w:spacing w:after="0" w:line="254" w:lineRule="auto"/>
        <w:rPr>
          <w:sz w:val="20"/>
          <w:szCs w:val="20"/>
          <w:color w:val="auto"/>
        </w:rPr>
      </w:pPr>
      <w:r>
        <w:rPr>
          <w:rFonts w:ascii="Arial" w:cs="Arial" w:eastAsia="Arial" w:hAnsi="Arial"/>
          <w:sz w:val="15"/>
          <w:szCs w:val="15"/>
          <w:color w:val="auto"/>
        </w:rPr>
        <w:t>Other income, net, for the three months ended September 30, 2020 decreased by $2.0 million, or 123%, resulting in Other (expense), net, for the three months ended September 30, 2021. The change was primarily due to foreign currency movements related to our intercompany loans which are denominated in GBP.</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0" w:type="dxa"/>
            <w:vAlign w:val="bottom"/>
          </w:tcPr>
          <w:p>
            <w:pPr>
              <w:spacing w:after="0"/>
              <w:rPr>
                <w:sz w:val="20"/>
                <w:szCs w:val="20"/>
                <w:color w:val="auto"/>
              </w:rPr>
            </w:pPr>
            <w:r>
              <w:rPr>
                <w:rFonts w:ascii="Arial" w:cs="Arial" w:eastAsia="Arial" w:hAnsi="Arial"/>
                <w:sz w:val="15"/>
                <w:szCs w:val="15"/>
                <w:b w:val="1"/>
                <w:bCs w:val="1"/>
                <w:i w:val="1"/>
                <w:iCs w:val="1"/>
                <w:color w:val="auto"/>
              </w:rPr>
              <w:t>Loss on debt extinguishment</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6"/>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42"/>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debt extinguishment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540" w:type="dxa"/>
            <w:vAlign w:val="bottom"/>
            <w:gridSpan w:val="3"/>
            <w:shd w:val="clear" w:color="auto" w:fill="CCEEFF"/>
          </w:tcPr>
          <w:p>
            <w:pPr>
              <w:ind w:left="980"/>
              <w:spacing w:after="0"/>
              <w:rPr>
                <w:sz w:val="20"/>
                <w:szCs w:val="20"/>
                <w:color w:val="auto"/>
              </w:rPr>
            </w:pPr>
            <w:r>
              <w:rPr>
                <w:rFonts w:ascii="Arial" w:cs="Arial" w:eastAsia="Arial" w:hAnsi="Arial"/>
                <w:sz w:val="15"/>
                <w:szCs w:val="15"/>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7,748</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firstLine="451"/>
        <w:spacing w:after="0" w:line="254" w:lineRule="auto"/>
        <w:rPr>
          <w:sz w:val="20"/>
          <w:szCs w:val="20"/>
          <w:color w:val="auto"/>
        </w:rPr>
      </w:pPr>
      <w:r>
        <w:rPr>
          <w:rFonts w:ascii="Arial" w:cs="Arial" w:eastAsia="Arial" w:hAnsi="Arial"/>
          <w:sz w:val="15"/>
          <w:szCs w:val="15"/>
          <w:color w:val="auto"/>
        </w:rPr>
        <w:t>Loss on debt extinguishment for the three months ended September 30, 2021 increased $7.7 million, or 100%, compared to the three months ended September 30, 2020. The increase was due to the write down of unamortized debt issuance costs associated with the extinguishment of our 2018 Term Loan in July 2021.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(Benefit from) provision for income taxes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(Benefit from) provision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180" w:firstLine="451"/>
        <w:spacing w:after="0" w:line="254" w:lineRule="auto"/>
        <w:rPr>
          <w:sz w:val="20"/>
          <w:szCs w:val="20"/>
          <w:color w:val="auto"/>
        </w:rPr>
      </w:pPr>
      <w:r>
        <w:rPr>
          <w:rFonts w:ascii="Arial" w:cs="Arial" w:eastAsia="Arial" w:hAnsi="Arial"/>
          <w:sz w:val="15"/>
          <w:szCs w:val="15"/>
          <w:color w:val="auto"/>
        </w:rPr>
        <w:t>The benefit from income taxes for the three months ended September 30, 2021 resulted from a $9.0 million change in our income taxes from the three months ended September 30, 2020, primarily due to the tax impact from the decrease in U.S income compared to the three months ended September 30, 2020, as well as the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increased benefit from the exercise of non-qualified stock options in 2021 over 2020, partially offset by non-deductible share-based compensation.</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Nine Months Ended September 30, 2021 and 2020</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5"/>
          </w:tcPr>
          <w:p>
            <w:pPr>
              <w:ind w:left="8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6"/>
        </w:trPr>
        <w:tc>
          <w:tcPr>
            <w:tcW w:w="49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percentages)</w:t>
            </w:r>
          </w:p>
        </w:tc>
        <w:tc>
          <w:tcPr>
            <w:tcW w:w="1580" w:type="dxa"/>
            <w:vAlign w:val="bottom"/>
          </w:tcPr>
          <w:p>
            <w:pPr>
              <w:spacing w:after="0"/>
              <w:rPr>
                <w:sz w:val="17"/>
                <w:szCs w:val="17"/>
                <w:color w:val="auto"/>
              </w:rPr>
            </w:pP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 by type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04"/>
        </w:trPr>
        <w:tc>
          <w:tcPr>
            <w:tcW w:w="4960" w:type="dxa"/>
            <w:vAlign w:val="bottom"/>
          </w:tcPr>
          <w:p>
            <w:pPr>
              <w:ind w:left="20"/>
              <w:spacing w:after="0"/>
              <w:rPr>
                <w:sz w:val="20"/>
                <w:szCs w:val="20"/>
                <w:color w:val="auto"/>
              </w:rPr>
            </w:pPr>
            <w:r>
              <w:rPr>
                <w:rFonts w:ascii="Arial" w:cs="Arial" w:eastAsia="Arial" w:hAnsi="Arial"/>
                <w:sz w:val="15"/>
                <w:szCs w:val="15"/>
                <w:color w:val="auto"/>
              </w:rPr>
              <w:t>Transaction</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5"/>
              <w:spacing w:after="0"/>
              <w:rPr>
                <w:sz w:val="20"/>
                <w:szCs w:val="20"/>
                <w:color w:val="auto"/>
              </w:rPr>
            </w:pPr>
            <w:r>
              <w:rPr>
                <w:rFonts w:ascii="Arial" w:cs="Arial" w:eastAsia="Arial" w:hAnsi="Arial"/>
                <w:sz w:val="15"/>
                <w:szCs w:val="15"/>
                <w:color w:val="auto"/>
              </w:rPr>
              <w:t>201,621</w:t>
            </w:r>
          </w:p>
        </w:tc>
        <w:tc>
          <w:tcPr>
            <w:tcW w:w="8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159,865</w:t>
            </w:r>
          </w:p>
        </w:tc>
        <w:tc>
          <w:tcPr>
            <w:tcW w:w="8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41,756</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26 %</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Subscription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208,194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167,415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40,779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20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Partner</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23,128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21,117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2,011</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10 %</w:t>
            </w:r>
          </w:p>
        </w:tc>
      </w:tr>
      <w:tr>
        <w:trPr>
          <w:trHeight w:val="231"/>
        </w:trPr>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432,943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348,397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84,546</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80" w:firstLine="451"/>
        <w:spacing w:after="0" w:line="247" w:lineRule="auto"/>
        <w:rPr>
          <w:sz w:val="20"/>
          <w:szCs w:val="20"/>
          <w:color w:val="auto"/>
        </w:rPr>
      </w:pPr>
      <w:r>
        <w:rPr>
          <w:rFonts w:ascii="Arial" w:cs="Arial" w:eastAsia="Arial" w:hAnsi="Arial"/>
          <w:sz w:val="15"/>
          <w:szCs w:val="15"/>
          <w:color w:val="auto"/>
        </w:rPr>
        <w:t>Total revenue for the nine months ended September 30, 2021 increased $84.5 million, or 24%, to $432.9 million compared to the nine months ended September 30, 2020. The increase was primarily driven by increases in transaction revenue and subscription revenue. Transaction revenue was 47% and 46% of total revenue for the nine months ended September 30, 2021 and 2020, respectively, and subscription revenue was 48% of total revenue for the nine months ended September 30, 2021 and 2020, respectively.</w:t>
      </w:r>
    </w:p>
    <w:p>
      <w:pPr>
        <w:spacing w:after="0" w:line="92" w:lineRule="exact"/>
        <w:rPr>
          <w:sz w:val="20"/>
          <w:szCs w:val="20"/>
          <w:color w:val="auto"/>
        </w:rPr>
      </w:pPr>
    </w:p>
    <w:p>
      <w:pPr>
        <w:ind w:right="140" w:firstLine="451"/>
        <w:spacing w:after="0" w:line="254" w:lineRule="auto"/>
        <w:rPr>
          <w:sz w:val="20"/>
          <w:szCs w:val="20"/>
          <w:color w:val="auto"/>
        </w:rPr>
      </w:pPr>
      <w:r>
        <w:rPr>
          <w:rFonts w:ascii="Arial" w:cs="Arial" w:eastAsia="Arial" w:hAnsi="Arial"/>
          <w:sz w:val="15"/>
          <w:szCs w:val="15"/>
          <w:color w:val="auto"/>
        </w:rPr>
        <w:t>Transaction revenue for the nine months ended September 30, 2021 increased $41.8 million, or 26%, compared to the nine months ended September 30, 2020, driven by a 10% increase in the number of transactions and a 16% improvement in average order value.</w:t>
      </w:r>
    </w:p>
    <w:p>
      <w:pPr>
        <w:spacing w:after="0" w:line="86"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Subscription revenue for the nine months ended September 30, 2021 increased $40.8 million, or 24%, compared to the nine months ended September 30, 2020. The increase was primarily due to a 21% increase in the number of subscription units. The increase in subscription units was primarily driven by increased business formations. Strong performance from our registered agent subscription services drove the largest contribution of growth to the number of subscription units.</w:t>
      </w:r>
    </w:p>
    <w:p>
      <w:pPr>
        <w:spacing w:after="0" w:line="90" w:lineRule="exact"/>
        <w:rPr>
          <w:sz w:val="20"/>
          <w:szCs w:val="20"/>
          <w:color w:val="auto"/>
        </w:rPr>
      </w:pPr>
    </w:p>
    <w:p>
      <w:pPr>
        <w:ind w:right="220" w:firstLine="451"/>
        <w:spacing w:after="0" w:line="254" w:lineRule="auto"/>
        <w:rPr>
          <w:sz w:val="20"/>
          <w:szCs w:val="20"/>
          <w:color w:val="auto"/>
        </w:rPr>
      </w:pPr>
      <w:r>
        <w:rPr>
          <w:rFonts w:ascii="Arial" w:cs="Arial" w:eastAsia="Arial" w:hAnsi="Arial"/>
          <w:sz w:val="15"/>
          <w:szCs w:val="15"/>
          <w:color w:val="auto"/>
        </w:rPr>
        <w:t>Partner revenue for the nine months ended September 30, 2021 increased $2.0 million, or 10%, compared to the nine months ended September 30, 2020. The increase was primarily due to higher transaction volumes.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Cost of revenue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25"/>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141,086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114,712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26,374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firstLine="451"/>
        <w:spacing w:after="0" w:line="249" w:lineRule="auto"/>
        <w:rPr>
          <w:sz w:val="20"/>
          <w:szCs w:val="20"/>
          <w:color w:val="auto"/>
        </w:rPr>
      </w:pPr>
      <w:r>
        <w:rPr>
          <w:rFonts w:ascii="Arial" w:cs="Arial" w:eastAsia="Arial" w:hAnsi="Arial"/>
          <w:sz w:val="15"/>
          <w:szCs w:val="15"/>
          <w:color w:val="auto"/>
        </w:rPr>
        <w:t>Cost of revenue for the nine months ended September 30, 2021 increased $26.4 million, or 23%, compared to the nine months ended September 30, 2020. The increase was primarily due to higher filing fees and fulfillment costs related to the increased transaction volumes and increased production capacity to improve our customer experience.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Gross profit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291,857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233,685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58,172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20" w:firstLine="451"/>
        <w:spacing w:after="0" w:line="254" w:lineRule="auto"/>
        <w:rPr>
          <w:sz w:val="20"/>
          <w:szCs w:val="20"/>
          <w:color w:val="auto"/>
        </w:rPr>
      </w:pPr>
      <w:r>
        <w:rPr>
          <w:rFonts w:ascii="Arial" w:cs="Arial" w:eastAsia="Arial" w:hAnsi="Arial"/>
          <w:sz w:val="15"/>
          <w:szCs w:val="15"/>
          <w:color w:val="auto"/>
        </w:rPr>
        <w:t>Gross profit for the nine months ended September 30, 2021 increased $58.2 million, or 25%. The increase was driven by increased revenue partially offset by higher filing fees and fulfillment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Sales and marketing</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209,364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130,487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78,877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100" w:firstLine="451"/>
        <w:spacing w:after="0" w:line="246" w:lineRule="auto"/>
        <w:rPr>
          <w:sz w:val="20"/>
          <w:szCs w:val="20"/>
          <w:color w:val="auto"/>
        </w:rPr>
      </w:pPr>
      <w:r>
        <w:rPr>
          <w:rFonts w:ascii="Arial" w:cs="Arial" w:eastAsia="Arial" w:hAnsi="Arial"/>
          <w:sz w:val="15"/>
          <w:szCs w:val="15"/>
          <w:color w:val="auto"/>
        </w:rPr>
        <w:t>Sales and marketing expenses for the nine months ended September 30, 2021 increased $78.9 million, or 60%, compared to the nine months ended September 30, 2020. The increase was primarily due to an increase in customer acquisition marketing spend of $56.2 million, an increase in stock-based compensation of $10.8 million, mainly in connection with our IPO, increased payroll and related costs in our sales organization due to increased headcount of $7.9 million to support higher revenue and an increase in media production spend of $3.2 million. Customer acquisition marketing spend was $147.9 million and $91.7 million for the nine months ended September 30, 2021 and September 30, 2020, respectively, as we invested to expand our customer base and build our digital brand leadership and awareness.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Technology and development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Technology and development</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31,619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34,171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firstLine="451"/>
        <w:spacing w:after="0" w:line="249" w:lineRule="auto"/>
        <w:rPr>
          <w:sz w:val="20"/>
          <w:szCs w:val="20"/>
          <w:color w:val="auto"/>
        </w:rPr>
      </w:pPr>
      <w:r>
        <w:rPr>
          <w:rFonts w:ascii="Arial" w:cs="Arial" w:eastAsia="Arial" w:hAnsi="Arial"/>
          <w:sz w:val="15"/>
          <w:szCs w:val="15"/>
          <w:color w:val="auto"/>
        </w:rPr>
        <w:t>Technology and development expenses for the nine months ended September 30, 2021 increased $34.2 million, or 108%, compared to the nine months ended September 30, 2020. The increase was primarily due to an increase in stock-based compensation of $30.4 million, mainly in connection with our IPO, and an increase in payroll and related benefits of $2.5 million, mainly due to increased headcount as we added staff to support our investment in new products and services.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General and administrative</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35,697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39,505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00" w:firstLine="451"/>
        <w:spacing w:after="0" w:line="249" w:lineRule="auto"/>
        <w:rPr>
          <w:sz w:val="20"/>
          <w:szCs w:val="20"/>
          <w:color w:val="auto"/>
        </w:rPr>
      </w:pPr>
      <w:r>
        <w:rPr>
          <w:rFonts w:ascii="Arial" w:cs="Arial" w:eastAsia="Arial" w:hAnsi="Arial"/>
          <w:sz w:val="15"/>
          <w:szCs w:val="15"/>
          <w:color w:val="auto"/>
        </w:rPr>
        <w:t>General and administrative expenses for the nine months ended September 30, 2021 increased $39.5 million, or 111%, compared to the nine months ended September 30, 2020. The increase was primarily due to a $33.7 million increase in stock-based compensation, mainly in connection with our IPO, and an increase in professional service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spacing w:after="0" w:line="254" w:lineRule="auto"/>
        <w:rPr>
          <w:sz w:val="20"/>
          <w:szCs w:val="20"/>
          <w:color w:val="auto"/>
        </w:rPr>
      </w:pPr>
      <w:r>
        <w:rPr>
          <w:rFonts w:ascii="Arial" w:cs="Arial" w:eastAsia="Arial" w:hAnsi="Arial"/>
          <w:sz w:val="15"/>
          <w:szCs w:val="15"/>
          <w:color w:val="auto"/>
        </w:rPr>
        <w:t>costs $5.3 million related to pre-development costs for our financial systems infrastructure, recruiting costs for new hires, as well as accounting, legal, compliance and insurance costs associated with becoming a public company.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Impairment of long-lived and other assets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Impairment of long-lived and other assets</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400" w:firstLine="451"/>
        <w:spacing w:after="0" w:line="254" w:lineRule="auto"/>
        <w:rPr>
          <w:sz w:val="20"/>
          <w:szCs w:val="20"/>
          <w:color w:val="auto"/>
        </w:rPr>
      </w:pPr>
      <w:r>
        <w:rPr>
          <w:rFonts w:ascii="Arial" w:cs="Arial" w:eastAsia="Arial" w:hAnsi="Arial"/>
          <w:sz w:val="15"/>
          <w:szCs w:val="15"/>
          <w:color w:val="auto"/>
        </w:rPr>
        <w:t>In 2021 and 2020, we recorded non-cash charges related to the impairment of internal-use software projects that were no longer aligned with our go-forward strategy.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Loss on sale of business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3100" w:type="dxa"/>
            <w:vAlign w:val="bottom"/>
            <w:gridSpan w:val="6"/>
          </w:tcPr>
          <w:p>
            <w:pPr>
              <w:ind w:left="28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sale of business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April 2020, in connection with our sale of our Beaumont subsidiary, we incurred a loss of $1.8 million.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20"/>
                <w:szCs w:val="20"/>
                <w:color w:val="auto"/>
              </w:rPr>
            </w:pPr>
            <w:r>
              <w:rPr>
                <w:rFonts w:ascii="Arial" w:cs="Arial" w:eastAsia="Arial" w:hAnsi="Arial"/>
                <w:sz w:val="15"/>
                <w:szCs w:val="15"/>
                <w:b w:val="1"/>
                <w:bCs w:val="1"/>
                <w:i w:val="1"/>
                <w:iCs w:val="1"/>
                <w:color w:val="auto"/>
              </w:rPr>
              <w:t>Interest expense, net</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26,785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0" w:firstLine="451"/>
        <w:spacing w:after="0" w:line="254" w:lineRule="auto"/>
        <w:rPr>
          <w:sz w:val="20"/>
          <w:szCs w:val="20"/>
          <w:color w:val="auto"/>
        </w:rPr>
      </w:pPr>
      <w:r>
        <w:rPr>
          <w:rFonts w:ascii="Arial" w:cs="Arial" w:eastAsia="Arial" w:hAnsi="Arial"/>
          <w:sz w:val="15"/>
          <w:szCs w:val="15"/>
          <w:color w:val="auto"/>
        </w:rPr>
        <w:t>Interest expense, net, increased by $1.1 million to $27.9 million in 2021. The increase was primarily related to charges of $12.1 million associated with the early extinguishment of our interest rate swaps in July 2021, partially offset by a decrease in interest expense due to the $10.9 million repayment of the 2018 Term Loan.</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Other income (expense), net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180" w:firstLine="451"/>
        <w:spacing w:after="0" w:line="254" w:lineRule="auto"/>
        <w:rPr>
          <w:sz w:val="20"/>
          <w:szCs w:val="20"/>
          <w:color w:val="auto"/>
        </w:rPr>
      </w:pPr>
      <w:r>
        <w:rPr>
          <w:rFonts w:ascii="Arial" w:cs="Arial" w:eastAsia="Arial" w:hAnsi="Arial"/>
          <w:sz w:val="15"/>
          <w:szCs w:val="15"/>
          <w:color w:val="auto"/>
        </w:rPr>
        <w:t>The change in other income, net between 2021 and 2020 was primarily due to changes in foreign currency movements related to our intercompany loans which are denominated in GBP.</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0" w:type="dxa"/>
            <w:vAlign w:val="bottom"/>
          </w:tcPr>
          <w:p>
            <w:pPr>
              <w:spacing w:after="0"/>
              <w:rPr>
                <w:sz w:val="20"/>
                <w:szCs w:val="20"/>
                <w:color w:val="auto"/>
              </w:rPr>
            </w:pPr>
            <w:r>
              <w:rPr>
                <w:rFonts w:ascii="Arial" w:cs="Arial" w:eastAsia="Arial" w:hAnsi="Arial"/>
                <w:sz w:val="15"/>
                <w:szCs w:val="15"/>
                <w:b w:val="1"/>
                <w:bCs w:val="1"/>
                <w:i w:val="1"/>
                <w:iCs w:val="1"/>
                <w:color w:val="auto"/>
              </w:rPr>
              <w:t>Loss on debt extinguishment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5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6"/>
          </w:tcPr>
          <w:p>
            <w:pPr>
              <w:ind w:left="80"/>
              <w:spacing w:after="0"/>
              <w:rPr>
                <w:sz w:val="20"/>
                <w:szCs w:val="20"/>
                <w:color w:val="auto"/>
              </w:rPr>
            </w:pPr>
            <w:r>
              <w:rPr>
                <w:rFonts w:ascii="Arial" w:cs="Arial" w:eastAsia="Arial" w:hAnsi="Arial"/>
                <w:sz w:val="15"/>
                <w:szCs w:val="15"/>
                <w:b w:val="1"/>
                <w:bCs w:val="1"/>
                <w:color w:val="auto"/>
              </w:rPr>
              <w:t>Nine Months Ended September 30,</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0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ind w:left="16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42"/>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debt extinguishment</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540" w:type="dxa"/>
            <w:vAlign w:val="bottom"/>
            <w:gridSpan w:val="3"/>
            <w:shd w:val="clear" w:color="auto" w:fill="CCEEFF"/>
          </w:tcPr>
          <w:p>
            <w:pPr>
              <w:ind w:left="980"/>
              <w:spacing w:after="0"/>
              <w:rPr>
                <w:sz w:val="20"/>
                <w:szCs w:val="20"/>
                <w:color w:val="auto"/>
              </w:rPr>
            </w:pPr>
            <w:r>
              <w:rPr>
                <w:rFonts w:ascii="Arial" w:cs="Arial" w:eastAsia="Arial" w:hAnsi="Arial"/>
                <w:sz w:val="15"/>
                <w:szCs w:val="15"/>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7,748</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0" w:firstLine="451"/>
        <w:spacing w:after="0" w:line="254" w:lineRule="auto"/>
        <w:rPr>
          <w:sz w:val="20"/>
          <w:szCs w:val="20"/>
          <w:color w:val="auto"/>
        </w:rPr>
      </w:pPr>
      <w:r>
        <w:rPr>
          <w:rFonts w:ascii="Arial" w:cs="Arial" w:eastAsia="Arial" w:hAnsi="Arial"/>
          <w:sz w:val="15"/>
          <w:szCs w:val="15"/>
          <w:color w:val="auto"/>
        </w:rPr>
        <w:t>Loss on debt extinguishment for the nine months ended September 30, 2021 increased $7.7 million, or 100%, compared to the nine months ended September 30, 2020. The increase was due to the write down of unamortized debt issuance costs associated with the full repayment of our 2018 Term Loan in July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Impairment of available-for-sale debt securities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3120" w:type="dxa"/>
            <w:vAlign w:val="bottom"/>
            <w:gridSpan w:val="6"/>
          </w:tcPr>
          <w:p>
            <w:pPr>
              <w:ind w:left="28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available-for-share debt securities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180" w:firstLine="451"/>
        <w:spacing w:after="0" w:line="254" w:lineRule="auto"/>
        <w:rPr>
          <w:sz w:val="20"/>
          <w:szCs w:val="20"/>
          <w:color w:val="auto"/>
        </w:rPr>
      </w:pPr>
      <w:r>
        <w:rPr>
          <w:rFonts w:ascii="Arial" w:cs="Arial" w:eastAsia="Arial" w:hAnsi="Arial"/>
          <w:sz w:val="15"/>
          <w:szCs w:val="15"/>
          <w:color w:val="auto"/>
        </w:rPr>
        <w:t>In 2020, we fully impaired our investment in firma.de Firmenbaukasten AG, a German limited liability company. We incurred a loss of $4.8 million as the present value of cash flows expected to be collected was less than the amortized cost basis of the investment.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20"/>
                <w:szCs w:val="20"/>
                <w:color w:val="auto"/>
              </w:rPr>
            </w:pPr>
            <w:r>
              <w:rPr>
                <w:rFonts w:ascii="Arial" w:cs="Arial" w:eastAsia="Arial" w:hAnsi="Arial"/>
                <w:sz w:val="15"/>
                <w:szCs w:val="15"/>
                <w:b w:val="1"/>
                <w:bCs w:val="1"/>
                <w:i w:val="1"/>
                <w:iCs w:val="1"/>
                <w:color w:val="auto"/>
              </w:rPr>
              <w:t>(Benefit from) provision for income taxes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4"/>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4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 change</w:t>
            </w:r>
          </w:p>
        </w:tc>
      </w:tr>
      <w:tr>
        <w:trPr>
          <w:trHeight w:val="205"/>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5"/>
                <w:szCs w:val="15"/>
                <w:i w:val="1"/>
                <w:iCs w:val="1"/>
                <w:color w:val="auto"/>
              </w:rPr>
              <w:t>(in thousands, except percentage)</w:t>
            </w:r>
          </w:p>
        </w:tc>
        <w:tc>
          <w:tcPr>
            <w:tcW w:w="1580" w:type="dxa"/>
            <w:vAlign w:val="bottom"/>
          </w:tcPr>
          <w:p>
            <w:pPr>
              <w:spacing w:after="0"/>
              <w:rPr>
                <w:sz w:val="17"/>
                <w:szCs w:val="17"/>
                <w:color w:val="auto"/>
              </w:rPr>
            </w:pPr>
          </w:p>
        </w:tc>
      </w:tr>
      <w:tr>
        <w:trPr>
          <w:trHeight w:val="23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(Benefit from) provision for income taxes</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60" w:firstLine="451"/>
        <w:spacing w:after="0" w:line="249" w:lineRule="auto"/>
        <w:rPr>
          <w:sz w:val="20"/>
          <w:szCs w:val="20"/>
          <w:color w:val="auto"/>
        </w:rPr>
      </w:pPr>
      <w:r>
        <w:rPr>
          <w:rFonts w:ascii="Arial" w:cs="Arial" w:eastAsia="Arial" w:hAnsi="Arial"/>
          <w:sz w:val="15"/>
          <w:szCs w:val="15"/>
          <w:color w:val="auto"/>
        </w:rPr>
        <w:t>The benefit from income taxes for the nine months ended September 30, 2021 resulted from an $8.5 million, or 519%, change in our income taxes as compared to the nine months ended September 30, 2020. The increase was primarily due to the tax impact from the decrease in the U.S. income compared to the nine months ended September 30, 2020 as well as the increased benefits from the exercise of non-qualified stock options in 2021 over 2020 .</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21" w:lineRule="exact"/>
        <w:rPr>
          <w:sz w:val="20"/>
          <w:szCs w:val="20"/>
          <w:color w:val="auto"/>
        </w:rPr>
      </w:pPr>
    </w:p>
    <w:p>
      <w:pPr>
        <w:ind w:right="100" w:firstLine="451"/>
        <w:spacing w:after="0" w:line="246" w:lineRule="auto"/>
        <w:rPr>
          <w:sz w:val="20"/>
          <w:szCs w:val="20"/>
          <w:color w:val="auto"/>
        </w:rPr>
      </w:pPr>
      <w:r>
        <w:rPr>
          <w:rFonts w:ascii="Arial" w:cs="Arial" w:eastAsia="Arial" w:hAnsi="Arial"/>
          <w:sz w:val="15"/>
          <w:szCs w:val="15"/>
          <w:color w:val="auto"/>
        </w:rPr>
        <w:t>Since inception, we have funded our operations and capital expenditures primarily from private sales of equity securities, cash flows provided by operating activities and equity and debt financing arrangements. Our primary requirements for liquidity and capital are to finance working capital, capital expenditures and general corporate purposes. At September 30, 2021, our principal sources of liquidity were cash and cash equivalents of $310.7 million, which consisted of cash on deposit with banks and money market funds, of which $1.0 million related to our foreign subsidiaries. Our cash and cash equivalents increased by $171.2 million from December 31, 2020 to September 30, 2021, primarily from raising $666.9 million from our IPO, net of underwriting discounts and commissions, and after repayment in full of the principal outstanding of $521.6 million of our 2018 Term Loan in July 2021, and the lapse of restrictions on $25.0 million in a cash equivalent upon the release of collateral related to a personal loan by a former executive in June 2021.</w:t>
      </w:r>
    </w:p>
    <w:p>
      <w:pPr>
        <w:spacing w:after="0" w:line="92" w:lineRule="exact"/>
        <w:rPr>
          <w:sz w:val="20"/>
          <w:szCs w:val="20"/>
          <w:color w:val="auto"/>
        </w:rPr>
      </w:pPr>
    </w:p>
    <w:p>
      <w:pPr>
        <w:ind w:firstLine="451"/>
        <w:spacing w:after="0" w:line="254" w:lineRule="auto"/>
        <w:rPr>
          <w:sz w:val="20"/>
          <w:szCs w:val="20"/>
          <w:color w:val="auto"/>
        </w:rPr>
      </w:pPr>
      <w:r>
        <w:rPr>
          <w:rFonts w:ascii="Arial" w:cs="Arial" w:eastAsia="Arial" w:hAnsi="Arial"/>
          <w:sz w:val="15"/>
          <w:szCs w:val="15"/>
          <w:color w:val="auto"/>
        </w:rPr>
        <w:t>We currently anticipate that our available cash and cash equivalents and cash provided by operating activities will be sufficient to meet our operational cash needs for at least the next twelve months. We may supplement our liquidity needs with borrowings under our 2021 Revolving Facility.</w:t>
      </w:r>
    </w:p>
    <w:p>
      <w:pPr>
        <w:spacing w:after="0" w:line="86"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Borrowings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2021 Revolving Facility</w:t>
      </w:r>
    </w:p>
    <w:p>
      <w:pPr>
        <w:spacing w:after="0" w:line="119"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On July 2, 2021, we entered into an Amended and Restated Credit and Guaranty Agreement, or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$150.0 million available for use under our 2021 Revolving Facility.</w:t>
      </w:r>
    </w:p>
    <w:p>
      <w:pPr>
        <w:spacing w:after="0" w:line="92" w:lineRule="exact"/>
        <w:rPr>
          <w:sz w:val="20"/>
          <w:szCs w:val="20"/>
          <w:color w:val="auto"/>
        </w:rPr>
      </w:pPr>
    </w:p>
    <w:p>
      <w:pPr>
        <w:ind w:right="300" w:firstLine="451"/>
        <w:spacing w:after="0" w:line="254" w:lineRule="auto"/>
        <w:rPr>
          <w:sz w:val="20"/>
          <w:szCs w:val="20"/>
          <w:color w:val="auto"/>
        </w:rPr>
      </w:pPr>
      <w:r>
        <w:rPr>
          <w:rFonts w:ascii="Arial" w:cs="Arial" w:eastAsia="Arial" w:hAnsi="Arial"/>
          <w:sz w:val="15"/>
          <w:szCs w:val="15"/>
          <w:color w:val="auto"/>
        </w:rPr>
        <w:t>Subject to the satisfaction of certain criteria, we will be able to increase the facility by an amount equal to the sum of (i) the greater of $90.0 million and 75% of consolidated last twelve months Cash EBITDA, which is defined 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90"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We are required to pay a commitment fee in respect of unutilized commitments under the 2021 Revolving Facility. The commitment fee is, initially, 0.35% per annum. The commitment fee is subject to one reduction of 0.10% if the total net first lien leverage ratio does not exceed 3.50 to 1.00. We are also required to pay customary letter of credit fees and agency fees. The interest rate applicable to the 2021 Revolving Facility is, at our option, at a rate equal to the greatest of (i) the administrative agent’s prime rate; (ii) the federal funds effective rate plus 1/2 of 1.0% and (iii) one month LIBOR (subject to a 1.00% floor), plus 1.00% or LIBOR (subject to a 0.00% floor) plus 2.00%. The interest rate margins under the 2021 Revolving Facility are subject to one reduction of 0.25% and a further reduction of 0.25% if the total net first lien leverage ratio does not exceed 3.50 to 1.00 and 2.50 to 1.00, respectively.</w:t>
      </w:r>
    </w:p>
    <w:p>
      <w:pPr>
        <w:spacing w:after="0" w:line="93" w:lineRule="exact"/>
        <w:rPr>
          <w:sz w:val="20"/>
          <w:szCs w:val="20"/>
          <w:color w:val="auto"/>
        </w:rPr>
      </w:pPr>
    </w:p>
    <w:p>
      <w:pPr>
        <w:jc w:val="both"/>
        <w:ind w:right="140" w:firstLine="451"/>
        <w:spacing w:after="0" w:line="249" w:lineRule="auto"/>
        <w:rPr>
          <w:sz w:val="20"/>
          <w:szCs w:val="20"/>
          <w:color w:val="auto"/>
        </w:rPr>
      </w:pPr>
      <w:r>
        <w:rPr>
          <w:rFonts w:ascii="Arial" w:cs="Arial" w:eastAsia="Arial" w:hAnsi="Arial"/>
          <w:sz w:val="15"/>
          <w:szCs w:val="15"/>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90"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90" w:lineRule="exact"/>
        <w:rPr>
          <w:sz w:val="20"/>
          <w:szCs w:val="20"/>
          <w:color w:val="auto"/>
        </w:rPr>
      </w:pPr>
    </w:p>
    <w:p>
      <w:pPr>
        <w:jc w:val="both"/>
        <w:ind w:right="220" w:firstLine="451"/>
        <w:spacing w:after="0" w:line="247" w:lineRule="auto"/>
        <w:rPr>
          <w:sz w:val="20"/>
          <w:szCs w:val="20"/>
          <w:color w:val="auto"/>
        </w:rPr>
      </w:pPr>
      <w:r>
        <w:rPr>
          <w:rFonts w:ascii="Arial" w:cs="Arial" w:eastAsia="Arial" w:hAnsi="Arial"/>
          <w:sz w:val="15"/>
          <w:szCs w:val="15"/>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92"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Pr>
          <w:p>
            <w:pPr>
              <w:ind w:left="460"/>
              <w:spacing w:after="0"/>
              <w:rPr>
                <w:sz w:val="20"/>
                <w:szCs w:val="20"/>
                <w:color w:val="auto"/>
              </w:rPr>
            </w:pPr>
            <w:r>
              <w:rPr>
                <w:rFonts w:ascii="Arial" w:cs="Arial" w:eastAsia="Arial" w:hAnsi="Arial"/>
                <w:sz w:val="15"/>
                <w:szCs w:val="15"/>
                <w:color w:val="auto"/>
              </w:rPr>
              <w:t>The following table sets forth a summary of our cash flows for the periods indicated: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425"/>
        </w:trPr>
        <w:tc>
          <w:tcPr>
            <w:tcW w:w="8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6"/>
        </w:trPr>
        <w:tc>
          <w:tcPr>
            <w:tcW w:w="8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0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5"/>
                <w:szCs w:val="15"/>
                <w:i w:val="1"/>
                <w:iCs w:val="1"/>
                <w:color w:val="auto"/>
              </w:rPr>
              <w:t>(in thousands)</w:t>
            </w:r>
          </w:p>
        </w:tc>
        <w:tc>
          <w:tcPr>
            <w:tcW w:w="980" w:type="dxa"/>
            <w:vAlign w:val="bottom"/>
            <w:tcBorders>
              <w:bottom w:val="single" w:sz="8" w:color="auto"/>
            </w:tcBorders>
          </w:tcPr>
          <w:p>
            <w:pPr>
              <w:spacing w:after="0"/>
              <w:rPr>
                <w:sz w:val="17"/>
                <w:szCs w:val="17"/>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82,069</w:t>
            </w:r>
          </w:p>
        </w:tc>
      </w:tr>
      <w:tr>
        <w:trPr>
          <w:trHeight w:val="204"/>
        </w:trPr>
        <w:tc>
          <w:tcPr>
            <w:tcW w:w="818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(11,783)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(9,013)</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(8,378)</w:t>
            </w:r>
          </w:p>
        </w:tc>
      </w:tr>
      <w:tr>
        <w:trPr>
          <w:trHeight w:val="20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rates on cash, cash equivalents and restricted cash equivalent</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Net increase in cash, cash equivalents and restricted cash equivalent</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171,234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provided by operating activities</w:t>
      </w:r>
    </w:p>
    <w:p>
      <w:pPr>
        <w:spacing w:after="0" w:line="121"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For the nine months ended September 30, 2021, cash provided by operating activities was $60.2 million resulting from a net loss of $87.9 million, adjusted for stock-based compensation and other non-cash expenses of $113.3 million and net cash flow provided by changes in operating assets and liabilities of $34.8 million. The $34.8 million of net cash flows provided from changes in our operating assets and liabilities included a $24.0 million increase in deferred revenue primarily as a result of the growth of our subscription units, which are predominantly billed in advance of our revenue recognition, and a $14.6 million increase in accounts payable and $7.4 million increase in accrued expenses and other current liabilities due to the timing of our payments, partially offset by an increase in accounts receivable and prepaid and other assets of $8.6 million.</w:t>
      </w:r>
    </w:p>
    <w:p>
      <w:pPr>
        <w:spacing w:after="0" w:line="93" w:lineRule="exact"/>
        <w:rPr>
          <w:sz w:val="20"/>
          <w:szCs w:val="20"/>
          <w:color w:val="auto"/>
        </w:rPr>
      </w:pPr>
    </w:p>
    <w:p>
      <w:pPr>
        <w:ind w:right="300" w:firstLine="451"/>
        <w:spacing w:after="0" w:line="254" w:lineRule="auto"/>
        <w:rPr>
          <w:sz w:val="20"/>
          <w:szCs w:val="20"/>
          <w:color w:val="auto"/>
        </w:rPr>
      </w:pPr>
      <w:r>
        <w:rPr>
          <w:rFonts w:ascii="Arial" w:cs="Arial" w:eastAsia="Arial" w:hAnsi="Arial"/>
          <w:sz w:val="15"/>
          <w:szCs w:val="15"/>
          <w:color w:val="auto"/>
        </w:rPr>
        <w:t>For the nine months ended September 30, 2020, cash provided by operating activities was $82.1 million resulting from net income of $0.5 million, adjusted for non-cash expenses of $35.3 million and net cash flow provided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by changes in operating assets and liabilities of $46.3 million. The $46.3 million of net cash flows provided from changes in our operating assets and liabilities included a $32.0 million increase in deferred revenue primarily as a result of the growth of our subscription units, which are predominantly billed in advance of our revenue recognition, and a $15.8 million increase in accounts payable and accrued expenses due to the timing of our payments.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pacing w:after="0" w:line="121" w:lineRule="exact"/>
        <w:rPr>
          <w:sz w:val="20"/>
          <w:szCs w:val="20"/>
          <w:color w:val="auto"/>
        </w:rPr>
      </w:pPr>
    </w:p>
    <w:p>
      <w:pPr>
        <w:ind w:right="20" w:firstLine="451"/>
        <w:spacing w:after="0" w:line="254" w:lineRule="auto"/>
        <w:rPr>
          <w:sz w:val="20"/>
          <w:szCs w:val="20"/>
          <w:color w:val="auto"/>
        </w:rPr>
      </w:pPr>
      <w:r>
        <w:rPr>
          <w:rFonts w:ascii="Arial" w:cs="Arial" w:eastAsia="Arial" w:hAnsi="Arial"/>
          <w:sz w:val="15"/>
          <w:szCs w:val="15"/>
          <w:color w:val="auto"/>
        </w:rPr>
        <w:t>For the nine months ended September 30, 2021 and 2020, net cash used in investing activities was $11.8 million and $9.0 million, respectively, resulting primarily from a $3.3 million charge for the extinguishment of interest rate swaps in the most recent third quarter.</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provided by (used in) financing activities</w:t>
      </w:r>
    </w:p>
    <w:p>
      <w:pPr>
        <w:spacing w:after="0" w:line="121" w:lineRule="exact"/>
        <w:rPr>
          <w:sz w:val="20"/>
          <w:szCs w:val="20"/>
          <w:color w:val="auto"/>
        </w:rPr>
      </w:pPr>
    </w:p>
    <w:p>
      <w:pPr>
        <w:ind w:right="260" w:firstLine="451"/>
        <w:spacing w:after="0" w:line="254" w:lineRule="auto"/>
        <w:rPr>
          <w:sz w:val="20"/>
          <w:szCs w:val="20"/>
          <w:color w:val="auto"/>
        </w:rPr>
      </w:pPr>
      <w:r>
        <w:rPr>
          <w:rFonts w:ascii="Arial" w:cs="Arial" w:eastAsia="Arial" w:hAnsi="Arial"/>
          <w:sz w:val="15"/>
          <w:szCs w:val="15"/>
          <w:color w:val="auto"/>
        </w:rPr>
        <w:t>For the nine months ended September 30, 2021, net cash provided by financing activities was $122.8 million, primarily from issuance of common stock for net proceeds of $666.9 million, offset by full repayment of our 2018 Term Loan and hybrid debt totaling $525.6 and payment of offering costs of $5.6 million.</w:t>
      </w:r>
    </w:p>
    <w:p>
      <w:pPr>
        <w:spacing w:after="0" w:line="86" w:lineRule="exact"/>
        <w:rPr>
          <w:sz w:val="20"/>
          <w:szCs w:val="20"/>
          <w:color w:val="auto"/>
        </w:rPr>
      </w:pPr>
    </w:p>
    <w:p>
      <w:pPr>
        <w:ind w:right="320" w:firstLine="451"/>
        <w:spacing w:after="0" w:line="254" w:lineRule="auto"/>
        <w:rPr>
          <w:sz w:val="20"/>
          <w:szCs w:val="20"/>
          <w:color w:val="auto"/>
        </w:rPr>
      </w:pPr>
      <w:r>
        <w:rPr>
          <w:rFonts w:ascii="Arial" w:cs="Arial" w:eastAsia="Arial" w:hAnsi="Arial"/>
          <w:sz w:val="15"/>
          <w:szCs w:val="15"/>
          <w:color w:val="auto"/>
        </w:rPr>
        <w:t>For the nine months ended September 30, 2020, net cash used in financing activities was $8.4 million, primarily from the partial repayment on our 2018 Term Loan of $4.0 million and the payment of tax withholding obligations of $3.5 million.</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Contractual obligations and commitments</w:t>
      </w:r>
    </w:p>
    <w:p>
      <w:pPr>
        <w:spacing w:after="0" w:line="121" w:lineRule="exact"/>
        <w:rPr>
          <w:sz w:val="20"/>
          <w:szCs w:val="20"/>
          <w:color w:val="auto"/>
        </w:rPr>
      </w:pPr>
    </w:p>
    <w:p>
      <w:pPr>
        <w:ind w:right="520" w:firstLine="451"/>
        <w:spacing w:after="0" w:line="254" w:lineRule="auto"/>
        <w:rPr>
          <w:sz w:val="20"/>
          <w:szCs w:val="20"/>
          <w:color w:val="auto"/>
        </w:rPr>
      </w:pPr>
      <w:r>
        <w:rPr>
          <w:rFonts w:ascii="Arial" w:cs="Arial" w:eastAsia="Arial" w:hAnsi="Arial"/>
          <w:sz w:val="15"/>
          <w:szCs w:val="15"/>
          <w:color w:val="auto"/>
        </w:rPr>
        <w:t>Refer to Note 8. to our unaudited condensed consolidated financial statements included in this Quarterly Report on Form 10-Q for a discussion of material obligations and commitments.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21" w:lineRule="exact"/>
        <w:rPr>
          <w:sz w:val="20"/>
          <w:szCs w:val="20"/>
          <w:color w:val="auto"/>
        </w:rPr>
      </w:pPr>
    </w:p>
    <w:p>
      <w:pPr>
        <w:ind w:right="60" w:firstLine="451"/>
        <w:spacing w:after="0" w:line="254" w:lineRule="auto"/>
        <w:rPr>
          <w:sz w:val="20"/>
          <w:szCs w:val="20"/>
          <w:color w:val="auto"/>
        </w:rPr>
      </w:pPr>
      <w:r>
        <w:rPr>
          <w:rFonts w:ascii="Arial" w:cs="Arial" w:eastAsia="Arial" w:hAnsi="Arial"/>
          <w:sz w:val="15"/>
          <w:szCs w:val="15"/>
          <w:color w:val="auto"/>
        </w:rPr>
        <w:t>We do not have any relationships with unconsolidated entities or financial partnerships, such as entities often referred to as structured finance or special purpose entities, established for the purpose of facilitating off-balance sheet arrangements or other contractually narrow or limited purposes.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21"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 We believe that these non-GAAP financial measures provide useful information about our financial performance,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Adjusted EBITDA and Adjusted EBITDA Margin</w:t>
      </w:r>
    </w:p>
    <w:p>
      <w:pPr>
        <w:spacing w:after="0" w:line="121"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We define Adjusted EBITDA as net (loss) income adjusted to exclude interest expense, net, provision for (benefit from) income taxes, depreciation and amortization, other expense (income), net, non-cash stock-based compensation, loss on debt extinguishment, losses from impairments of long-lived and other assets, impairments of available-for-sale debt securities, restructuring expenses, legal expenses, acquisition related expenses, IPO-related costs and other transaction-related expense and certain other non-recurring expenses. Our Adjusted EBITDA financial measure differs from GAAP in that it excludes certain items of income and expense. We define Adjusted EBITDA margin as Adjusted EBITDA as a percentage of revenue. We define net (loss) income margin as net (loss) income as a percentage of revenue based on our unaudited condensed consolidated financial statements.</w:t>
      </w:r>
    </w:p>
    <w:p>
      <w:pPr>
        <w:spacing w:after="0" w:line="93"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in accordance with GAAP. There are a number of limitations related to the use of Adjusted EBITDA rather than net (loss) income, which is the nearest GAAP equivalent of Adjusted EBITDA, and it may</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60"/>
        <w:spacing w:after="0" w:line="254" w:lineRule="auto"/>
        <w:rPr>
          <w:sz w:val="20"/>
          <w:szCs w:val="20"/>
          <w:color w:val="auto"/>
        </w:rPr>
      </w:pPr>
      <w:r>
        <w:rPr>
          <w:rFonts w:ascii="Arial" w:cs="Arial" w:eastAsia="Arial" w:hAnsi="Arial"/>
          <w:sz w:val="15"/>
          <w:szCs w:val="15"/>
          <w:color w:val="auto"/>
        </w:rPr>
        <w:t>be calculated differently by other companies in our industry, limiting its usefulness as a comparative measure. Some of these limitations include that the non-GAAP financial measure:</w:t>
      </w:r>
    </w:p>
    <w:p>
      <w:pPr>
        <w:spacing w:after="0" w:line="86" w:lineRule="exact"/>
        <w:rPr>
          <w:sz w:val="20"/>
          <w:szCs w:val="20"/>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does not reflect interest expense, or the cash requirements necessary to service interest or principal payments, which reduces cash available to us;</w:t>
      </w:r>
    </w:p>
    <w:p>
      <w:pPr>
        <w:spacing w:after="0" w:line="103"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does not reflect provision for income taxes that may result in payments that reduce cash available to us;</w:t>
      </w:r>
    </w:p>
    <w:p>
      <w:pPr>
        <w:spacing w:after="0" w:line="103"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depreciation and amortization and, although these are non-cash expenses, the assets being depreciated may be replaced in the future;</w:t>
      </w:r>
    </w:p>
    <w:p>
      <w:pPr>
        <w:spacing w:after="0" w:line="103"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does not reflect foreign currency exchange or other gains or losses, which are included in other (expense) income, net;</w:t>
      </w:r>
    </w:p>
    <w:p>
      <w:pPr>
        <w:spacing w:after="0" w:line="103" w:lineRule="exact"/>
        <w:rPr>
          <w:rFonts w:ascii="Arial" w:cs="Arial" w:eastAsia="Arial" w:hAnsi="Arial"/>
          <w:sz w:val="15"/>
          <w:szCs w:val="15"/>
          <w:color w:val="auto"/>
        </w:rPr>
      </w:pPr>
    </w:p>
    <w:p>
      <w:pPr>
        <w:ind w:left="900" w:right="140" w:hanging="373"/>
        <w:spacing w:after="0" w:line="254" w:lineRule="auto"/>
        <w:tabs>
          <w:tab w:leader="none" w:pos="89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stock-based compensation expense, which has been, and will continue to be, a significant recurring expense for our business and an important part of our compensation strategy;</w:t>
      </w:r>
    </w:p>
    <w:p>
      <w:pPr>
        <w:spacing w:after="0" w:line="86"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losses from impairments of goodwill, long-lived and other assets and available-for-sale debt securities;</w:t>
      </w:r>
    </w:p>
    <w:p>
      <w:pPr>
        <w:spacing w:after="0" w:line="103"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legal expenses, which reduce cash available to us;</w:t>
      </w:r>
    </w:p>
    <w:p>
      <w:pPr>
        <w:spacing w:after="0" w:line="103"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acquisition related expenses, which reduce cash available to us;</w:t>
      </w:r>
    </w:p>
    <w:p>
      <w:pPr>
        <w:spacing w:after="0" w:line="103" w:lineRule="exact"/>
        <w:rPr>
          <w:rFonts w:ascii="Arial" w:cs="Arial" w:eastAsia="Arial" w:hAnsi="Arial"/>
          <w:sz w:val="15"/>
          <w:szCs w:val="15"/>
          <w:color w:val="auto"/>
        </w:rPr>
      </w:pPr>
    </w:p>
    <w:p>
      <w:pPr>
        <w:ind w:left="900" w:hanging="373"/>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restructuring expenses, which reduce cash available to us;</w:t>
      </w:r>
    </w:p>
    <w:p>
      <w:pPr>
        <w:spacing w:after="0" w:line="103" w:lineRule="exact"/>
        <w:rPr>
          <w:rFonts w:ascii="Arial" w:cs="Arial" w:eastAsia="Arial" w:hAnsi="Arial"/>
          <w:sz w:val="15"/>
          <w:szCs w:val="15"/>
          <w:color w:val="auto"/>
        </w:rPr>
      </w:pPr>
    </w:p>
    <w:p>
      <w:pPr>
        <w:ind w:left="900" w:right="260" w:hanging="373"/>
        <w:spacing w:after="0" w:line="254" w:lineRule="auto"/>
        <w:tabs>
          <w:tab w:leader="none" w:pos="89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IPO-related costs and other transaction related expenses that are not considered representative of our underlying performance, which reduce cash available to us;</w:t>
      </w:r>
    </w:p>
    <w:p>
      <w:pPr>
        <w:spacing w:after="0" w:line="86" w:lineRule="exact"/>
        <w:rPr>
          <w:rFonts w:ascii="Arial" w:cs="Arial" w:eastAsia="Arial" w:hAnsi="Arial"/>
          <w:sz w:val="15"/>
          <w:szCs w:val="15"/>
          <w:color w:val="auto"/>
        </w:rPr>
      </w:pPr>
    </w:p>
    <w:p>
      <w:pPr>
        <w:ind w:left="900" w:right="100" w:hanging="373"/>
        <w:spacing w:after="0" w:line="254" w:lineRule="auto"/>
        <w:tabs>
          <w:tab w:leader="none" w:pos="89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debt extinguishment charges that represent accelerated amortization of debt issuance costs related to the early extinguishment of our long-term debt, which adjustments are not expected to recur and do not reflect expected ongoing operating results; and</w:t>
      </w:r>
    </w:p>
    <w:p>
      <w:pPr>
        <w:spacing w:after="0" w:line="86" w:lineRule="exact"/>
        <w:rPr>
          <w:rFonts w:ascii="Arial" w:cs="Arial" w:eastAsia="Arial" w:hAnsi="Arial"/>
          <w:sz w:val="15"/>
          <w:szCs w:val="15"/>
          <w:color w:val="auto"/>
        </w:rPr>
      </w:pPr>
    </w:p>
    <w:p>
      <w:pPr>
        <w:ind w:left="900" w:hanging="373"/>
        <w:spacing w:after="0" w:line="254" w:lineRule="auto"/>
        <w:tabs>
          <w:tab w:leader="none" w:pos="890" w:val="left"/>
        </w:tabs>
        <w:numPr>
          <w:ilvl w:val="0"/>
          <w:numId w:val="4"/>
        </w:numPr>
        <w:rPr>
          <w:rFonts w:ascii="Arial" w:cs="Arial" w:eastAsia="Arial" w:hAnsi="Arial"/>
          <w:sz w:val="15"/>
          <w:szCs w:val="15"/>
          <w:color w:val="auto"/>
        </w:rPr>
      </w:pPr>
      <w:r>
        <w:rPr>
          <w:rFonts w:ascii="Arial" w:cs="Arial" w:eastAsia="Arial" w:hAnsi="Arial"/>
          <w:sz w:val="15"/>
          <w:szCs w:val="15"/>
          <w:color w:val="auto"/>
        </w:rPr>
        <w:t>does not reflect certain other non-recurring expenses that are not considered representative of our underlying performance, which reduce cash available to us.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0" w:firstLine="451"/>
        <w:spacing w:after="0" w:line="254" w:lineRule="auto"/>
        <w:rPr>
          <w:sz w:val="20"/>
          <w:szCs w:val="20"/>
          <w:color w:val="auto"/>
        </w:rPr>
      </w:pPr>
      <w:r>
        <w:rPr>
          <w:rFonts w:ascii="Arial" w:cs="Arial" w:eastAsia="Arial" w:hAnsi="Arial"/>
          <w:sz w:val="15"/>
          <w:szCs w:val="15"/>
          <w:color w:val="auto"/>
        </w:rPr>
        <w:t>The following table presents a reconciliation of net (loss) income, the most directly comparable GAAP measure, to Adjusted EBITDA for each of the periods indicated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05"/>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01"/>
        </w:trPr>
        <w:tc>
          <w:tcPr>
            <w:tcW w:w="47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5"/>
        </w:trPr>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5"/>
          </w:tcPr>
          <w:p>
            <w:pPr>
              <w:ind w:left="76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Net (loss) income to Adjusted EBITDA</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(39,675)</w:t>
            </w:r>
          </w:p>
        </w:tc>
        <w:tc>
          <w:tcPr>
            <w:tcW w:w="100" w:type="dxa"/>
            <w:vAlign w:val="bottom"/>
          </w:tcPr>
          <w:p>
            <w:pPr>
              <w:spacing w:after="0"/>
              <w:rPr>
                <w:sz w:val="17"/>
                <w:szCs w:val="17"/>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9,412</w:t>
            </w:r>
          </w:p>
        </w:tc>
        <w:tc>
          <w:tcPr>
            <w:tcW w:w="8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(87,893)</w:t>
            </w:r>
          </w:p>
        </w:tc>
        <w:tc>
          <w:tcPr>
            <w:tcW w:w="8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5"/>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9,957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27,923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26,785</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5"/>
                <w:szCs w:val="15"/>
                <w:color w:val="auto"/>
              </w:rPr>
              <w:t>(Benefit from) provision for income taxes</w:t>
            </w:r>
          </w:p>
        </w:tc>
        <w:tc>
          <w:tcPr>
            <w:tcW w:w="220" w:type="dxa"/>
            <w:vAlign w:val="bottom"/>
          </w:tcPr>
          <w:p>
            <w:pPr>
              <w:spacing w:after="0"/>
              <w:rPr>
                <w:sz w:val="17"/>
                <w:szCs w:val="17"/>
                <w:color w:val="auto"/>
              </w:rPr>
            </w:pP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(5,908)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3,126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(6,849)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5"/>
              <w:spacing w:after="0"/>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3,775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4,415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11,604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14,162</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5"/>
                <w:szCs w:val="15"/>
                <w:color w:val="auto"/>
              </w:rPr>
              <w:t>Other expense (income), net</w:t>
            </w:r>
          </w:p>
        </w:tc>
        <w:tc>
          <w:tcPr>
            <w:tcW w:w="220" w:type="dxa"/>
            <w:vAlign w:val="bottom"/>
          </w:tcPr>
          <w:p>
            <w:pPr>
              <w:spacing w:after="0"/>
              <w:rPr>
                <w:sz w:val="17"/>
                <w:szCs w:val="17"/>
                <w:color w:val="auto"/>
              </w:rPr>
            </w:pPr>
          </w:p>
        </w:tc>
        <w:tc>
          <w:tcPr>
            <w:tcW w:w="1360" w:type="dxa"/>
            <w:vAlign w:val="bottom"/>
          </w:tcPr>
          <w:p>
            <w:pPr>
              <w:jc w:val="right"/>
              <w:ind w:right="165"/>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85"/>
              <w:spacing w:after="0"/>
              <w:rPr>
                <w:sz w:val="20"/>
                <w:szCs w:val="20"/>
                <w:color w:val="auto"/>
              </w:rPr>
            </w:pPr>
            <w:r>
              <w:rPr>
                <w:rFonts w:ascii="Arial" w:cs="Arial" w:eastAsia="Arial" w:hAnsi="Arial"/>
                <w:sz w:val="15"/>
                <w:szCs w:val="15"/>
                <w:color w:val="auto"/>
              </w:rPr>
              <w:t>(1,610)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38,141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2,712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86,725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9,890</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5"/>
                <w:szCs w:val="15"/>
                <w:color w:val="auto"/>
              </w:rPr>
              <w:t>Loss on debt extinguishment</w:t>
            </w:r>
          </w:p>
        </w:tc>
        <w:tc>
          <w:tcPr>
            <w:tcW w:w="220" w:type="dxa"/>
            <w:vAlign w:val="bottom"/>
          </w:tcPr>
          <w:p>
            <w:pPr>
              <w:spacing w:after="0"/>
              <w:rPr>
                <w:sz w:val="17"/>
                <w:szCs w:val="17"/>
                <w:color w:val="auto"/>
              </w:rPr>
            </w:pPr>
          </w:p>
        </w:tc>
        <w:tc>
          <w:tcPr>
            <w:tcW w:w="1360" w:type="dxa"/>
            <w:vAlign w:val="bottom"/>
          </w:tcPr>
          <w:p>
            <w:pPr>
              <w:jc w:val="right"/>
              <w:ind w:right="165"/>
              <w:spacing w:after="0"/>
              <w:rPr>
                <w:sz w:val="20"/>
                <w:szCs w:val="20"/>
                <w:color w:val="auto"/>
              </w:rPr>
            </w:pPr>
            <w:r>
              <w:rPr>
                <w:rFonts w:ascii="Arial" w:cs="Arial" w:eastAsia="Arial" w:hAnsi="Arial"/>
                <w:sz w:val="15"/>
                <w:szCs w:val="15"/>
                <w:color w:val="auto"/>
              </w:rPr>
              <w:t>7,748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340" w:type="dxa"/>
            <w:vAlign w:val="bottom"/>
          </w:tcPr>
          <w:p>
            <w:pPr>
              <w:jc w:val="right"/>
              <w:ind w:right="165"/>
              <w:spacing w:after="0"/>
              <w:rPr>
                <w:sz w:val="20"/>
                <w:szCs w:val="20"/>
                <w:color w:val="auto"/>
              </w:rPr>
            </w:pPr>
            <w:r>
              <w:rPr>
                <w:rFonts w:ascii="Arial" w:cs="Arial" w:eastAsia="Arial" w:hAnsi="Arial"/>
                <w:sz w:val="15"/>
                <w:szCs w:val="15"/>
                <w:color w:val="auto"/>
              </w:rPr>
              <w:t>7,748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long-lived and other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872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5"/>
                <w:szCs w:val="15"/>
                <w:color w:val="auto"/>
              </w:rPr>
              <w:t>Impairment of available-for-sale debt securities</w:t>
            </w:r>
          </w:p>
        </w:tc>
        <w:tc>
          <w:tcPr>
            <w:tcW w:w="22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ind w:right="105"/>
              <w:spacing w:after="0"/>
              <w:rPr>
                <w:sz w:val="20"/>
                <w:szCs w:val="20"/>
                <w:color w:val="auto"/>
              </w:rPr>
            </w:pPr>
            <w:r>
              <w:rPr>
                <w:rFonts w:ascii="Arial" w:cs="Arial" w:eastAsia="Arial" w:hAnsi="Arial"/>
                <w:sz w:val="15"/>
                <w:szCs w:val="15"/>
                <w:color w:val="auto"/>
              </w:rPr>
              <w:t>4,818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 expenses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155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line="214" w:lineRule="exact"/>
              <w:rPr>
                <w:sz w:val="20"/>
                <w:szCs w:val="20"/>
                <w:color w:val="auto"/>
              </w:rPr>
            </w:pPr>
            <w:r>
              <w:rPr>
                <w:rFonts w:ascii="Arial" w:cs="Arial" w:eastAsia="Arial" w:hAnsi="Arial"/>
                <w:sz w:val="15"/>
                <w:szCs w:val="15"/>
                <w:color w:val="auto"/>
              </w:rPr>
              <w:t>Legal expenses</w:t>
            </w:r>
            <w:r>
              <w:rPr>
                <w:rFonts w:ascii="Arial" w:cs="Arial" w:eastAsia="Arial" w:hAnsi="Arial"/>
                <w:sz w:val="19"/>
                <w:szCs w:val="19"/>
                <w:color w:val="auto"/>
                <w:vertAlign w:val="superscript"/>
              </w:rPr>
              <w:t>(1)</w:t>
            </w:r>
          </w:p>
        </w:tc>
        <w:tc>
          <w:tcPr>
            <w:tcW w:w="2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525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tcPr>
          <w:p>
            <w:pPr>
              <w:jc w:val="right"/>
              <w:ind w:right="105"/>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 related expenses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line="214" w:lineRule="exact"/>
              <w:rPr>
                <w:sz w:val="20"/>
                <w:szCs w:val="20"/>
                <w:color w:val="auto"/>
              </w:rPr>
            </w:pPr>
            <w:r>
              <w:rPr>
                <w:rFonts w:ascii="Arial" w:cs="Arial" w:eastAsia="Arial" w:hAnsi="Arial"/>
                <w:sz w:val="15"/>
                <w:szCs w:val="15"/>
                <w:color w:val="auto"/>
              </w:rPr>
              <w:t>IPO-related costs and other transaction related expenses</w:t>
            </w:r>
            <w:r>
              <w:rPr>
                <w:rFonts w:ascii="Arial" w:cs="Arial" w:eastAsia="Arial" w:hAnsi="Arial"/>
                <w:sz w:val="19"/>
                <w:szCs w:val="19"/>
                <w:color w:val="auto"/>
                <w:vertAlign w:val="superscript"/>
              </w:rPr>
              <w:t>(2)</w:t>
            </w:r>
          </w:p>
        </w:tc>
        <w:tc>
          <w:tcPr>
            <w:tcW w:w="220" w:type="dxa"/>
            <w:vAlign w:val="bottom"/>
          </w:tcPr>
          <w:p>
            <w:pPr>
              <w:spacing w:after="0"/>
              <w:rPr>
                <w:sz w:val="18"/>
                <w:szCs w:val="18"/>
                <w:color w:val="auto"/>
              </w:rPr>
            </w:pPr>
          </w:p>
        </w:tc>
        <w:tc>
          <w:tcPr>
            <w:tcW w:w="1360" w:type="dxa"/>
            <w:vAlign w:val="bottom"/>
          </w:tcPr>
          <w:p>
            <w:pPr>
              <w:jc w:val="right"/>
              <w:ind w:right="165"/>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340" w:type="dxa"/>
            <w:vAlign w:val="bottom"/>
          </w:tcPr>
          <w:p>
            <w:pPr>
              <w:jc w:val="right"/>
              <w:ind w:right="165"/>
              <w:spacing w:after="0"/>
              <w:rPr>
                <w:sz w:val="20"/>
                <w:szCs w:val="20"/>
                <w:color w:val="auto"/>
              </w:rPr>
            </w:pPr>
            <w:r>
              <w:rPr>
                <w:rFonts w:ascii="Arial" w:cs="Arial" w:eastAsia="Arial" w:hAnsi="Arial"/>
                <w:sz w:val="15"/>
                <w:szCs w:val="15"/>
                <w:color w:val="auto"/>
              </w:rPr>
              <w:t>852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line="214" w:lineRule="exact"/>
              <w:rPr>
                <w:sz w:val="20"/>
                <w:szCs w:val="20"/>
                <w:color w:val="auto"/>
              </w:rPr>
            </w:pPr>
            <w:r>
              <w:rPr>
                <w:rFonts w:ascii="Arial" w:cs="Arial" w:eastAsia="Arial" w:hAnsi="Arial"/>
                <w:sz w:val="15"/>
                <w:szCs w:val="15"/>
                <w:color w:val="auto"/>
              </w:rPr>
              <w:t>Certain other non-recurring expenses</w:t>
            </w:r>
            <w:r>
              <w:rPr>
                <w:rFonts w:ascii="Arial" w:cs="Arial" w:eastAsia="Arial" w:hAnsi="Arial"/>
                <w:sz w:val="19"/>
                <w:szCs w:val="19"/>
                <w:color w:val="auto"/>
                <w:vertAlign w:val="superscript"/>
              </w:rPr>
              <w:t>(3)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1,764</w:t>
            </w:r>
          </w:p>
        </w:tc>
        <w:tc>
          <w:tcPr>
            <w:tcW w:w="0" w:type="dxa"/>
            <w:vAlign w:val="bottom"/>
          </w:tcPr>
          <w:p>
            <w:pPr>
              <w:spacing w:after="0"/>
              <w:rPr>
                <w:sz w:val="1"/>
                <w:szCs w:val="1"/>
                <w:color w:val="auto"/>
              </w:rPr>
            </w:pPr>
          </w:p>
        </w:tc>
      </w:tr>
      <w:tr>
        <w:trPr>
          <w:trHeight w:val="198"/>
        </w:trPr>
        <w:tc>
          <w:tcPr>
            <w:tcW w:w="4720" w:type="dxa"/>
            <w:vAlign w:val="bottom"/>
          </w:tcPr>
          <w:p>
            <w:pPr>
              <w:ind w:left="300"/>
              <w:spacing w:after="0"/>
              <w:rPr>
                <w:sz w:val="20"/>
                <w:szCs w:val="20"/>
                <w:color w:val="auto"/>
              </w:rPr>
            </w:pPr>
            <w:r>
              <w:rPr>
                <w:rFonts w:ascii="Arial" w:cs="Arial" w:eastAsia="Arial" w:hAnsi="Arial"/>
                <w:sz w:val="15"/>
                <w:szCs w:val="15"/>
                <w:color w:val="auto"/>
              </w:rPr>
              <w:t>Adjusted EBITDA</w:t>
            </w:r>
          </w:p>
        </w:tc>
        <w:tc>
          <w:tcPr>
            <w:tcW w:w="2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rPr>
              <w:t>15,121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rPr>
              <w:t>27,431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rPr>
              <w:t>40,687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rPr>
              <w:t>61,064</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20" w:type="dxa"/>
            <w:vAlign w:val="bottom"/>
            <w:tcBorders>
              <w:bottom w:val="single" w:sz="8" w:color="CCEEFF"/>
            </w:tcBorders>
            <w:shd w:val="clear" w:color="auto" w:fill="CCEEFF"/>
          </w:tcPr>
          <w:p>
            <w:pPr>
              <w:ind w:left="300"/>
              <w:spacing w:after="0" w:line="167" w:lineRule="exact"/>
              <w:rPr>
                <w:sz w:val="20"/>
                <w:szCs w:val="20"/>
                <w:color w:val="auto"/>
              </w:rPr>
            </w:pPr>
            <w:r>
              <w:rPr>
                <w:rFonts w:ascii="Arial" w:cs="Arial" w:eastAsia="Arial" w:hAnsi="Arial"/>
                <w:sz w:val="15"/>
                <w:szCs w:val="15"/>
                <w:color w:val="auto"/>
              </w:rPr>
              <w:t>Net (loss) income margin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7 %</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5"/>
                <w:szCs w:val="15"/>
                <w:color w:val="auto"/>
              </w:rPr>
              <w:t>Adjusted EBITDA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21 %</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9 %</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3" w:lineRule="exact"/>
        <w:rPr>
          <w:sz w:val="20"/>
          <w:szCs w:val="20"/>
          <w:color w:val="auto"/>
        </w:rPr>
      </w:pPr>
    </w:p>
    <w:p>
      <w:pPr>
        <w:ind w:left="300" w:hanging="300"/>
        <w:spacing w:after="0"/>
        <w:tabs>
          <w:tab w:leader="none" w:pos="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Legal expenses includes costs accrued or paid for potential litigation settlements, and are net of insurance recoveries, if any.</w:t>
      </w:r>
    </w:p>
    <w:p>
      <w:pPr>
        <w:spacing w:after="0" w:line="3" w:lineRule="exact"/>
        <w:rPr>
          <w:rFonts w:ascii="Arial" w:cs="Arial" w:eastAsia="Arial" w:hAnsi="Arial"/>
          <w:sz w:val="15"/>
          <w:szCs w:val="15"/>
          <w:color w:val="auto"/>
        </w:rPr>
      </w:pPr>
    </w:p>
    <w:p>
      <w:pPr>
        <w:ind w:left="300" w:hanging="300"/>
        <w:spacing w:after="0"/>
        <w:tabs>
          <w:tab w:leader="none" w:pos="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IPO-related costs and other transaction related expenses include certain non-recurring expenses incurred in connection with our IPO.</w:t>
      </w:r>
    </w:p>
    <w:p>
      <w:pPr>
        <w:spacing w:after="0" w:line="3" w:lineRule="exact"/>
        <w:rPr>
          <w:rFonts w:ascii="Arial" w:cs="Arial" w:eastAsia="Arial" w:hAnsi="Arial"/>
          <w:sz w:val="15"/>
          <w:szCs w:val="15"/>
          <w:color w:val="auto"/>
        </w:rPr>
      </w:pPr>
    </w:p>
    <w:p>
      <w:pPr>
        <w:ind w:left="300" w:hanging="300"/>
        <w:spacing w:after="0"/>
        <w:tabs>
          <w:tab w:leader="none" w:pos="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2020, we incurred a loss on sale from the disposal of Beaumont, our conveyancing business in the U.K., of $1.8 million.</w:t>
      </w:r>
    </w:p>
    <w:p>
      <w:pPr>
        <w:spacing w:after="0" w:line="329"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Adjusted EBITDA decreased from $27.4 million for the three months ended September 30, 2020 to $15.1 million for the three months ended September 30, 2021. The decrease of $12.3 million was primarily driven by higher revenue of $16.3 million offset by increases in cost of revenue of $3.2 million, customer acquisition media spend of $15.7 million and other operating expenses of $9.8 million, excluding non-cash and non-recurring items. Adjusted EBITDA decreased from $61.1 million for the nine months ended September 30, 2020 to $40.7 million for the nine months ended September 30, 2021. The decrease of $20.4 million reflects an increase in revenue of $84.5 million offset by increases in cost of revenue of $26.3 million, customer acquisition media spend of $ 56.2 million and other operating expenses of $22.5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Free Cash Flow</w:t>
      </w:r>
    </w:p>
    <w:p>
      <w:pPr>
        <w:spacing w:after="0" w:line="121" w:lineRule="exact"/>
        <w:rPr>
          <w:sz w:val="20"/>
          <w:szCs w:val="20"/>
          <w:color w:val="auto"/>
        </w:rPr>
      </w:pPr>
    </w:p>
    <w:p>
      <w:pPr>
        <w:ind w:right="140" w:firstLine="451"/>
        <w:spacing w:after="0" w:line="246" w:lineRule="auto"/>
        <w:rPr>
          <w:sz w:val="20"/>
          <w:szCs w:val="20"/>
          <w:color w:val="auto"/>
        </w:rPr>
      </w:pPr>
      <w:r>
        <w:rPr>
          <w:rFonts w:ascii="Arial" w:cs="Arial" w:eastAsia="Arial" w:hAnsi="Arial"/>
          <w:sz w:val="15"/>
          <w:szCs w:val="15"/>
          <w:color w:val="auto"/>
        </w:rPr>
        <w:t>Free cash flow is a liquidity measure used by management in evaluating the cash generated by our operations after purchases of property and equipment including capitalized internal-use software. We consider free cash flow to be an important metric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discretionary expenses, does not reflect our future contractual commitments, and may be calculated differently by other companies in our industry. Accordingly, it should not be considered in isolation or as a substitute for analysis of other GAAP financial measures, such as net cash provided by operating activities.</w:t>
      </w:r>
    </w:p>
    <w:p>
      <w:pPr>
        <w:spacing w:after="0" w:line="86" w:lineRule="exact"/>
        <w:rPr>
          <w:sz w:val="20"/>
          <w:szCs w:val="20"/>
          <w:color w:val="auto"/>
        </w:rPr>
      </w:pPr>
    </w:p>
    <w:p>
      <w:pPr>
        <w:ind w:right="720" w:firstLine="451"/>
        <w:spacing w:after="0" w:line="254" w:lineRule="auto"/>
        <w:rPr>
          <w:sz w:val="20"/>
          <w:szCs w:val="20"/>
          <w:color w:val="auto"/>
        </w:rPr>
      </w:pPr>
      <w:r>
        <w:rPr>
          <w:rFonts w:ascii="Arial" w:cs="Arial" w:eastAsia="Arial" w:hAnsi="Arial"/>
          <w:sz w:val="15"/>
          <w:szCs w:val="15"/>
          <w:color w:val="auto"/>
        </w:rPr>
        <w:t>The following table presents a reconciliation of net cash provided by operating activities, the most directly comparable GAAP measure, to free cash flow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60" w:type="dxa"/>
            <w:vAlign w:val="bottom"/>
          </w:tcPr>
          <w:p>
            <w:pPr>
              <w:spacing w:after="0"/>
              <w:rPr>
                <w:sz w:val="17"/>
                <w:szCs w:val="17"/>
                <w:color w:val="auto"/>
              </w:rPr>
            </w:pPr>
          </w:p>
        </w:tc>
        <w:tc>
          <w:tcPr>
            <w:tcW w:w="308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5"/>
                <w:szCs w:val="15"/>
                <w:b w:val="1"/>
                <w:bCs w:val="1"/>
                <w:color w:val="auto"/>
              </w:rPr>
              <w:t>Nine Months Ended September 30,</w:t>
            </w:r>
          </w:p>
        </w:tc>
      </w:tr>
      <w:tr>
        <w:trPr>
          <w:trHeight w:val="201"/>
        </w:trPr>
        <w:tc>
          <w:tcPr>
            <w:tcW w:w="8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r>
      <w:tr>
        <w:trPr>
          <w:trHeight w:val="205"/>
        </w:trPr>
        <w:tc>
          <w:tcPr>
            <w:tcW w:w="8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3"/>
          </w:tcPr>
          <w:p>
            <w:pPr>
              <w:jc w:val="right"/>
              <w:ind w:right="5"/>
              <w:spacing w:after="0"/>
              <w:rPr>
                <w:sz w:val="20"/>
                <w:szCs w:val="20"/>
                <w:color w:val="auto"/>
              </w:rPr>
            </w:pPr>
            <w:r>
              <w:rPr>
                <w:rFonts w:ascii="Arial" w:cs="Arial" w:eastAsia="Arial" w:hAnsi="Arial"/>
                <w:sz w:val="15"/>
                <w:szCs w:val="15"/>
                <w:i w:val="1"/>
                <w:iCs w:val="1"/>
                <w:color w:val="auto"/>
              </w:rPr>
              <w:t>(in thousands)</w:t>
            </w:r>
          </w:p>
        </w:tc>
        <w:tc>
          <w:tcPr>
            <w:tcW w:w="980" w:type="dxa"/>
            <w:vAlign w:val="bottom"/>
          </w:tcPr>
          <w:p>
            <w:pPr>
              <w:spacing w:after="0"/>
              <w:rPr>
                <w:sz w:val="17"/>
                <w:szCs w:val="17"/>
                <w:color w:val="auto"/>
              </w:rPr>
            </w:pPr>
          </w:p>
        </w:tc>
      </w:tr>
      <w:tr>
        <w:trPr>
          <w:trHeight w:val="222"/>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Net Cash Provided by Operating Activities to Free Cash Flow</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4"/>
        </w:trPr>
        <w:tc>
          <w:tcPr>
            <w:tcW w:w="816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940" w:type="dxa"/>
            <w:vAlign w:val="bottom"/>
          </w:tcPr>
          <w:p>
            <w:pPr>
              <w:jc w:val="right"/>
              <w:ind w:right="765"/>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60,156</w:t>
            </w:r>
          </w:p>
        </w:tc>
        <w:tc>
          <w:tcPr>
            <w:tcW w:w="100" w:type="dxa"/>
            <w:vAlign w:val="bottom"/>
          </w:tcPr>
          <w:p>
            <w:pPr>
              <w:spacing w:after="0"/>
              <w:rPr>
                <w:sz w:val="17"/>
                <w:szCs w:val="17"/>
                <w:color w:val="auto"/>
              </w:rPr>
            </w:pP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82,069</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(7,819)</w:t>
            </w:r>
          </w:p>
        </w:tc>
      </w:tr>
      <w:tr>
        <w:trPr>
          <w:trHeight w:val="198"/>
        </w:trPr>
        <w:tc>
          <w:tcPr>
            <w:tcW w:w="8160" w:type="dxa"/>
            <w:vAlign w:val="bottom"/>
          </w:tcPr>
          <w:p>
            <w:pPr>
              <w:ind w:left="300"/>
              <w:spacing w:after="0"/>
              <w:rPr>
                <w:sz w:val="20"/>
                <w:szCs w:val="20"/>
                <w:color w:val="auto"/>
              </w:rPr>
            </w:pPr>
            <w:r>
              <w:rPr>
                <w:rFonts w:ascii="Arial" w:cs="Arial" w:eastAsia="Arial" w:hAnsi="Arial"/>
                <w:sz w:val="15"/>
                <w:szCs w:val="15"/>
                <w:color w:val="auto"/>
              </w:rPr>
              <w:t>Free cash flow</w:t>
            </w:r>
          </w:p>
        </w:tc>
        <w:tc>
          <w:tcPr>
            <w:tcW w:w="94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51,656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74,250</w:t>
            </w:r>
          </w:p>
        </w:tc>
      </w:tr>
      <w:tr>
        <w:trPr>
          <w:trHeight w:val="25"/>
        </w:trPr>
        <w:tc>
          <w:tcPr>
            <w:tcW w:w="8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90"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experienced a decrease in our free cash flow from $74.3 million for the nine months ended September 30, 2020 to $51.7 million for the nine months ended September 30, 2021. The decrease in free cash flow was primarily due to an $10.4 million increase in our net loss adjusted for stock-based compensation and other non-cash items, an increase of $6.0 million in accounts receivable and prepaid expenses and an $8.0 million reduction in growth of deferred revenue, partially offset by a $6.3 million increase in accounts payable and accrued expenses due to the timing of our payments. Free cash flow was also impacted by higher capital expenditures for the purchase of property and equipment, including capitalization of internal-use software. We expect our free cash flow to increase in absolute dollars over the longer term, although the rate at which our free cash flow may grow could vary based upon the interplay of the factors discussed above.</w:t>
      </w:r>
    </w:p>
    <w:p>
      <w:pPr>
        <w:spacing w:after="0" w:line="93" w:lineRule="exact"/>
        <w:rPr>
          <w:sz w:val="20"/>
          <w:szCs w:val="20"/>
          <w:color w:val="auto"/>
        </w:rPr>
      </w:pPr>
    </w:p>
    <w:p>
      <w:pPr>
        <w:ind w:right="400" w:firstLine="451"/>
        <w:spacing w:after="0" w:line="254" w:lineRule="auto"/>
        <w:rPr>
          <w:sz w:val="20"/>
          <w:szCs w:val="20"/>
          <w:color w:val="auto"/>
        </w:rPr>
      </w:pPr>
      <w:r>
        <w:rPr>
          <w:rFonts w:ascii="Arial" w:cs="Arial" w:eastAsia="Arial" w:hAnsi="Arial"/>
          <w:sz w:val="15"/>
          <w:szCs w:val="15"/>
          <w:color w:val="auto"/>
        </w:rPr>
        <w:t>For the nine months ended September 30, 2021 and 2020, our free cash flow included cash payments for interest related to our 2018 Credit Facility of $12.3 million and $21.6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05" w:lineRule="exact"/>
        <w:rPr>
          <w:sz w:val="20"/>
          <w:szCs w:val="20"/>
          <w:color w:val="auto"/>
        </w:rPr>
      </w:pPr>
    </w:p>
    <w:p>
      <w:pPr>
        <w:ind w:right="140" w:firstLine="451"/>
        <w:spacing w:after="0" w:line="250" w:lineRule="auto"/>
        <w:rPr>
          <w:sz w:val="20"/>
          <w:szCs w:val="20"/>
          <w:color w:val="auto"/>
        </w:rPr>
      </w:pPr>
      <w:r>
        <w:rPr>
          <w:rFonts w:ascii="Arial" w:cs="Arial" w:eastAsia="Arial" w:hAnsi="Arial"/>
          <w:sz w:val="15"/>
          <w:szCs w:val="15"/>
          <w:color w:val="auto"/>
        </w:rPr>
        <w:t xml:space="preserve">We are an “emerging growth company,” as defined in the </w:t>
      </w:r>
      <w:r>
        <w:rPr>
          <w:rFonts w:ascii="Arial" w:cs="Arial" w:eastAsia="Arial" w:hAnsi="Arial"/>
          <w:sz w:val="15"/>
          <w:szCs w:val="15"/>
          <w:i w:val="1"/>
          <w:iCs w:val="1"/>
          <w:color w:val="auto"/>
        </w:rPr>
        <w:t>Jumpstart Our Business Startups Act</w:t>
      </w:r>
      <w:r>
        <w:rPr>
          <w:rFonts w:ascii="Arial" w:cs="Arial" w:eastAsia="Arial" w:hAnsi="Arial"/>
          <w:sz w:val="15"/>
          <w:szCs w:val="15"/>
          <w:color w:val="auto"/>
        </w:rPr>
        <w:t>, or the JOBS Act. Under the JOBS Act, emerging growth companies can delay adopting new or revised accounting standards issued subsequent to the enactment of the JOBS Act until such time as those standards apply to private companies. We have elected to avail ourselves of delayed adoption of new or revised accounting standards and, therefore, we will not be subject to the same requirements to adopt new or revised accounting standards as other public companies that are not emerging growth companies. To the extent that we no longer qualify as an emerging growth company we will be required to adopt certain accounting pronouncements earlier than the adoption dates disclosed below which are for non-public business entities.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21" w:lineRule="exact"/>
        <w:rPr>
          <w:sz w:val="20"/>
          <w:szCs w:val="20"/>
          <w:color w:val="auto"/>
        </w:rPr>
      </w:pPr>
    </w:p>
    <w:p>
      <w:pPr>
        <w:ind w:right="120" w:firstLine="451"/>
        <w:spacing w:after="0" w:line="249" w:lineRule="auto"/>
        <w:rPr>
          <w:sz w:val="20"/>
          <w:szCs w:val="20"/>
          <w:color w:val="auto"/>
        </w:rPr>
      </w:pPr>
      <w:r>
        <w:rPr>
          <w:rFonts w:ascii="Arial" w:cs="Arial" w:eastAsia="Arial" w:hAnsi="Arial"/>
          <w:sz w:val="15"/>
          <w:szCs w:val="15"/>
          <w:color w:val="auto"/>
        </w:rPr>
        <w:t>During the three months ended September 30, 2021, there have been no significant changes to our critical accounting policies and estimates compared with those disclosed in described under the heading “Management’s Discussion and Analysis of Financial Condition and Results of Operations—Critical Accounting Policies and Estimates” and the notes to the audited consolidated financial statements appearing in the Prospectus.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ind w:right="300" w:firstLine="451"/>
        <w:spacing w:after="0" w:line="254" w:lineRule="auto"/>
        <w:rPr>
          <w:sz w:val="20"/>
          <w:szCs w:val="20"/>
          <w:color w:val="auto"/>
        </w:rPr>
      </w:pPr>
      <w:r>
        <w:rPr>
          <w:rFonts w:ascii="Arial" w:cs="Arial" w:eastAsia="Arial" w:hAnsi="Arial"/>
          <w:sz w:val="15"/>
          <w:szCs w:val="15"/>
          <w:color w:val="auto"/>
        </w:rPr>
        <w:t>See Note 2 to our unaudited condensed consolidated financial statements included in this Quarterly Report on Form 10-Q for a discussion of recently adopted accounting pronouncements and recently issued accounting pronouncements not yet adopted.</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21" w:lineRule="exact"/>
        <w:rPr>
          <w:sz w:val="20"/>
          <w:szCs w:val="20"/>
          <w:color w:val="auto"/>
        </w:rPr>
      </w:pPr>
    </w:p>
    <w:p>
      <w:pPr>
        <w:ind w:right="280" w:firstLine="451"/>
        <w:spacing w:after="0" w:line="254" w:lineRule="auto"/>
        <w:rPr>
          <w:sz w:val="20"/>
          <w:szCs w:val="20"/>
          <w:color w:val="auto"/>
        </w:rPr>
      </w:pPr>
      <w:r>
        <w:rPr>
          <w:rFonts w:ascii="Arial" w:cs="Arial" w:eastAsia="Arial" w:hAnsi="Arial"/>
          <w:sz w:val="15"/>
          <w:szCs w:val="15"/>
          <w:color w:val="auto"/>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fluctuation risk</w:t>
      </w:r>
    </w:p>
    <w:p>
      <w:pPr>
        <w:spacing w:after="0" w:line="121" w:lineRule="exact"/>
        <w:rPr>
          <w:sz w:val="20"/>
          <w:szCs w:val="20"/>
          <w:color w:val="auto"/>
        </w:rPr>
      </w:pPr>
    </w:p>
    <w:p>
      <w:pPr>
        <w:ind w:right="60" w:firstLine="451"/>
        <w:spacing w:after="0" w:line="249" w:lineRule="auto"/>
        <w:rPr>
          <w:sz w:val="20"/>
          <w:szCs w:val="20"/>
          <w:color w:val="auto"/>
        </w:rPr>
      </w:pPr>
      <w:r>
        <w:rPr>
          <w:rFonts w:ascii="Arial" w:cs="Arial" w:eastAsia="Arial" w:hAnsi="Arial"/>
          <w:sz w:val="15"/>
          <w:szCs w:val="15"/>
          <w:color w:val="auto"/>
        </w:rPr>
        <w:t>At September 30, 2021 and December 31, 2020, we had cash and cash equivalents of $310.7 million and $114.5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90" w:lineRule="exact"/>
        <w:rPr>
          <w:sz w:val="20"/>
          <w:szCs w:val="20"/>
          <w:color w:val="auto"/>
        </w:rPr>
      </w:pPr>
    </w:p>
    <w:p>
      <w:pPr>
        <w:ind w:right="100" w:firstLine="451"/>
        <w:spacing w:after="0" w:line="247" w:lineRule="auto"/>
        <w:rPr>
          <w:sz w:val="20"/>
          <w:szCs w:val="20"/>
          <w:color w:val="auto"/>
        </w:rPr>
      </w:pPr>
      <w:r>
        <w:rPr>
          <w:rFonts w:ascii="Arial" w:cs="Arial" w:eastAsia="Arial" w:hAnsi="Arial"/>
          <w:sz w:val="15"/>
          <w:szCs w:val="15"/>
          <w:color w:val="auto"/>
        </w:rPr>
        <w:t>We also had no outstanding debt subject to interest rate risk as of September 30, 2021 and as of December 31, 2020 we had outstanding debt subject to interest rate risk of $524.3 million in principal. Given the repayment of our 2018 Term Loan and settlement of our interest rate swaps in July 2021, we are not expected to be exposed to further fluctuations in interest rates for the foreseeable future. We would be subject to fluctuation in interest rates if we drawdown under our 2021 Revolving Facility, including issuance of any letters of credit.</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121" w:lineRule="exact"/>
        <w:rPr>
          <w:sz w:val="20"/>
          <w:szCs w:val="20"/>
          <w:color w:val="auto"/>
        </w:rPr>
      </w:pPr>
    </w:p>
    <w:p>
      <w:pPr>
        <w:ind w:firstLine="451"/>
        <w:spacing w:after="0" w:line="244" w:lineRule="auto"/>
        <w:rPr>
          <w:sz w:val="20"/>
          <w:szCs w:val="20"/>
          <w:color w:val="auto"/>
        </w:rPr>
      </w:pPr>
      <w:r>
        <w:rPr>
          <w:rFonts w:ascii="Arial" w:cs="Arial" w:eastAsia="Arial" w:hAnsi="Arial"/>
          <w:sz w:val="15"/>
          <w:szCs w:val="15"/>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losses of $1.0 million in the nine months ended September 30, 2021. A 10% adverse change in foreign exchange rates on foreign-denominated accounts for the nine months ended September 30, 2021, including intercompany balances, would have resulted in a $0.5 million decrease in our reported foreign currency income for the nine months ended September 30,</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2021.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Inflation risk</w:t>
      </w:r>
    </w:p>
    <w:p>
      <w:pPr>
        <w:spacing w:after="0" w:line="121"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21" w:lineRule="exact"/>
        <w:rPr>
          <w:sz w:val="20"/>
          <w:szCs w:val="20"/>
          <w:color w:val="auto"/>
        </w:rPr>
      </w:pPr>
    </w:p>
    <w:p>
      <w:pPr>
        <w:ind w:right="340" w:firstLine="451"/>
        <w:spacing w:after="0" w:line="247"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officers and principal financial officer concluded that, as of September 30, 2021, our disclosure controls and procedures were not effective at the reasonable assurance level.</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Weaknesses</w:t>
      </w:r>
    </w:p>
    <w:p>
      <w:pPr>
        <w:spacing w:after="0" w:line="121" w:lineRule="exact"/>
        <w:rPr>
          <w:sz w:val="20"/>
          <w:szCs w:val="20"/>
          <w:color w:val="auto"/>
        </w:rPr>
      </w:pPr>
    </w:p>
    <w:p>
      <w:pPr>
        <w:jc w:val="both"/>
        <w:ind w:right="40" w:firstLine="451"/>
        <w:spacing w:after="0" w:line="249" w:lineRule="auto"/>
        <w:rPr>
          <w:sz w:val="20"/>
          <w:szCs w:val="20"/>
          <w:color w:val="auto"/>
        </w:rPr>
      </w:pPr>
      <w:r>
        <w:rPr>
          <w:rFonts w:ascii="Arial" w:cs="Arial" w:eastAsia="Arial" w:hAnsi="Arial"/>
          <w:sz w:val="15"/>
          <w:szCs w:val="15"/>
          <w:color w:val="auto"/>
        </w:rPr>
        <w:t>During the year ended December 31, 2018, we have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material weaknesses we identified are as follows:</w:t>
      </w:r>
    </w:p>
    <w:p>
      <w:pPr>
        <w:spacing w:after="0" w:line="103" w:lineRule="exact"/>
        <w:rPr>
          <w:sz w:val="20"/>
          <w:szCs w:val="20"/>
          <w:color w:val="auto"/>
        </w:rPr>
      </w:pPr>
    </w:p>
    <w:p>
      <w:pPr>
        <w:ind w:left="900" w:right="20" w:hanging="373"/>
        <w:spacing w:after="0" w:line="254" w:lineRule="auto"/>
        <w:tabs>
          <w:tab w:leader="none" w:pos="89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86" w:lineRule="exact"/>
        <w:rPr>
          <w:rFonts w:ascii="Arial" w:cs="Arial" w:eastAsia="Arial" w:hAnsi="Arial"/>
          <w:sz w:val="15"/>
          <w:szCs w:val="15"/>
          <w:color w:val="auto"/>
        </w:rPr>
      </w:pPr>
    </w:p>
    <w:p>
      <w:pPr>
        <w:ind w:left="900" w:right="40" w:hanging="373"/>
        <w:spacing w:after="0" w:line="254" w:lineRule="auto"/>
        <w:tabs>
          <w:tab w:leader="none" w:pos="89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did not design and maintain effective controls to address the initial application of complex accounting standards and accounting of non-routine, unusual or complex events and transactions.</w:t>
      </w:r>
    </w:p>
    <w:p>
      <w:pPr>
        <w:spacing w:after="0" w:line="86" w:lineRule="exact"/>
        <w:rPr>
          <w:rFonts w:ascii="Arial" w:cs="Arial" w:eastAsia="Arial" w:hAnsi="Arial"/>
          <w:sz w:val="15"/>
          <w:szCs w:val="15"/>
          <w:color w:val="auto"/>
        </w:rPr>
      </w:pPr>
    </w:p>
    <w:p>
      <w:pPr>
        <w:ind w:left="900" w:right="80" w:hanging="373"/>
        <w:spacing w:after="0" w:line="254" w:lineRule="auto"/>
        <w:tabs>
          <w:tab w:leader="none" w:pos="89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did not design and maintain effective controls over our financial statement close process. Specifically, we did not design and maintain effective controls over certain account analyses and account reconciliations.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firstLine="451"/>
        <w:spacing w:after="0" w:line="249" w:lineRule="auto"/>
        <w:rPr>
          <w:sz w:val="20"/>
          <w:szCs w:val="20"/>
          <w:color w:val="auto"/>
        </w:rPr>
      </w:pPr>
      <w:r>
        <w:rPr>
          <w:rFonts w:ascii="Arial" w:cs="Arial" w:eastAsia="Arial" w:hAnsi="Arial"/>
          <w:sz w:val="15"/>
          <w:szCs w:val="15"/>
          <w:color w:val="auto"/>
        </w:rPr>
        <w:t>These material weaknesses resulted in adjustments to our financial statements for the year ended December 31, 2018 primarily related to debt extinguishment costs, goodwill, revenue, accounts receivable, foreign exchange expense and deferred revenue, and could result in a misstatement of any account balances or disclosures that would result in a material misstatement to the annual or interim consolidated financial statements that would not be prevented or detected.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Remediation Plan</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designing and implementing a plan to remediate the material weaknesses identified. Our plan includes:</w:t>
      </w:r>
    </w:p>
    <w:p>
      <w:pPr>
        <w:spacing w:after="0" w:line="103" w:lineRule="exact"/>
        <w:rPr>
          <w:sz w:val="20"/>
          <w:szCs w:val="20"/>
          <w:color w:val="auto"/>
        </w:rPr>
      </w:pPr>
    </w:p>
    <w:p>
      <w:pPr>
        <w:ind w:left="900" w:right="140" w:hanging="373"/>
        <w:spacing w:after="0" w:line="254" w:lineRule="auto"/>
        <w:tabs>
          <w:tab w:leader="none" w:pos="890" w:val="left"/>
        </w:tabs>
        <w:numPr>
          <w:ilvl w:val="0"/>
          <w:numId w:val="7"/>
        </w:numPr>
        <w:rPr>
          <w:rFonts w:ascii="Arial" w:cs="Arial" w:eastAsia="Arial" w:hAnsi="Arial"/>
          <w:sz w:val="15"/>
          <w:szCs w:val="15"/>
          <w:color w:val="auto"/>
        </w:rPr>
      </w:pPr>
      <w:r>
        <w:rPr>
          <w:rFonts w:ascii="Arial" w:cs="Arial" w:eastAsia="Arial" w:hAnsi="Arial"/>
          <w:sz w:val="15"/>
          <w:szCs w:val="15"/>
          <w:color w:val="auto"/>
        </w:rPr>
        <w:t>hiring additional experienced accounting, financial reporting and internal control personnel and changing roles and responsibilities of our personnel as we transitioned to being a public company and are required to comply with Section 404 of the Sarbanes Oxley Act of 2002;</w:t>
      </w:r>
    </w:p>
    <w:p>
      <w:pPr>
        <w:spacing w:after="0" w:line="86" w:lineRule="exact"/>
        <w:rPr>
          <w:rFonts w:ascii="Arial" w:cs="Arial" w:eastAsia="Arial" w:hAnsi="Arial"/>
          <w:sz w:val="15"/>
          <w:szCs w:val="15"/>
          <w:color w:val="auto"/>
        </w:rPr>
      </w:pPr>
    </w:p>
    <w:p>
      <w:pPr>
        <w:ind w:left="900" w:right="160" w:hanging="373"/>
        <w:spacing w:after="0" w:line="254" w:lineRule="auto"/>
        <w:tabs>
          <w:tab w:leader="none" w:pos="890" w:val="left"/>
        </w:tabs>
        <w:numPr>
          <w:ilvl w:val="0"/>
          <w:numId w:val="7"/>
        </w:numPr>
        <w:rPr>
          <w:rFonts w:ascii="Arial" w:cs="Arial" w:eastAsia="Arial" w:hAnsi="Arial"/>
          <w:sz w:val="15"/>
          <w:szCs w:val="15"/>
          <w:color w:val="auto"/>
        </w:rPr>
      </w:pPr>
      <w:r>
        <w:rPr>
          <w:rFonts w:ascii="Arial" w:cs="Arial" w:eastAsia="Arial" w:hAnsi="Arial"/>
          <w:sz w:val="15"/>
          <w:szCs w:val="15"/>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86" w:lineRule="exact"/>
        <w:rPr>
          <w:rFonts w:ascii="Arial" w:cs="Arial" w:eastAsia="Arial" w:hAnsi="Arial"/>
          <w:sz w:val="15"/>
          <w:szCs w:val="15"/>
          <w:color w:val="auto"/>
        </w:rPr>
      </w:pPr>
    </w:p>
    <w:p>
      <w:pPr>
        <w:ind w:left="900" w:hanging="373"/>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implementing controls to enable an effective and timely review of account analyses and account reconciliations.</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w:t>
      </w:r>
      <w:r>
        <w:rPr>
          <w:rFonts w:ascii="Arial" w:cs="Arial" w:eastAsia="Arial" w:hAnsi="Arial"/>
          <w:sz w:val="15"/>
          <w:szCs w:val="15"/>
          <w:i w:val="1"/>
          <w:iCs w:val="1"/>
          <w:color w:val="auto"/>
        </w:rPr>
        <w:t>ngoing remediation efforts</w:t>
      </w:r>
    </w:p>
    <w:p>
      <w:pPr>
        <w:spacing w:after="0" w:line="120"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In the quarter ended September 30, 2021, we have continued to hire additional experienced accounting personnel to supplement the current team, and we plan to provide internal control training programs for all accounting personnel in the forthcoming quarter to strengthen our overall internal controls environment. We have also enhanced our documentation procedures around complex accounting transactions.</w:t>
      </w:r>
    </w:p>
    <w:p>
      <w:pPr>
        <w:spacing w:after="0" w:line="90" w:lineRule="exact"/>
        <w:rPr>
          <w:sz w:val="20"/>
          <w:szCs w:val="20"/>
          <w:color w:val="auto"/>
        </w:rPr>
      </w:pPr>
    </w:p>
    <w:p>
      <w:pPr>
        <w:ind w:right="40" w:firstLine="451"/>
        <w:spacing w:after="0" w:line="249" w:lineRule="auto"/>
        <w:rPr>
          <w:sz w:val="20"/>
          <w:szCs w:val="20"/>
          <w:color w:val="auto"/>
        </w:rPr>
      </w:pPr>
      <w:r>
        <w:rPr>
          <w:rFonts w:ascii="Arial" w:cs="Arial" w:eastAsia="Arial" w:hAnsi="Arial"/>
          <w:sz w:val="15"/>
          <w:szCs w:val="15"/>
          <w:color w:val="auto"/>
        </w:rPr>
        <w:t>In the quarter ended September 30, 2021, we have also designed and implemented new controls around account reconciliations to specifically address the timely preparation and review, and identification of relevant supporting documentation to be utilized in the performance of any key balance sheet account reconciliation and to develop proper evidence of any such review.</w:t>
      </w:r>
    </w:p>
    <w:p>
      <w:pPr>
        <w:spacing w:after="0" w:line="300"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Status of remediation efforts</w:t>
      </w:r>
    </w:p>
    <w:p>
      <w:pPr>
        <w:spacing w:after="0" w:line="119" w:lineRule="exact"/>
        <w:rPr>
          <w:sz w:val="20"/>
          <w:szCs w:val="20"/>
          <w:color w:val="auto"/>
        </w:rPr>
      </w:pPr>
    </w:p>
    <w:p>
      <w:pPr>
        <w:ind w:right="80" w:firstLine="451"/>
        <w:spacing w:after="0" w:line="245" w:lineRule="auto"/>
        <w:rPr>
          <w:sz w:val="20"/>
          <w:szCs w:val="20"/>
          <w:color w:val="auto"/>
        </w:rPr>
      </w:pPr>
      <w:r>
        <w:rPr>
          <w:rFonts w:ascii="Arial" w:cs="Arial" w:eastAsia="Arial" w:hAnsi="Arial"/>
          <w:sz w:val="15"/>
          <w:szCs w:val="15"/>
          <w:color w:val="auto"/>
        </w:rPr>
        <w:t>We believe the remediation steps outlined above will improve the effectiveness of our internal control over financial reporting. However, the material weaknesses will not be considered remediated until a sustained period of time has passed to allow management to test the design and operational effectiveness of the corrective actions. The implementation of these remediation measures will require validation and testing of the design and operating effectiveness of internal controls over a sustained period of financial reporting cycles and as a result, the timing of when we will be able to fully remediate the material weaknesses is uncertain. Accordingly, we likely will not fully remediate these material weaknesses during 2021 and may not do so in 2022.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121" w:lineRule="exact"/>
        <w:rPr>
          <w:sz w:val="20"/>
          <w:szCs w:val="20"/>
          <w:color w:val="auto"/>
        </w:rPr>
      </w:pPr>
    </w:p>
    <w:p>
      <w:pPr>
        <w:ind w:right="60" w:firstLine="451"/>
        <w:spacing w:after="0" w:line="247"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21"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The third quarter remediation activities described above are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II—OTHER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121" w:lineRule="exact"/>
        <w:rPr>
          <w:sz w:val="20"/>
          <w:szCs w:val="20"/>
          <w:color w:val="auto"/>
        </w:rPr>
      </w:pPr>
    </w:p>
    <w:p>
      <w:pPr>
        <w:ind w:right="220" w:firstLine="451"/>
        <w:spacing w:after="0" w:line="254" w:lineRule="auto"/>
        <w:rPr>
          <w:sz w:val="20"/>
          <w:szCs w:val="20"/>
          <w:color w:val="auto"/>
        </w:rPr>
      </w:pPr>
      <w:r>
        <w:rPr>
          <w:rFonts w:ascii="Arial" w:cs="Arial" w:eastAsia="Arial" w:hAnsi="Arial"/>
          <w:sz w:val="15"/>
          <w:szCs w:val="15"/>
          <w:color w:val="auto"/>
        </w:rPr>
        <w:t>The information contained under the heading “Legal Proceedings” in Note 8 to our unaudited condensed consolidated financial statements included in Part I of this Quarterly Report on Form 10-Q is incorporated by reference into this Item.</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21"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Our business involves significant risks, some of which are described below. You should carefully consider the risks and uncertainties described below, together with all of the other information in this Quarterly Report on Form 10-Q, as well as our audited financial statements and related notes as disclosed in our Prospectus.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We first summarize the most significant risks we face in the bullet points below. You should also read the more comprehensive discussion of risk factors that follows this bullet-point summary.</w:t>
      </w:r>
    </w:p>
    <w:p>
      <w:pPr>
        <w:spacing w:after="0" w:line="92" w:lineRule="exact"/>
        <w:rPr>
          <w:sz w:val="20"/>
          <w:szCs w:val="20"/>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recent growth may not be indicative of our future growth and, if we continue to grow, we may not be able to manage our growth effectively.</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are unable to sustain our revenue growth rate, we may not maintain profitability in the future.</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future quarterly results of operations may fluctuate significantly due to a wide range of factors, which makes our future results difficult to predict.</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a history of net losses, we anticipate increasing expenses in the future, and we may not be able to maintain profitability.</w:t>
      </w:r>
    </w:p>
    <w:p>
      <w:pPr>
        <w:spacing w:after="0" w:line="103" w:lineRule="exact"/>
        <w:rPr>
          <w:rFonts w:ascii="Arial" w:cs="Arial" w:eastAsia="Arial" w:hAnsi="Arial"/>
          <w:sz w:val="15"/>
          <w:szCs w:val="15"/>
          <w:color w:val="auto"/>
        </w:rPr>
      </w:pPr>
    </w:p>
    <w:p>
      <w:pPr>
        <w:ind w:left="1200" w:right="220" w:hanging="146"/>
        <w:spacing w:after="0" w:line="254" w:lineRule="auto"/>
        <w:tabs>
          <w:tab w:leader="none" w:pos="119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fail to provide high-quality services, customer care and customer experience and add new services that meet our customers’ expectations, we may not be able to attract and retain customers.</w:t>
      </w:r>
    </w:p>
    <w:p>
      <w:pPr>
        <w:spacing w:after="0" w:line="86" w:lineRule="exact"/>
        <w:rPr>
          <w:rFonts w:ascii="Arial" w:cs="Arial" w:eastAsia="Arial" w:hAnsi="Arial"/>
          <w:sz w:val="15"/>
          <w:szCs w:val="15"/>
          <w:color w:val="auto"/>
        </w:rPr>
      </w:pPr>
    </w:p>
    <w:p>
      <w:pPr>
        <w:ind w:left="1200" w:right="100" w:hanging="146"/>
        <w:spacing w:after="0" w:line="254" w:lineRule="auto"/>
        <w:tabs>
          <w:tab w:leader="none" w:pos="119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do not continue to innovate and provide a platform that is useful to our customers, we may not remain competitive, and our results of operations could suffer.</w:t>
      </w:r>
    </w:p>
    <w:p>
      <w:pPr>
        <w:spacing w:after="0" w:line="86"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depends on business formations.</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subscription services are highly dependent upon our transaction products.</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depends substantially on our subscribers renewing their subscriptions with us and expanding their use of our platform.</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depends on our ability to drive additional purchases and cross-sell to paying customers.</w:t>
      </w:r>
    </w:p>
    <w:p>
      <w:pPr>
        <w:spacing w:after="0" w:line="103" w:lineRule="exact"/>
        <w:rPr>
          <w:rFonts w:ascii="Arial" w:cs="Arial" w:eastAsia="Arial" w:hAnsi="Arial"/>
          <w:sz w:val="15"/>
          <w:szCs w:val="15"/>
          <w:color w:val="auto"/>
        </w:rPr>
      </w:pPr>
    </w:p>
    <w:p>
      <w:pPr>
        <w:ind w:left="1200" w:hanging="146"/>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legal solutions market is highly competitive.</w:t>
      </w:r>
    </w:p>
    <w:p>
      <w:pPr>
        <w:spacing w:after="0" w:line="103" w:lineRule="exact"/>
        <w:rPr>
          <w:rFonts w:ascii="Arial" w:cs="Arial" w:eastAsia="Arial" w:hAnsi="Arial"/>
          <w:sz w:val="15"/>
          <w:szCs w:val="15"/>
          <w:color w:val="auto"/>
        </w:rPr>
      </w:pPr>
    </w:p>
    <w:p>
      <w:pPr>
        <w:ind w:left="1200" w:right="100" w:hanging="146"/>
        <w:spacing w:after="0" w:line="254" w:lineRule="auto"/>
        <w:tabs>
          <w:tab w:leader="none" w:pos="119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depend on top talent, including our senior management team, to grow and operate our business, and if we are unable to hire, retain and motivate our employees, we may not be able to grow effectively, which may adversely affect our business and future prospects.</w:t>
      </w:r>
    </w:p>
    <w:p>
      <w:pPr>
        <w:spacing w:after="0" w:line="86" w:lineRule="exact"/>
        <w:rPr>
          <w:rFonts w:ascii="Arial" w:cs="Arial" w:eastAsia="Arial" w:hAnsi="Arial"/>
          <w:sz w:val="15"/>
          <w:szCs w:val="15"/>
          <w:color w:val="auto"/>
        </w:rPr>
      </w:pPr>
    </w:p>
    <w:p>
      <w:pPr>
        <w:ind w:left="1200" w:right="40" w:hanging="146"/>
        <w:spacing w:after="0" w:line="254" w:lineRule="auto"/>
        <w:tabs>
          <w:tab w:leader="none" w:pos="119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and success depend in part on our strategic relationships with third parties, including our partner ecosystem, and our business would be harmed if we fail to maintain or expand these relationships.</w:t>
      </w:r>
    </w:p>
    <w:p>
      <w:pPr>
        <w:spacing w:after="0" w:line="86" w:lineRule="exact"/>
        <w:rPr>
          <w:rFonts w:ascii="Arial" w:cs="Arial" w:eastAsia="Arial" w:hAnsi="Arial"/>
          <w:sz w:val="15"/>
          <w:szCs w:val="15"/>
          <w:color w:val="auto"/>
        </w:rPr>
      </w:pPr>
    </w:p>
    <w:p>
      <w:pPr>
        <w:ind w:left="1200" w:right="80" w:hanging="146"/>
        <w:spacing w:after="0" w:line="254" w:lineRule="auto"/>
        <w:tabs>
          <w:tab w:leader="none" w:pos="119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and services subject us to complex and evolving U.S. and foreign laws and regulations regarding the unauthorized practice of law, legal document processing, legal plans, and other related matters.</w:t>
      </w:r>
    </w:p>
    <w:p>
      <w:pPr>
        <w:spacing w:after="0" w:line="86" w:lineRule="exact"/>
        <w:rPr>
          <w:rFonts w:ascii="Arial" w:cs="Arial" w:eastAsia="Arial" w:hAnsi="Arial"/>
          <w:sz w:val="15"/>
          <w:szCs w:val="15"/>
          <w:color w:val="auto"/>
        </w:rPr>
      </w:pPr>
    </w:p>
    <w:p>
      <w:pPr>
        <w:jc w:val="both"/>
        <w:ind w:left="1200" w:right="60" w:hanging="146"/>
        <w:spacing w:after="0" w:line="249" w:lineRule="auto"/>
        <w:tabs>
          <w:tab w:leader="none" w:pos="119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90" w:lineRule="exact"/>
        <w:rPr>
          <w:sz w:val="20"/>
          <w:szCs w:val="20"/>
          <w:color w:val="auto"/>
        </w:rPr>
      </w:pPr>
    </w:p>
    <w:p>
      <w:pPr>
        <w:ind w:right="160" w:firstLine="451"/>
        <w:spacing w:after="0" w:line="254" w:lineRule="auto"/>
        <w:rPr>
          <w:sz w:val="20"/>
          <w:szCs w:val="20"/>
          <w:color w:val="auto"/>
        </w:rPr>
      </w:pPr>
      <w:r>
        <w:rPr>
          <w:rFonts w:ascii="Arial" w:cs="Arial" w:eastAsia="Arial" w:hAnsi="Arial"/>
          <w:sz w:val="15"/>
          <w:szCs w:val="15"/>
          <w:color w:val="auto"/>
        </w:rPr>
        <w:t>The following is a more complete and comprehensive discussion of the risks we face. You should read the following to truly appreciate the risks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 and Industry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recent growth may not be indicative of our future growth and, if we continue to grow, we may not be able to manage our growth effectively.</w:t>
      </w:r>
    </w:p>
    <w:p>
      <w:pPr>
        <w:spacing w:after="0" w:line="121"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have experienced, and continue to experience,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We anticipate that we will continue to expand our operations and headcount in the near term. Our success will depend in part on our ability to manage this growth effectively. To manage the expected growth of our operations and personnel, we will need to continue to improve our operational, financial and management controls and our reporting systems and procedures. As we continue to grow, we must effectively integrate, develop and motivate a large number of new employees, and maintain the beneficial aspects of our corporate culture. To attract top talent, we have had to offer, and believe we will need to continue to offer, highly competitive compensation packages before we can validate the productivity of those employees.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96"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Our growth also makes it difficult to evaluate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uncertainties successfully, our results of operations and financial condition could differ materially from our expectations, our business could suffer and the trading price of our stock may decline.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sustain our revenue growth rate, we may not maintain profitability in the future.</w:t>
      </w:r>
    </w:p>
    <w:p>
      <w:pPr>
        <w:spacing w:after="0" w:line="121" w:lineRule="exact"/>
        <w:rPr>
          <w:sz w:val="20"/>
          <w:szCs w:val="20"/>
          <w:color w:val="auto"/>
        </w:rPr>
      </w:pPr>
    </w:p>
    <w:p>
      <w:pPr>
        <w:ind w:right="140" w:firstLine="451"/>
        <w:spacing w:after="0" w:line="249" w:lineRule="auto"/>
        <w:rPr>
          <w:sz w:val="20"/>
          <w:szCs w:val="20"/>
          <w:color w:val="auto"/>
        </w:rPr>
      </w:pPr>
      <w:r>
        <w:rPr>
          <w:rFonts w:ascii="Arial" w:cs="Arial" w:eastAsia="Arial" w:hAnsi="Arial"/>
          <w:sz w:val="15"/>
          <w:szCs w:val="15"/>
          <w:color w:val="auto"/>
        </w:rPr>
        <w:t>Although our revenue growth rate has increased in certain recent periods, even if our revenue increases in the future to higher levels on an absolute basis, our revenue growth rate may decline. As we grow our business, our revenue growth rate may slow in future periods due to a number of reasons. Any success that we may experience in the future will depend in large part on our ability to, among other things:</w:t>
      </w:r>
    </w:p>
    <w:p>
      <w:pPr>
        <w:spacing w:after="0" w:line="90" w:lineRule="exact"/>
        <w:rPr>
          <w:sz w:val="20"/>
          <w:szCs w:val="20"/>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maintain and expand our customer base;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 revenue from existing customers through increased or broader use of our services;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provide high-quality services to customers;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improve the performance and capabilities of our services through research and development;</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develop new services;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maintain the rate at which customers purchase our subscriptions;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identify and acquire or invest in new businesses, products or technologies that we believe could complement or expand our platform;</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continue to successfully expand our business; and</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successfully compete with other companies.</w:t>
      </w:r>
    </w:p>
    <w:p>
      <w:pPr>
        <w:spacing w:after="0" w:line="103" w:lineRule="exact"/>
        <w:rPr>
          <w:sz w:val="20"/>
          <w:szCs w:val="20"/>
          <w:color w:val="auto"/>
        </w:rPr>
      </w:pPr>
    </w:p>
    <w:p>
      <w:pPr>
        <w:ind w:right="80" w:firstLine="451"/>
        <w:spacing w:after="0" w:line="254" w:lineRule="auto"/>
        <w:rPr>
          <w:sz w:val="20"/>
          <w:szCs w:val="20"/>
          <w:color w:val="auto"/>
        </w:rPr>
      </w:pPr>
      <w:r>
        <w:rPr>
          <w:rFonts w:ascii="Arial" w:cs="Arial" w:eastAsia="Arial" w:hAnsi="Arial"/>
          <w:sz w:val="15"/>
          <w:szCs w:val="15"/>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121" w:lineRule="exact"/>
        <w:rPr>
          <w:sz w:val="20"/>
          <w:szCs w:val="20"/>
          <w:color w:val="auto"/>
        </w:rPr>
      </w:pPr>
    </w:p>
    <w:p>
      <w:pPr>
        <w:ind w:right="380" w:firstLine="451"/>
        <w:spacing w:after="0" w:line="254" w:lineRule="auto"/>
        <w:rPr>
          <w:sz w:val="20"/>
          <w:szCs w:val="20"/>
          <w:color w:val="auto"/>
        </w:rPr>
      </w:pPr>
      <w:r>
        <w:rPr>
          <w:rFonts w:ascii="Arial" w:cs="Arial" w:eastAsia="Arial" w:hAnsi="Arial"/>
          <w:sz w:val="15"/>
          <w:szCs w:val="15"/>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6" w:lineRule="exact"/>
        <w:rPr>
          <w:sz w:val="20"/>
          <w:szCs w:val="20"/>
          <w:color w:val="auto"/>
        </w:rPr>
      </w:pPr>
    </w:p>
    <w:p>
      <w:pPr>
        <w:ind w:left="900" w:hanging="448"/>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number of business formations;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level of demand for our services;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rate of renewal of subscriptions with, and extent of sales of additional subscriptions to, existing customers;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customers failing to renew their subscriptions;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size, timing and terms of our subscription agreements with existing and new customers;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timing and growth of our business, in particular through our hiring of new employees;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stock-based compensation expense;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timing of our adoption of new or revised accounting pronouncements and the impact on our results of operations;</w:t>
      </w:r>
    </w:p>
    <w:p>
      <w:pPr>
        <w:spacing w:after="0" w:line="103" w:lineRule="exact"/>
        <w:rPr>
          <w:rFonts w:ascii="Arial" w:cs="Arial" w:eastAsia="Arial" w:hAnsi="Arial"/>
          <w:sz w:val="15"/>
          <w:szCs w:val="15"/>
          <w:color w:val="auto"/>
        </w:rPr>
      </w:pPr>
    </w:p>
    <w:p>
      <w:pPr>
        <w:ind w:left="900" w:right="140" w:hanging="448"/>
        <w:spacing w:after="0" w:line="254" w:lineRule="auto"/>
        <w:tabs>
          <w:tab w:leader="none" w:pos="8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introduction of new products and product enhancements by existing competitors or new entrants into our markets, and changes in pricing for solutions offered by us or our competitors;</w:t>
      </w:r>
    </w:p>
    <w:p>
      <w:pPr>
        <w:spacing w:after="0" w:line="86"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network outages, security breaches, technical difficulties or interruptions with our platform;</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the growth rate of the markets in which we compete;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mix of subscriptions and services sold during a period;</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customers delaying purchasing decisions in anticipation of new developments or enhancements by us or our competitors or otherwise;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customers’ budgets;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seasonal variations related to sales and marketing and other activities;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attract new customers or retain existing customers;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increase, retain and incentivize the strategic partners that market and sell our platform;</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control costs, including our operating expenses;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hire, train and maintain our customer care specialists and direct sales force;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unforeseen litigation, regulatory actions, and intellectual property infringement claims;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rate of failure for small businesses;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governmental or other regulations affecting our business;</w:t>
      </w:r>
    </w:p>
    <w:p>
      <w:pPr>
        <w:spacing w:after="0" w:line="103" w:lineRule="exact"/>
        <w:rPr>
          <w:rFonts w:ascii="Arial" w:cs="Arial" w:eastAsia="Arial" w:hAnsi="Arial"/>
          <w:sz w:val="15"/>
          <w:szCs w:val="15"/>
          <w:color w:val="auto"/>
        </w:rPr>
      </w:pPr>
    </w:p>
    <w:p>
      <w:pPr>
        <w:ind w:left="900" w:hanging="448"/>
        <w:spacing w:after="0" w:line="249" w:lineRule="auto"/>
        <w:tabs>
          <w:tab w:leader="none" w:pos="8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variations in our provision for income taxes, which may be affected by the mix of income we earn in the United States and in jurisdictions with comparatively lower tax rates, the effects of stock-based compensation, the effects of changes in our business, and the impact of changes in tax laws or judicial or regulatory interpretations of tax laws;</w:t>
      </w:r>
    </w:p>
    <w:p>
      <w:pPr>
        <w:spacing w:after="0" w:line="90" w:lineRule="exact"/>
        <w:rPr>
          <w:rFonts w:ascii="Arial" w:cs="Arial" w:eastAsia="Arial" w:hAnsi="Arial"/>
          <w:sz w:val="15"/>
          <w:szCs w:val="15"/>
          <w:color w:val="auto"/>
        </w:rPr>
      </w:pPr>
    </w:p>
    <w:p>
      <w:pPr>
        <w:ind w:left="900" w:hanging="44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adverse economic and market conditions, such as those related to the current COVID-19 pandemic, currency fluctuations, and adverse global events; and</w:t>
      </w:r>
    </w:p>
    <w:p>
      <w:pPr>
        <w:spacing w:after="0" w:line="103" w:lineRule="exact"/>
        <w:rPr>
          <w:rFonts w:ascii="Arial" w:cs="Arial" w:eastAsia="Arial" w:hAnsi="Arial"/>
          <w:sz w:val="15"/>
          <w:szCs w:val="15"/>
          <w:color w:val="auto"/>
        </w:rPr>
      </w:pPr>
    </w:p>
    <w:p>
      <w:pPr>
        <w:ind w:left="900" w:right="40" w:hanging="448"/>
        <w:spacing w:after="0" w:line="254" w:lineRule="auto"/>
        <w:tabs>
          <w:tab w:leader="none" w:pos="8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general economic and political conditions, both domestically and internationally, as well as economic conditions specifically affecting industries in which our customers operate.</w:t>
      </w:r>
    </w:p>
    <w:p>
      <w:pPr>
        <w:spacing w:after="0" w:line="86" w:lineRule="exact"/>
        <w:rPr>
          <w:sz w:val="20"/>
          <w:szCs w:val="20"/>
          <w:color w:val="auto"/>
        </w:rPr>
      </w:pPr>
    </w:p>
    <w:p>
      <w:pPr>
        <w:ind w:right="100" w:firstLine="451"/>
        <w:spacing w:after="0" w:line="245" w:lineRule="auto"/>
        <w:rPr>
          <w:sz w:val="20"/>
          <w:szCs w:val="20"/>
          <w:color w:val="auto"/>
        </w:rPr>
      </w:pPr>
      <w:r>
        <w:rPr>
          <w:rFonts w:ascii="Arial" w:cs="Arial" w:eastAsia="Arial" w:hAnsi="Arial"/>
          <w:sz w:val="15"/>
          <w:szCs w:val="15"/>
          <w:color w:val="auto"/>
        </w:rPr>
        <w:t>Fluctuations in our quarterly operating results and the price of our common stock may be particularly pronounced in the current economic environment due to the uncertainty caused by the current COVID-19 pandemic and its potential future impact on consumer spending patterns, the success of small businesses and the formation of new small businesses, as well as the impacts of the reopening of the offline economy and lessening of restrictions on movement and travel. For example, starting in the second quarter of 2020, we saw tailwinds driven by the COVID-19 pandemic as individuals and small businesses turned to online services given the relative inaccessibility of offline alternatives.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particularly post-pandemic, we could experience short-term liquidity issues, our ability to retain or attract key personnel may diminish, and other unanticipated issues may arise.</w:t>
      </w:r>
    </w:p>
    <w:p>
      <w:pPr>
        <w:spacing w:after="0" w:line="96" w:lineRule="exact"/>
        <w:rPr>
          <w:sz w:val="20"/>
          <w:szCs w:val="20"/>
          <w:color w:val="auto"/>
        </w:rPr>
      </w:pPr>
    </w:p>
    <w:p>
      <w:pPr>
        <w:ind w:right="180" w:firstLine="451"/>
        <w:spacing w:after="0" w:line="247" w:lineRule="auto"/>
        <w:rPr>
          <w:sz w:val="20"/>
          <w:szCs w:val="20"/>
          <w:color w:val="auto"/>
        </w:rPr>
      </w:pPr>
      <w:r>
        <w:rPr>
          <w:rFonts w:ascii="Arial" w:cs="Arial" w:eastAsia="Arial" w:hAnsi="Arial"/>
          <w:sz w:val="15"/>
          <w:szCs w:val="15"/>
          <w:color w:val="auto"/>
        </w:rPr>
        <w:t>We believe that our quarterly operating results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net losses, we anticipate increasing expenses in the future, and we may not be able to maintain profitability.</w:t>
      </w:r>
    </w:p>
    <w:p>
      <w:pPr>
        <w:spacing w:after="0" w:line="121" w:lineRule="exact"/>
        <w:rPr>
          <w:sz w:val="20"/>
          <w:szCs w:val="20"/>
          <w:color w:val="auto"/>
        </w:rPr>
      </w:pPr>
    </w:p>
    <w:p>
      <w:pPr>
        <w:ind w:right="320" w:firstLine="451"/>
        <w:spacing w:after="0" w:line="254" w:lineRule="auto"/>
        <w:rPr>
          <w:sz w:val="20"/>
          <w:szCs w:val="20"/>
          <w:color w:val="auto"/>
        </w:rPr>
      </w:pPr>
      <w:r>
        <w:rPr>
          <w:rFonts w:ascii="Arial" w:cs="Arial" w:eastAsia="Arial" w:hAnsi="Arial"/>
          <w:sz w:val="15"/>
          <w:szCs w:val="15"/>
          <w:color w:val="auto"/>
        </w:rPr>
        <w:t>Since inception, we have incurred an accumulated deficit and may incur net losses in the foreseeable future. At September 30, 2021, we had an accumulated deficit of $727.2 million.</w:t>
      </w:r>
    </w:p>
    <w:p>
      <w:pPr>
        <w:spacing w:after="0" w:line="86" w:lineRule="exact"/>
        <w:rPr>
          <w:sz w:val="20"/>
          <w:szCs w:val="20"/>
          <w:color w:val="auto"/>
        </w:rPr>
      </w:pPr>
    </w:p>
    <w:p>
      <w:pPr>
        <w:ind w:right="140" w:firstLine="451"/>
        <w:spacing w:after="0" w:line="249" w:lineRule="auto"/>
        <w:rPr>
          <w:sz w:val="20"/>
          <w:szCs w:val="20"/>
          <w:color w:val="auto"/>
        </w:rPr>
      </w:pPr>
      <w:r>
        <w:rPr>
          <w:rFonts w:ascii="Arial" w:cs="Arial" w:eastAsia="Arial" w:hAnsi="Arial"/>
          <w:sz w:val="15"/>
          <w:szCs w:val="15"/>
          <w:color w:val="auto"/>
        </w:rPr>
        <w:t>We will need to generate and sustain increased revenue levels in future periods in order to maintain or increase our level of profitability. We expect our operating expenses to increase as we expand our operations. Furthermore, as a public company, we will incur legal, accounting and other expenses that we did not incur as a private company. If our revenue and gross profit do not continue to grow at a greater rate than our operating expenses, we will not be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0"/>
        <w:spacing w:after="0" w:line="249" w:lineRule="auto"/>
        <w:rPr>
          <w:sz w:val="20"/>
          <w:szCs w:val="20"/>
          <w:color w:val="auto"/>
        </w:rPr>
      </w:pPr>
      <w:r>
        <w:rPr>
          <w:rFonts w:ascii="Arial" w:cs="Arial" w:eastAsia="Arial" w:hAnsi="Arial"/>
          <w:sz w:val="15"/>
          <w:szCs w:val="15"/>
          <w:color w:val="auto"/>
        </w:rPr>
        <w:t>able to maintain or increase profitability. We may incur significant losses in the future for a number of reasons, including without limitation the other risks and uncertainties described herein. Additionally, we may encounter unforeseen operating or legal expenses, difficulties, complications, delays and other factors that may result in losses in future periods. If our expenses exceed our revenue, we would not maintain profitability and our business may be harmed.</w:t>
      </w:r>
    </w:p>
    <w:p>
      <w:pPr>
        <w:spacing w:after="0" w:line="72" w:lineRule="exact"/>
        <w:rPr>
          <w:sz w:val="20"/>
          <w:szCs w:val="20"/>
          <w:color w:val="auto"/>
        </w:rPr>
      </w:pPr>
    </w:p>
    <w:p>
      <w:pPr>
        <w:ind w:right="300" w:firstLine="361"/>
        <w:spacing w:after="0" w:line="280" w:lineRule="auto"/>
        <w:rPr>
          <w:sz w:val="20"/>
          <w:szCs w:val="20"/>
          <w:color w:val="auto"/>
        </w:rPr>
      </w:pPr>
      <w:r>
        <w:rPr>
          <w:rFonts w:ascii="Arial" w:cs="Arial" w:eastAsia="Arial" w:hAnsi="Arial"/>
          <w:sz w:val="15"/>
          <w:szCs w:val="15"/>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67" w:lineRule="exact"/>
        <w:rPr>
          <w:sz w:val="20"/>
          <w:szCs w:val="20"/>
          <w:color w:val="auto"/>
        </w:rPr>
      </w:pPr>
    </w:p>
    <w:p>
      <w:pPr>
        <w:ind w:right="160" w:firstLine="451"/>
        <w:spacing w:after="0" w:line="247" w:lineRule="auto"/>
        <w:rPr>
          <w:sz w:val="20"/>
          <w:szCs w:val="20"/>
          <w:color w:val="auto"/>
        </w:rPr>
      </w:pPr>
      <w:r>
        <w:rPr>
          <w:rFonts w:ascii="Arial" w:cs="Arial" w:eastAsia="Arial" w:hAnsi="Arial"/>
          <w:sz w:val="15"/>
          <w:szCs w:val="15"/>
          <w:color w:val="auto"/>
        </w:rPr>
        <w:t>In order to increase revenue and maintain profitability, we must attract new customers and retain existing customers. The rate at which new and existing customers purchase and renew subscriptions to our services depends on a number of factors, including those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92"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have made substantial investments in developing our websites, mobile platform, legal documents, educational content, customer relationship management, automated supply chain and fulfillment, integrated digital workflow management and other dynamic online processes that comprise our online legal platform to improve the quality of our services, customer care and customer experience. We also intend to add new services and enhance our existing product and services. For example, in October 2020, we introduced LZ Tax, a LegalZoom fulfilled tax advisory service. We may fail to attract new customers or lose existing customers if current or future development efforts or services fail to meet changing customer preferences on a timely basis or if the independent attorneys who participate in our legal services plan, or legal plan, or the tax experts who complete the tax preparation services in our network fail to provide accurate, high-quality services, customer care and customer experience. In addition, larger enterprises may demand more support services and features, which puts additional pressure on us to satisfy the increased support required for these customers. If we are unable to attract new customers or lose existing customers, our business, results of operations, financial condition and future prospects would be adversely affected.</w:t>
      </w:r>
    </w:p>
    <w:p>
      <w:pPr>
        <w:spacing w:after="0" w:line="96"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Additionally, we offer many forms of documents on our platform, such as business formations and wills, which must comply with the latest local jurisdiction requirements. While we have never experienced defects that have resulted in material liability, if there is a defect in any of our forms, or if we fail to timely update our forms to comply with new or modified jurisdiction requirements, this could result in negative consequences to our customers, legal liability, harm our brand and adversely affect our business, results of operations, financial condition and future prospects.</w:t>
      </w:r>
    </w:p>
    <w:p>
      <w:pPr>
        <w:spacing w:after="0" w:line="92"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The independent attorneys who participate in our legal plans and attorneys who fulfill our attorney assisted legal offerings, as well as accountants who fulfill our tax offering, are critical to the success of our business. The failure or perceived failure of these independent attorneys and accountants to satisfy customer expectations could impede our ability to attract and retain customers. 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Although we have not experienced this problem to date, there could be circumstances in which the attorneys who participate in our network and fulfill the attorney assisted offerings believe that in order to comply with these duties they may have to act against the interests of our stockholders and the short-term profitability of our business.</w:t>
      </w:r>
    </w:p>
    <w:p>
      <w:pPr>
        <w:spacing w:after="0" w:line="92"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In addition, because our platform is available over the internet or on mobile networks, we need to continually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continually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78"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b w:val="1"/>
          <w:bCs w:val="1"/>
          <w:i w:val="1"/>
          <w:iCs w:val="1"/>
          <w:color w:val="auto"/>
        </w:rPr>
        <w:t>If we do not continue to innovate and provide a platform that is useful to our customers, we may not remain competitive, and our results of operations could suffer.</w:t>
      </w:r>
    </w:p>
    <w:p>
      <w:pPr>
        <w:spacing w:after="0" w:line="67" w:lineRule="exact"/>
        <w:rPr>
          <w:sz w:val="20"/>
          <w:szCs w:val="20"/>
          <w:color w:val="auto"/>
        </w:rPr>
      </w:pPr>
    </w:p>
    <w:p>
      <w:pPr>
        <w:ind w:right="320" w:firstLine="451"/>
        <w:spacing w:after="0" w:line="249" w:lineRule="auto"/>
        <w:rPr>
          <w:sz w:val="20"/>
          <w:szCs w:val="20"/>
          <w:color w:val="auto"/>
        </w:rPr>
      </w:pPr>
      <w:r>
        <w:rPr>
          <w:rFonts w:ascii="Arial" w:cs="Arial" w:eastAsia="Arial" w:hAnsi="Arial"/>
          <w:sz w:val="15"/>
          <w:szCs w:val="15"/>
          <w:color w:val="auto"/>
        </w:rPr>
        <w:t>Our success depends on continued innovation to provide features that make our platform useful for our customers. We must continue to invest resources in technology and development in order to continually improve the simplicity and effectiveness of our platform. We may introduce significant changes to our platform or develop and introduce new and unproven services, including using technologies with which we have little or no prior development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or operating experience. We have in the past invested resources and introduced new services that have failed to produce the customer interest that we expected, and we have since removed these services from our platform.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business formations.</w:t>
      </w:r>
    </w:p>
    <w:p>
      <w:pPr>
        <w:spacing w:after="0" w:line="121"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Our success significantly depends on business formations. The majority of our transaction revenue is generated by providing formation services to guide our customers through the transition from being aspiring business owners to actually launching their entities. In each of 2019 and 2020 as well as for the nine-months periods ended September 30, 2020 and 2021, business formations represented the largest share of our total transaction orders. The number of business formations on our platform could decline or fluctuate as a result of a number of factors, including an overall decline in the number of U.S. business formations, an economic downturn, increased competition, regulatory obstacles, changes in law (including changes in tax laws and regulations) and dissatisfaction with our services. Any decline in the overall number of business formations or the number of business formations on our platform may adversely affect our business, results of operations, financial condition or future prospects.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subscription services are highly dependent upon our transaction products.</w:t>
      </w:r>
    </w:p>
    <w:p>
      <w:pPr>
        <w:spacing w:after="0" w:line="121" w:lineRule="exact"/>
        <w:rPr>
          <w:sz w:val="20"/>
          <w:szCs w:val="20"/>
          <w:color w:val="auto"/>
        </w:rPr>
      </w:pPr>
    </w:p>
    <w:p>
      <w:pPr>
        <w:ind w:right="140" w:firstLine="451"/>
        <w:spacing w:after="0" w:line="246" w:lineRule="auto"/>
        <w:rPr>
          <w:sz w:val="20"/>
          <w:szCs w:val="20"/>
          <w:color w:val="auto"/>
        </w:rPr>
      </w:pPr>
      <w:r>
        <w:rPr>
          <w:rFonts w:ascii="Arial" w:cs="Arial" w:eastAsia="Arial" w:hAnsi="Arial"/>
          <w:sz w:val="15"/>
          <w:szCs w:val="15"/>
          <w:color w:val="auto"/>
        </w:rPr>
        <w:t>For the past few years, a significant amount of our revenue has been derived from our subscription services. In 2020 and the nine months ended September 30, 2021, approximately 50% of our revenue came from subscriptions. Subscriptions have primarily originated from transactional customers who opted to become subscribers. However, we may not be able to predict whether sufficient numbers of our existing or new customers will continue to subscribe to our registered agent services, legal plans or other subscription services, or if they will continue to subscribe at the same rate. If we are unable to continue to convert our transactional customers to subscribers, our business, results of operations, financial condition and future prospects would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substantially on our subscribers renewing their subscriptions with us and expanding their use of our platform.</w:t>
      </w:r>
    </w:p>
    <w:p>
      <w:pPr>
        <w:spacing w:after="0" w:line="121" w:lineRule="exact"/>
        <w:rPr>
          <w:sz w:val="20"/>
          <w:szCs w:val="20"/>
          <w:color w:val="auto"/>
        </w:rPr>
      </w:pPr>
    </w:p>
    <w:p>
      <w:pPr>
        <w:ind w:right="80" w:firstLine="451"/>
        <w:spacing w:after="0" w:line="247" w:lineRule="auto"/>
        <w:rPr>
          <w:sz w:val="20"/>
          <w:szCs w:val="20"/>
          <w:color w:val="auto"/>
        </w:rPr>
      </w:pPr>
      <w:r>
        <w:rPr>
          <w:rFonts w:ascii="Arial" w:cs="Arial" w:eastAsia="Arial" w:hAnsi="Arial"/>
          <w:sz w:val="15"/>
          <w:szCs w:val="15"/>
          <w:color w:val="auto"/>
        </w:rPr>
        <w:t>A large portion of our revenue stream comes from our subscriptions for small businesses and individuals. For us to maintain or improve our operating results, it is important that we retain our existing customers and that our subscribers renew their subscriptions with us when the existing subscription term expires. Our subscribers have no obligation to renew their subscriptions upon expiration, and we cannot assure you that subscribers will renew subscriptions at the same or a higher level of service, if at all.</w:t>
      </w:r>
    </w:p>
    <w:p>
      <w:pPr>
        <w:spacing w:after="0" w:line="92" w:lineRule="exact"/>
        <w:rPr>
          <w:sz w:val="20"/>
          <w:szCs w:val="20"/>
          <w:color w:val="auto"/>
        </w:rPr>
      </w:pPr>
    </w:p>
    <w:p>
      <w:pPr>
        <w:ind w:right="200" w:firstLine="451"/>
        <w:spacing w:after="0" w:line="246" w:lineRule="auto"/>
        <w:rPr>
          <w:sz w:val="20"/>
          <w:szCs w:val="20"/>
          <w:color w:val="auto"/>
        </w:rPr>
      </w:pPr>
      <w:r>
        <w:rPr>
          <w:rFonts w:ascii="Arial" w:cs="Arial" w:eastAsia="Arial" w:hAnsi="Arial"/>
          <w:sz w:val="15"/>
          <w:szCs w:val="15"/>
          <w:color w:val="auto"/>
        </w:rPr>
        <w:t>We cannot accurately predict renewal rates. Our retention rate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offering, our pricing, the prices of competing products or services, the effects of global economic conditions, regulatory changes and reductions in subscribers’ spending levels. If we are unable to attract new subscribers to grow our subscription services, if subscribers cancel their subscriptions at a higher rate than anticipated or do not renew their subscriptions or renew on less favorable terms, our business, results of operations, financial condition and future prospects would be adversely affected. If our renewal rates fall below the expectations of the public market, securities analysts or investors, the price of our common stock could also be harmed.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ability to drive additional purchases and cross-sell to paying customers.</w:t>
      </w:r>
    </w:p>
    <w:p>
      <w:pPr>
        <w:spacing w:after="0" w:line="121"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Our future success depends on our ability to expand our relationships with our customers by selling additional solutions to serve their needs, by offering more subscription products that increase engagement. This may require more sophisticated and costly sales efforts. Similarly, the rate at which our customers purchase additional services from us depends on a number of factors, including general economic conditions and customer reaction to pricing of these services. If our efforts to sell additional services to our customers are not successful, our business, results of operations, financial condition or future prospects may be harmed.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legal solutions market is highly competitive.</w:t>
      </w:r>
    </w:p>
    <w:p>
      <w:pPr>
        <w:spacing w:after="0" w:line="121" w:lineRule="exact"/>
        <w:rPr>
          <w:sz w:val="20"/>
          <w:szCs w:val="20"/>
          <w:color w:val="auto"/>
        </w:rPr>
      </w:pPr>
    </w:p>
    <w:p>
      <w:pPr>
        <w:ind w:right="40" w:firstLine="451"/>
        <w:spacing w:after="0" w:line="245" w:lineRule="auto"/>
        <w:rPr>
          <w:sz w:val="20"/>
          <w:szCs w:val="20"/>
          <w:color w:val="auto"/>
        </w:rPr>
      </w:pPr>
      <w:r>
        <w:rPr>
          <w:rFonts w:ascii="Arial" w:cs="Arial" w:eastAsia="Arial" w:hAnsi="Arial"/>
          <w:sz w:val="15"/>
          <w:szCs w:val="15"/>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such as BizFilings, LegalShield, MyCorporation, and RocketLawyer, and law firms that may elect to pursue the online legal document services market, can and do directly compete with us. Law firms and solo attorneys, who provide in-person consultations and are able to provide direct legal advice that we cannot offer due to laws and regulations regarding the unauthorized practice of law, or UPL, compete with us offline and have or may develop competing online legal services. We compete in the registered agent services business with several companies that target small businesses, including Wolters Kluwer, and these competitors have extensive experience in this market. In addition, if U.S. state agencies increase their offerings of free and easy-to-use business formation services, such as LLC formations 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80"/>
        <w:spacing w:after="0" w:line="249" w:lineRule="auto"/>
        <w:rPr>
          <w:sz w:val="20"/>
          <w:szCs w:val="20"/>
          <w:color w:val="auto"/>
        </w:rPr>
      </w:pPr>
      <w:r>
        <w:rPr>
          <w:rFonts w:ascii="Arial" w:cs="Arial" w:eastAsia="Arial" w:hAnsi="Arial"/>
          <w:sz w:val="15"/>
          <w:szCs w:val="15"/>
          <w:color w:val="auto"/>
        </w:rPr>
        <w:t>other document filings, or filing portals to the public, it could have a significant adverse effect on our business, financial condition or results of operations. For example, states such as Nevada and Louisiana offer online portals where consumers may file their articles of organization for free other than filing fees. We also compete in tax advisory service business with several companies, including H&amp;R Block and Jackson Hewitt.</w:t>
      </w:r>
    </w:p>
    <w:p>
      <w:pPr>
        <w:spacing w:after="0" w:line="90" w:lineRule="exact"/>
        <w:rPr>
          <w:sz w:val="20"/>
          <w:szCs w:val="20"/>
          <w:color w:val="auto"/>
        </w:rPr>
      </w:pPr>
    </w:p>
    <w:p>
      <w:pPr>
        <w:ind w:right="400" w:firstLine="451"/>
        <w:spacing w:after="0" w:line="249" w:lineRule="auto"/>
        <w:rPr>
          <w:sz w:val="20"/>
          <w:szCs w:val="20"/>
          <w:color w:val="auto"/>
        </w:rPr>
      </w:pPr>
      <w:r>
        <w:rPr>
          <w:rFonts w:ascii="Arial" w:cs="Arial" w:eastAsia="Arial" w:hAnsi="Arial"/>
          <w:sz w:val="15"/>
          <w:szCs w:val="15"/>
          <w:color w:val="auto"/>
        </w:rPr>
        <w:t>We may also face potential competition from large internet providers, such as Amazon or Alphabet, who may choose to enter into the online legal solutions business. These businesses have disrupted multiple industries and routinely enter new verticals. While they have no particular expertise in providing legal solutions online, their extensive resources and brand recognition would make them formidable competitors and could adversely affect our business.</w:t>
      </w:r>
    </w:p>
    <w:p>
      <w:pPr>
        <w:spacing w:after="0" w:line="90"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Our direct and indirect competitors, whether they are online legal document providers, legal plan providers, law firms, accounting firms, solo attorneys or large internet providers, may also be developing innovative and cost-effective services, including automated corporate formation document processing, that target our existing and potential customers. We expect to face increasing competition from offline and online legal services providers in our market, and our failure to effectively compete with these providers could result in revenue reductions, reduced margins, and loss of market share, any of which could materially and adversely affect our business, results of operations, financial condition and future prospects.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brand and reputation.</w:t>
      </w:r>
    </w:p>
    <w:p>
      <w:pPr>
        <w:spacing w:after="0" w:line="121"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spacing w:after="0" w:line="94" w:lineRule="exact"/>
        <w:rPr>
          <w:sz w:val="20"/>
          <w:szCs w:val="20"/>
          <w:color w:val="auto"/>
        </w:rPr>
      </w:pPr>
    </w:p>
    <w:p>
      <w:pPr>
        <w:ind w:right="60" w:firstLine="451"/>
        <w:spacing w:after="0" w:line="245" w:lineRule="auto"/>
        <w:rPr>
          <w:sz w:val="20"/>
          <w:szCs w:val="20"/>
          <w:color w:val="auto"/>
        </w:rPr>
      </w:pPr>
      <w:r>
        <w:rPr>
          <w:rFonts w:ascii="Arial" w:cs="Arial" w:eastAsia="Arial" w:hAnsi="Arial"/>
          <w:sz w:val="15"/>
          <w:szCs w:val="15"/>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96" w:lineRule="exact"/>
        <w:rPr>
          <w:sz w:val="20"/>
          <w:szCs w:val="20"/>
          <w:color w:val="auto"/>
        </w:rPr>
      </w:pPr>
    </w:p>
    <w:p>
      <w:pPr>
        <w:ind w:firstLine="451"/>
        <w:spacing w:after="0" w:line="254" w:lineRule="auto"/>
        <w:rPr>
          <w:sz w:val="20"/>
          <w:szCs w:val="20"/>
          <w:color w:val="auto"/>
        </w:rPr>
      </w:pPr>
      <w:r>
        <w:rPr>
          <w:rFonts w:ascii="Arial" w:cs="Arial" w:eastAsia="Arial" w:hAnsi="Arial"/>
          <w:sz w:val="15"/>
          <w:szCs w:val="15"/>
          <w:color w:val="auto"/>
        </w:rPr>
        <w:t>Furthermore, our brand and reputation are in part reliant on third 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68" w:lineRule="exact"/>
        <w:rPr>
          <w:sz w:val="20"/>
          <w:szCs w:val="20"/>
          <w:color w:val="auto"/>
        </w:rPr>
      </w:pPr>
    </w:p>
    <w:p>
      <w:pPr>
        <w:ind w:right="140"/>
        <w:spacing w:after="0" w:line="280" w:lineRule="auto"/>
        <w:rPr>
          <w:sz w:val="20"/>
          <w:szCs w:val="20"/>
          <w:color w:val="auto"/>
        </w:rPr>
      </w:pPr>
      <w:r>
        <w:rPr>
          <w:rFonts w:ascii="Arial" w:cs="Arial" w:eastAsia="Arial" w:hAnsi="Arial"/>
          <w:sz w:val="15"/>
          <w:szCs w:val="15"/>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67" w:lineRule="exact"/>
        <w:rPr>
          <w:sz w:val="20"/>
          <w:szCs w:val="20"/>
          <w:color w:val="auto"/>
        </w:rPr>
      </w:pPr>
    </w:p>
    <w:p>
      <w:pPr>
        <w:ind w:right="580" w:firstLine="451"/>
        <w:spacing w:after="0" w:line="254" w:lineRule="auto"/>
        <w:rPr>
          <w:sz w:val="20"/>
          <w:szCs w:val="20"/>
          <w:color w:val="auto"/>
        </w:rPr>
      </w:pPr>
      <w:r>
        <w:rPr>
          <w:rFonts w:ascii="Arial" w:cs="Arial" w:eastAsia="Arial" w:hAnsi="Arial"/>
          <w:sz w:val="15"/>
          <w:szCs w:val="15"/>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86" w:lineRule="exact"/>
        <w:rPr>
          <w:sz w:val="20"/>
          <w:szCs w:val="20"/>
          <w:color w:val="auto"/>
        </w:rPr>
      </w:pPr>
    </w:p>
    <w:p>
      <w:pPr>
        <w:ind w:right="40" w:firstLine="451"/>
        <w:spacing w:after="0" w:line="245" w:lineRule="auto"/>
        <w:rPr>
          <w:sz w:val="20"/>
          <w:szCs w:val="20"/>
          <w:color w:val="auto"/>
        </w:rPr>
      </w:pPr>
      <w:r>
        <w:rPr>
          <w:rFonts w:ascii="Arial" w:cs="Arial" w:eastAsia="Arial" w:hAnsi="Arial"/>
          <w:sz w:val="15"/>
          <w:szCs w:val="15"/>
          <w:color w:val="auto"/>
        </w:rPr>
        <w:t>We rely on both algorithmic and paid listing internet search results to drive customer traffic to our websites. Algorithmic listings are determined and displayed solely by a set of formulas designed by internet search engine companies, such as Google and Bing. Paid listings can be purchased and then are displayed if particular words or terms are included in a customer’s internet search. We bid on words or terms we expect customers will use to search for our services in a search engine’s auction system for preferred placement on its results page. Placement in paid listings is generally not determined solely on the bid price, but also considers the search engine's assessment of the quality of the website featured in the paid listing and other factors.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Changes in search algorithms could cause our websites to receive less favorable placement and reduce traffic to our websites. In addition, we bid for paid listings against our competitors and third 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could limit the ability of search engines and social media platforms, including but not limited to Google and Facebook, to collect data from users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engage in targeted advertising, making them less effective in disseminating our advertisements to our target customers.</w:t>
      </w:r>
    </w:p>
    <w:p>
      <w:pPr>
        <w:spacing w:after="0" w:line="103" w:lineRule="exact"/>
        <w:rPr>
          <w:sz w:val="20"/>
          <w:szCs w:val="20"/>
          <w:color w:val="auto"/>
        </w:rPr>
      </w:pPr>
    </w:p>
    <w:p>
      <w:pPr>
        <w:ind w:right="80" w:firstLine="451"/>
        <w:spacing w:after="0" w:line="254" w:lineRule="auto"/>
        <w:rPr>
          <w:sz w:val="20"/>
          <w:szCs w:val="20"/>
          <w:color w:val="auto"/>
        </w:rPr>
      </w:pPr>
      <w:r>
        <w:rPr>
          <w:rFonts w:ascii="Arial" w:cs="Arial" w:eastAsia="Arial" w:hAnsi="Arial"/>
          <w:sz w:val="15"/>
          <w:szCs w:val="15"/>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68" w:lineRule="exact"/>
        <w:rPr>
          <w:sz w:val="20"/>
          <w:szCs w:val="20"/>
          <w:color w:val="auto"/>
        </w:rPr>
      </w:pPr>
    </w:p>
    <w:p>
      <w:pPr>
        <w:ind w:right="340"/>
        <w:spacing w:after="0" w:line="280" w:lineRule="auto"/>
        <w:rPr>
          <w:sz w:val="20"/>
          <w:szCs w:val="20"/>
          <w:color w:val="auto"/>
        </w:rPr>
      </w:pPr>
      <w:r>
        <w:rPr>
          <w:rFonts w:ascii="Arial" w:cs="Arial" w:eastAsia="Arial" w:hAnsi="Arial"/>
          <w:sz w:val="15"/>
          <w:szCs w:val="15"/>
          <w:b w:val="1"/>
          <w:bCs w:val="1"/>
          <w:i w:val="1"/>
          <w:iCs w:val="1"/>
          <w:color w:val="auto"/>
        </w:rPr>
        <w:t>We depend on top talent, including our senior management team, to grow and operate our business, and if we are unable to hire, retain and motivate our employees, we may not be able to grow effectively, which may adversely affect our business and future prospects.</w:t>
      </w:r>
    </w:p>
    <w:p>
      <w:pPr>
        <w:spacing w:after="0" w:line="67"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Our future success will depend upon our continued ability to identify, hire, develop, motivate and retain top talent. Competition for such talent is intense. We have from time to time experienced, and we expect to continue to experience, difficulty in hiring and retaining highly skilled employees with appropriate qualifications which may, among other things, impede our ability to execute our growth strategies. If we are not able to effectively attract and retain quality employees, our ability to achieve our strategic objectives will be adversely impacted, our brand or reputation could suffer, and our business may be adversely affected. Our ability to execute efficiently depends upon contributions from all of our employees and our senior management team. In addition, from time to time, there may be changes in our senior management team that may be disruptive to our business. If our senior management team, including any new hires that we may make, fails to work together effectively and execute our plans and strategies on a timely basis, our business and future prospects may be adversely affected.</w:t>
      </w:r>
    </w:p>
    <w:p>
      <w:pPr>
        <w:spacing w:after="0" w:line="92"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If we cannot attract additional, qualified independent attorneys to participate in our legal plan network to service the needs of our legal plan subscribers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effectively and our business, revenue, results of operations and future prospects may be adversely affected.</w:t>
      </w:r>
    </w:p>
    <w:p>
      <w:pPr>
        <w:spacing w:after="0" w:line="74" w:lineRule="exact"/>
        <w:rPr>
          <w:sz w:val="20"/>
          <w:szCs w:val="20"/>
          <w:color w:val="auto"/>
        </w:rPr>
      </w:pPr>
    </w:p>
    <w:p>
      <w:pPr>
        <w:ind w:right="400"/>
        <w:spacing w:after="0" w:line="280" w:lineRule="auto"/>
        <w:rPr>
          <w:sz w:val="20"/>
          <w:szCs w:val="20"/>
          <w:color w:val="auto"/>
        </w:rPr>
      </w:pPr>
      <w:r>
        <w:rPr>
          <w:rFonts w:ascii="Arial" w:cs="Arial" w:eastAsia="Arial" w:hAnsi="Arial"/>
          <w:sz w:val="15"/>
          <w:szCs w:val="15"/>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67"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We depend on, and anticipate we will continue to depend on, various third-party relationships to sustain and grow our business. For example, we partner with a variety of third parties to provide business license services, bookkeeping services,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due to third parties’ failure to maintain, 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93"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In addition, integrating third-party technology can be complex, costly, and time-consuming. Third parties may be unwilling to build integrations, and we may be required to devote additional resources to develop integrations for business applications on our own. The contracts applicable to third parties’ development tools may be unfavorable and add costs or risks to our business or may require us to push additional contract terms to our customers that affect our relationship with our customers.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and harm to our business. If we are unable to respond to these changes or failures in a cost-effective manner, our solutions may become less marketable, less competitive or obsolete, and our results of operations may be negatively impacted.</w:t>
      </w:r>
    </w:p>
    <w:p>
      <w:pPr>
        <w:spacing w:after="0" w:line="77" w:lineRule="exact"/>
        <w:rPr>
          <w:sz w:val="20"/>
          <w:szCs w:val="20"/>
          <w:color w:val="auto"/>
        </w:rPr>
      </w:pPr>
    </w:p>
    <w:p>
      <w:pPr>
        <w:jc w:val="both"/>
        <w:ind w:right="260"/>
        <w:spacing w:after="0" w:line="262" w:lineRule="auto"/>
        <w:rPr>
          <w:sz w:val="20"/>
          <w:szCs w:val="20"/>
          <w:color w:val="auto"/>
        </w:rPr>
      </w:pPr>
      <w:r>
        <w:rPr>
          <w:rFonts w:ascii="Arial" w:cs="Arial" w:eastAsia="Arial" w:hAnsi="Arial"/>
          <w:sz w:val="15"/>
          <w:szCs w:val="15"/>
          <w:b w:val="1"/>
          <w:bCs w:val="1"/>
          <w:i w:val="1"/>
          <w:iCs w:val="1"/>
          <w:color w:val="auto"/>
        </w:rPr>
        <w:t>If we are unable to effectively manage and minimize errors, failures, interruptions or delays caused by third parties, or if our third-party service providers cease to do business with us, our ability to deliver services to our customers, business, brand and reputation and results of operations may be adversely affected.</w:t>
      </w:r>
    </w:p>
    <w:p>
      <w:pPr>
        <w:spacing w:after="0" w:line="80"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rely on third parties to fulfill portions of the services we offer and to support our operations. For example, we rely on government agencies, including secretary of state offices and the U.S. Patent and Trademark Office, to process business formation documents and intellectual property applications. If these agencies are unable or refuse to process submissions in a timely manner, including as a result of any government shutdowns or slowdowns, our brand and reputation may be adversely affected, or customers may seek other avenues for their business formation or intellectual property needs. We also utilize other third parties in connection with the fulfillment and distribution of our services, including the independent attorneys in our legal plan network, as well as accountants and tax professionals through our subscription plans, and a third party to support our registered agent subscription services. Our platform also interoperates with certain third-party sites. As a result, our results may be affected by the performance of those parties and the interoperability of our platform with other sites. If certain third parties limit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20"/>
        <w:spacing w:after="0" w:line="254" w:lineRule="auto"/>
        <w:rPr>
          <w:sz w:val="20"/>
          <w:szCs w:val="20"/>
          <w:color w:val="auto"/>
        </w:rPr>
      </w:pPr>
      <w:r>
        <w:rPr>
          <w:rFonts w:ascii="Arial" w:cs="Arial" w:eastAsia="Arial" w:hAnsi="Arial"/>
          <w:sz w:val="15"/>
          <w:szCs w:val="15"/>
          <w:color w:val="auto"/>
        </w:rPr>
        <w:t>certain integration functionality, change their treatment of our services at any time, or experience quality issues, such as bugs and defects, our revenue, results of operations and future prospects may be adversely affected.</w:t>
      </w:r>
    </w:p>
    <w:p>
      <w:pPr>
        <w:spacing w:after="0" w:line="86"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In addition, we may be unable to renew or replace our agreements with these third parties on comparable terms, or at all. Moreover, we cannot guarantee that the parties with which we have relationships can and will continue to devote the resources necessary to operate and expand our platform. Further, some of these third parties offer, or could offer, competing services or also work with our competitors. As a result of these factors, many of these third parties may choose to develop alternative services in addition to, or in lieu of, our platform, either on their own or in collaboration with others, including our competitors.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We may also be held responsible for obligations that arise from the actions or omissions of these third parties.</w:t>
      </w:r>
    </w:p>
    <w:p>
      <w:pPr>
        <w:spacing w:after="0" w:line="92" w:lineRule="exact"/>
        <w:rPr>
          <w:sz w:val="20"/>
          <w:szCs w:val="20"/>
          <w:color w:val="auto"/>
        </w:rPr>
      </w:pPr>
    </w:p>
    <w:p>
      <w:pPr>
        <w:ind w:right="20" w:firstLine="451"/>
        <w:spacing w:after="0" w:line="245" w:lineRule="auto"/>
        <w:rPr>
          <w:sz w:val="20"/>
          <w:szCs w:val="20"/>
          <w:color w:val="auto"/>
        </w:rPr>
      </w:pPr>
      <w:r>
        <w:rPr>
          <w:rFonts w:ascii="Arial" w:cs="Arial" w:eastAsia="Arial" w:hAnsi="Arial"/>
          <w:sz w:val="15"/>
          <w:szCs w:val="15"/>
          <w:color w:val="auto"/>
        </w:rPr>
        <w:t>We also utilize various types of data, technology, intellectual property and services licensed or otherwise obtained from unaffiliated third parties in order to provide certain elements of our solutions. We exercise limited control over these third 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successfully address the evolving market for transactions on mobile devices and to build mobile products could harm our business.</w:t>
      </w:r>
    </w:p>
    <w:p>
      <w:pPr>
        <w:spacing w:after="0" w:line="121" w:lineRule="exact"/>
        <w:rPr>
          <w:sz w:val="20"/>
          <w:szCs w:val="20"/>
          <w:color w:val="auto"/>
        </w:rPr>
      </w:pPr>
    </w:p>
    <w:p>
      <w:pPr>
        <w:ind w:right="40" w:firstLine="451"/>
        <w:spacing w:after="0" w:line="247" w:lineRule="auto"/>
        <w:rPr>
          <w:sz w:val="20"/>
          <w:szCs w:val="20"/>
          <w:color w:val="auto"/>
        </w:rPr>
      </w:pPr>
      <w:r>
        <w:rPr>
          <w:rFonts w:ascii="Arial" w:cs="Arial" w:eastAsia="Arial" w:hAnsi="Arial"/>
          <w:sz w:val="15"/>
          <w:szCs w:val="15"/>
          <w:color w:val="auto"/>
        </w:rPr>
        <w:t>A significant and growing portion of our customers access our platform through mobile devices. Almost half of our traffic is through mobile devices. The number of people who access the internet and purchase services through mobile devices, including smartphones and handheld tablets or computers, has increased significantly in the past few years and is expected to continue to increase. If we are not able to provide customers with the experience and solutions they want on mobile devices, we may not be able to attract or retain customers or convert our website traffic into customers and our business may be harmed.</w:t>
      </w:r>
    </w:p>
    <w:p>
      <w:pPr>
        <w:spacing w:after="0" w:line="92"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While we have created mobile applications and versions of some of our web content, if these mobile applications and versions are not well received by customers, or if they don’t offer the information, services and functionality required by customers that widely use mobile devices, our business may suffer and we may experience difficulty in attracting and retaining customers.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or invest in companies, which may divert our management’s attention and result in additional dilution to our stockholders.</w:t>
      </w:r>
    </w:p>
    <w:p>
      <w:pPr>
        <w:spacing w:after="0" w:line="121"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acquisitions, whether or not they are consummated, include:</w:t>
      </w:r>
    </w:p>
    <w:p>
      <w:pPr>
        <w:spacing w:after="0" w:line="92" w:lineRule="exact"/>
        <w:rPr>
          <w:sz w:val="20"/>
          <w:szCs w:val="20"/>
          <w:color w:val="auto"/>
        </w:rPr>
      </w:pPr>
    </w:p>
    <w:p>
      <w:pPr>
        <w:ind w:left="900" w:right="60" w:hanging="448"/>
        <w:spacing w:after="0" w:line="249" w:lineRule="auto"/>
        <w:tabs>
          <w:tab w:leader="none" w:pos="89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 acquisition may negatively affect our results of operations because it may require us to incur charges or assume substantial debt or other liabilities, may cause adverse tax consequences,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00" w:right="100" w:hanging="448"/>
        <w:spacing w:after="0" w:line="254" w:lineRule="auto"/>
        <w:tabs>
          <w:tab w:leader="none" w:pos="8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86" w:lineRule="exact"/>
        <w:rPr>
          <w:rFonts w:ascii="Arial" w:cs="Arial" w:eastAsia="Arial" w:hAnsi="Arial"/>
          <w:sz w:val="15"/>
          <w:szCs w:val="15"/>
          <w:color w:val="auto"/>
        </w:rPr>
      </w:pPr>
    </w:p>
    <w:p>
      <w:pPr>
        <w:ind w:left="900" w:hanging="448"/>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not be able to realize anticipated synergies;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acquisition may disrupt our ongoing business, divert resources, increase our expenses and distract our management;</w:t>
      </w:r>
    </w:p>
    <w:p>
      <w:pPr>
        <w:spacing w:after="0" w:line="103" w:lineRule="exact"/>
        <w:rPr>
          <w:rFonts w:ascii="Arial" w:cs="Arial" w:eastAsia="Arial" w:hAnsi="Arial"/>
          <w:sz w:val="15"/>
          <w:szCs w:val="15"/>
          <w:color w:val="auto"/>
        </w:rPr>
      </w:pPr>
    </w:p>
    <w:p>
      <w:pPr>
        <w:ind w:left="900" w:right="40" w:hanging="448"/>
        <w:spacing w:after="0" w:line="254" w:lineRule="auto"/>
        <w:tabs>
          <w:tab w:leader="none" w:pos="8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acquisition may result in a delay or reduction of customer purchases for both us and the company acquired due to customer uncertainty about continuity and effectiveness of service from either company;</w:t>
      </w:r>
    </w:p>
    <w:p>
      <w:pPr>
        <w:spacing w:after="0" w:line="86" w:lineRule="exact"/>
        <w:rPr>
          <w:rFonts w:ascii="Arial" w:cs="Arial" w:eastAsia="Arial" w:hAnsi="Arial"/>
          <w:sz w:val="15"/>
          <w:szCs w:val="15"/>
          <w:color w:val="auto"/>
        </w:rPr>
      </w:pPr>
    </w:p>
    <w:p>
      <w:pPr>
        <w:ind w:left="900" w:hanging="448"/>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encounter challenges integrating the employees of the acquired company into our company culture;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find it difficult to, or may be unable to, successfully sell any acquired services or products;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use of cash to pay for acquisitions would limit other potential uses for our cash;</w:t>
      </w:r>
    </w:p>
    <w:p>
      <w:pPr>
        <w:spacing w:after="0" w:line="103" w:lineRule="exact"/>
        <w:rPr>
          <w:rFonts w:ascii="Arial" w:cs="Arial" w:eastAsia="Arial" w:hAnsi="Arial"/>
          <w:sz w:val="15"/>
          <w:szCs w:val="15"/>
          <w:color w:val="auto"/>
        </w:rPr>
      </w:pPr>
    </w:p>
    <w:p>
      <w:pPr>
        <w:ind w:left="900" w:right="520" w:hanging="448"/>
        <w:spacing w:after="0" w:line="254" w:lineRule="auto"/>
        <w:tabs>
          <w:tab w:leader="none" w:pos="8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incur debt to fund any acquisitions, such debt may subject us to material restrictions on our ability to conduct our business due to new financial maintenance and other covenants; and</w:t>
      </w:r>
    </w:p>
    <w:p>
      <w:pPr>
        <w:spacing w:after="0" w:line="86" w:lineRule="exact"/>
        <w:rPr>
          <w:rFonts w:ascii="Arial" w:cs="Arial" w:eastAsia="Arial" w:hAnsi="Arial"/>
          <w:sz w:val="15"/>
          <w:szCs w:val="15"/>
          <w:color w:val="auto"/>
        </w:rPr>
      </w:pPr>
    </w:p>
    <w:p>
      <w:pPr>
        <w:ind w:left="900" w:right="60" w:hanging="448"/>
        <w:spacing w:after="0" w:line="254" w:lineRule="auto"/>
        <w:tabs>
          <w:tab w:leader="none" w:pos="8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issue a significant amount of equity securities in connection with future acquisitions, existing stockholders may be diluted and earnings per share may decrease.</w:t>
      </w:r>
    </w:p>
    <w:p>
      <w:pPr>
        <w:spacing w:after="0" w:line="86" w:lineRule="exact"/>
        <w:rPr>
          <w:sz w:val="20"/>
          <w:szCs w:val="20"/>
          <w:color w:val="auto"/>
        </w:rPr>
      </w:pPr>
    </w:p>
    <w:p>
      <w:pPr>
        <w:ind w:right="100" w:firstLine="451"/>
        <w:spacing w:after="0" w:line="249" w:lineRule="auto"/>
        <w:rPr>
          <w:sz w:val="20"/>
          <w:szCs w:val="20"/>
          <w:color w:val="auto"/>
        </w:rPr>
      </w:pPr>
      <w:r>
        <w:rPr>
          <w:rFonts w:ascii="Arial" w:cs="Arial" w:eastAsia="Arial" w:hAnsi="Arial"/>
          <w:sz w:val="15"/>
          <w:szCs w:val="15"/>
          <w:color w:val="auto"/>
        </w:rPr>
        <w:t>We have in the past faced these difficulties in connection with successfully integrating some of our acquisitions and we may face similar problems in the future. We may also decide to restructure, divest or sell businesses, products or technologies that we have acquired or invested in. The occurrence of any of these risks could have an adverse effect on our business, results of operations, financial condition and future prospects and could adversely affect the market price of our common stock.</w:t>
      </w:r>
    </w:p>
    <w:p>
      <w:pPr>
        <w:spacing w:after="0" w:line="72" w:lineRule="exact"/>
        <w:rPr>
          <w:sz w:val="20"/>
          <w:szCs w:val="20"/>
          <w:color w:val="auto"/>
        </w:rPr>
      </w:pPr>
    </w:p>
    <w:p>
      <w:pPr>
        <w:jc w:val="both"/>
        <w:ind w:right="700"/>
        <w:spacing w:after="0" w:line="262" w:lineRule="auto"/>
        <w:rPr>
          <w:sz w:val="20"/>
          <w:szCs w:val="20"/>
          <w:color w:val="auto"/>
        </w:rPr>
      </w:pPr>
      <w:r>
        <w:rPr>
          <w:rFonts w:ascii="Arial" w:cs="Arial" w:eastAsia="Arial" w:hAnsi="Arial"/>
          <w:sz w:val="15"/>
          <w:szCs w:val="15"/>
          <w:b w:val="1"/>
          <w:bCs w:val="1"/>
          <w:i w:val="1"/>
          <w:iCs w:val="1"/>
          <w:color w:val="auto"/>
        </w:rPr>
        <w:t>Our focus on the long-term best interests of our company and our consideration of all of our stakeholders,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80"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believe that focusing on the long-term best interests of our company and our consideration of all of our stakeholders, including our stockholders, customers,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enable equitable access to legal and compliance services, investing in our relationships with our customers, partners, and employees, investing in and introducing new services, or changes in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spacing w:after="0" w:line="76" w:lineRule="exact"/>
        <w:rPr>
          <w:sz w:val="20"/>
          <w:szCs w:val="20"/>
          <w:color w:val="auto"/>
        </w:rPr>
      </w:pPr>
    </w:p>
    <w:p>
      <w:pPr>
        <w:ind w:right="240"/>
        <w:spacing w:after="0" w:line="262" w:lineRule="auto"/>
        <w:rPr>
          <w:sz w:val="20"/>
          <w:szCs w:val="20"/>
          <w:color w:val="auto"/>
        </w:rPr>
      </w:pPr>
      <w:r>
        <w:rPr>
          <w:rFonts w:ascii="Arial" w:cs="Arial" w:eastAsia="Arial" w:hAnsi="Arial"/>
          <w:sz w:val="15"/>
          <w:szCs w:val="15"/>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80"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A key element of our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In addition, any steps we take to increase the reliability and redundancy of our systems may be expensive and may not be successful in preventing system failures. At times we have experienced, or may in the future experience, website disruptions, outages, and other performance problems due to a variety of factors, including infrastructure maintenance, human or software errors, ransomware attacks, capacity constraints, denial of service, fraud or security attacks. In some instances, we may not be able to identify the cause or causes of these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If our websites or mobile applications are unavailable when customers attempt to access them, our customers may seek other solutions to address their needs and may not return to our websites or mobile applications in the future.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92"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In particular, our online services may be vulnerable to denial or degradation of service attacks or ransomware attacks, which are designed to adversely impact our operations by reducing the capacity or availability of our IT systems, the speed of operations of online services or disrupt the public’s ability to access websites or applications. Although we have taken steps to prevent these attacks and mitigate their potential impact on our systems and operations, such steps may be ineffective to prevent service disruptions or outages. We have experienced denial-of-service attacks in the past, and we may be subject to additional attacks or threats of attacks in the future. Any similar events or failure to maintain performance, reliability, security and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Further,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loss of customers, litigation and other liabilities.</w:t>
      </w:r>
    </w:p>
    <w:p>
      <w:pPr>
        <w:spacing w:after="0" w:line="96" w:lineRule="exact"/>
        <w:rPr>
          <w:sz w:val="20"/>
          <w:szCs w:val="20"/>
          <w:color w:val="auto"/>
        </w:rPr>
      </w:pPr>
    </w:p>
    <w:p>
      <w:pPr>
        <w:ind w:right="100" w:firstLine="451"/>
        <w:spacing w:after="0" w:line="245" w:lineRule="auto"/>
        <w:rPr>
          <w:sz w:val="20"/>
          <w:szCs w:val="20"/>
          <w:color w:val="auto"/>
        </w:rPr>
      </w:pPr>
      <w:r>
        <w:rPr>
          <w:rFonts w:ascii="Arial" w:cs="Arial" w:eastAsia="Arial" w:hAnsi="Arial"/>
          <w:sz w:val="15"/>
          <w:szCs w:val="15"/>
          <w:color w:val="auto"/>
        </w:rPr>
        <w:t>Our operations and online services also rely on the continued functioning and accessibility of certain physical locations, including our product fulfillment locations and data centers, which are vulnerable to damage or interruption from natural disasters, adverse weather conditions, power losses, telecommunication failures, terrorist attacks, human errors, break-ins and similar events. The occurrence of a natural disaster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located, are subject to the increased risk of wildfires, tornadoes and power outages, we are particularly sensitive to the risk of damage to, or total destruction of, our primary offices and two of our key fulfillment and delivery centers. Although we are insured up to certain limits against any certain losses or expenses that may result from a disruption to our business due to earthquakes or wildfires, either of these events, if incurred, could adversely affect our business, results of operations, financial condition and future prospects.</w:t>
      </w:r>
    </w:p>
    <w:p>
      <w:pPr>
        <w:spacing w:after="0" w:line="78" w:lineRule="exact"/>
        <w:rPr>
          <w:sz w:val="20"/>
          <w:szCs w:val="20"/>
          <w:color w:val="auto"/>
        </w:rPr>
      </w:pPr>
    </w:p>
    <w:p>
      <w:pPr>
        <w:ind w:right="560"/>
        <w:spacing w:after="0" w:line="280" w:lineRule="auto"/>
        <w:rPr>
          <w:sz w:val="20"/>
          <w:szCs w:val="20"/>
          <w:color w:val="auto"/>
        </w:rPr>
      </w:pPr>
      <w:r>
        <w:rPr>
          <w:rFonts w:ascii="Arial" w:cs="Arial" w:eastAsia="Arial" w:hAnsi="Arial"/>
          <w:sz w:val="15"/>
          <w:szCs w:val="15"/>
          <w:b w:val="1"/>
          <w:bCs w:val="1"/>
          <w:i w:val="1"/>
          <w:iCs w:val="1"/>
          <w:color w:val="auto"/>
        </w:rPr>
        <w:t>We have been or are involved in, and may in the future become involved in, litigation matters that are expensive and time consuming, and, if resolved adversely, could harm our brand and reputation, business, results of operations, financial condition or future prospects.</w:t>
      </w:r>
    </w:p>
    <w:p>
      <w:pPr>
        <w:spacing w:after="0" w:line="67" w:lineRule="exact"/>
        <w:rPr>
          <w:sz w:val="20"/>
          <w:szCs w:val="20"/>
          <w:color w:val="auto"/>
        </w:rPr>
      </w:pPr>
    </w:p>
    <w:p>
      <w:pPr>
        <w:ind w:right="60" w:firstLine="451"/>
        <w:spacing w:after="0" w:line="245" w:lineRule="auto"/>
        <w:rPr>
          <w:sz w:val="20"/>
          <w:szCs w:val="20"/>
          <w:color w:val="auto"/>
        </w:rPr>
      </w:pPr>
      <w:r>
        <w:rPr>
          <w:rFonts w:ascii="Arial" w:cs="Arial" w:eastAsia="Arial" w:hAnsi="Arial"/>
          <w:sz w:val="15"/>
          <w:szCs w:val="15"/>
          <w:color w:val="auto"/>
        </w:rPr>
        <w:t>We have been or are involved in lawsuits and other actions brought by customers, purported competitors, regulators, and other parties alleging that we engage in the unauthorized practice of law, unfairly compete or otherwise violate the law. The plaintiffs in these actions generally seek monetary damages, penalties, and/or injunctive relief. While we have denied and continue to deny all of the allegations and claims asserted in these proceedings, and we believe our services do not constitute the practice of law, unfairly compete or otherwise violate the law, we cannot predict the outcome of such proceedings or the amount of time and expense that will be required to resolve these and other proceedings. If such litigation were to be determined adversely to our interests, or if we were forced to settle such matters for a significant amount, such resolutions or settlements could have a negative effect on our business, results of operations, financial condition and future prospects. We anticipate that we will continue to be a target for such lawsuits in the future. Any litigation to which we are a party may result in an onerous or unfavorable judgment that may not be reversed upon appeal, or we may decide to settle lawsuits on unfavorable terms. In addition, defending these claims is costly and can impose a significant burden on management and employees, and we may receive unfavorable preliminary or interim rulings in the course of litigation.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194" w:lineRule="exact"/>
        <w:rPr>
          <w:sz w:val="20"/>
          <w:szCs w:val="20"/>
          <w:color w:val="auto"/>
        </w:rPr>
      </w:pPr>
    </w:p>
    <w:p>
      <w:pPr>
        <w:ind w:right="20" w:firstLine="451"/>
        <w:spacing w:after="0" w:line="245" w:lineRule="auto"/>
        <w:rPr>
          <w:sz w:val="20"/>
          <w:szCs w:val="20"/>
          <w:color w:val="auto"/>
        </w:rPr>
      </w:pPr>
      <w:r>
        <w:rPr>
          <w:rFonts w:ascii="Arial" w:cs="Arial" w:eastAsia="Arial" w:hAnsi="Arial"/>
          <w:sz w:val="15"/>
          <w:szCs w:val="15"/>
          <w:color w:val="auto"/>
        </w:rPr>
        <w:t>We also may encounter future claims. For example, our U.K. subsidiary operates as an alternative business structure, or ABS, which allows corporate entities to become licensed providers of reserved legal activities in that jurisdiction. As a result, our U.K. subsidiary may be susceptible to potential claims from clients, such as breach of contract, product liability, negligence or other claims. Any such claims could result in reputational damage or an adverse effect on our results of operations. In addition, while we believe this structure is legally permissible, it is generally untested in U.S. courts and we cannot assure you that it will insulate us from claims of CPL or UPL. Even though our U.K. subsidiary holds professional liability insurance, limiting its liability in accordance with its engagement letters with clients, such insurance and limitations in liability may not insure or protect against all potential claims or sufficiently indemnify us or our U.K.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These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20"/>
        <w:spacing w:after="0" w:line="254" w:lineRule="auto"/>
        <w:rPr>
          <w:sz w:val="20"/>
          <w:szCs w:val="20"/>
          <w:color w:val="auto"/>
        </w:rPr>
      </w:pPr>
      <w:r>
        <w:rPr>
          <w:rFonts w:ascii="Arial" w:cs="Arial" w:eastAsia="Arial" w:hAnsi="Arial"/>
          <w:sz w:val="15"/>
          <w:szCs w:val="15"/>
          <w:color w:val="auto"/>
        </w:rPr>
        <w:t>same risks may emerge with respect to our US subsidiary, LZ Legal Services, LLC, which was recently licensed on September 30, 2021 as an Arizona ABS, but is not yet operational.</w:t>
      </w:r>
    </w:p>
    <w:p>
      <w:pPr>
        <w:spacing w:after="0" w:line="86"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Furthermore, our employees may, from time to time, bring lawsuits against us regarding injuries, a hostile workplace, discrimination, wage and hour disputes, sexual harassment, or other employment issues. In recent years there has been an increase in the number of discrimination and harassment claims against employers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If we were to face any employment- or harassment-related claims, our business could be negatively affected in similar or other ways.</w:t>
      </w:r>
    </w:p>
    <w:p>
      <w:pPr>
        <w:spacing w:after="0" w:line="93"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As we face increasing competition and gain an increasingly high profile, including as a result of our IPO, third parties may make intellectual property rights claims, file lawsuits or initiate regulatory actions or other proceedings against us. In addition, we may introduce new services, including in areas where we currently do not compete, which could increase our exposure to lawsuits, regulatory actions, or intellectual property claims. Defending against lawsuits, regulatory actions, and other intellectual property claims is costly and can place a significant burden on management and employees. If such claims are made against us, there can be no assurances that favorable final outcomes will be obtained and, if resolved adversely, may result in changes to or discontinuance of some of our services, potential liabilities or additional costs, which could adversely affect our business, results of operations, financial condition and future prospects.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related to accepting credit and debit card payments that may harm our business or expose us to additional costs and liabilities.</w:t>
      </w:r>
    </w:p>
    <w:p>
      <w:pPr>
        <w:spacing w:after="0" w:line="121"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For credit and debit card payments, we pay interchange and other fees, which may increase over time and raise our operating costs and lower profitability. We rely on third parties to provide payment processing services, including the processing of our credit and debit card transactions, and to provide payment collection services, and it could interrupt our business if these third parties become unwilling or unable to provide these services to us, or if we are otherwise unable to collect payments.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96" w:lineRule="exact"/>
        <w:rPr>
          <w:sz w:val="20"/>
          <w:szCs w:val="20"/>
          <w:color w:val="auto"/>
        </w:rPr>
      </w:pPr>
    </w:p>
    <w:p>
      <w:pPr>
        <w:ind w:right="60" w:firstLine="451"/>
        <w:spacing w:after="0" w:line="247" w:lineRule="auto"/>
        <w:rPr>
          <w:sz w:val="20"/>
          <w:szCs w:val="20"/>
          <w:color w:val="auto"/>
        </w:rPr>
      </w:pPr>
      <w:r>
        <w:rPr>
          <w:rFonts w:ascii="Arial" w:cs="Arial" w:eastAsia="Arial" w:hAnsi="Arial"/>
          <w:sz w:val="15"/>
          <w:szCs w:val="15"/>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Financial Condition, Indebtedness and Capital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seasonal fluctuations that may cause our results of operations to vary from period to period.</w:t>
      </w:r>
    </w:p>
    <w:p>
      <w:pPr>
        <w:spacing w:after="0" w:line="121"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Many of the factors that contribute to seasonal fluctuations in our results of operations are out of our control. We have experienced, and expect that we will continue to experience, seasonality in the number of orders placed and when we enter into subscription agreements with customers. Customers tend to place a higher number of orders and enter into new or renewed subscriptions in the first quarter of the year, which is when we believe the demand for forming businesses is the highest. Further seasonality is reflected in the timing of our revenue recognition in the second quarter, when we typically recognize a high amount of revenue from orders placed in the first quarter but fulfilled in the second quarter. Also, we generally see demand for our services decline around the beginning of the third quarter as a result of summer vacations and in the last two months of the fourth quarter as a result of the winter holidays. Seasonality in our business may cause period-to-period fluctuations in certain of our operating results and financial metrics and thus limit our ability to predict our future results.</w:t>
      </w:r>
    </w:p>
    <w:p>
      <w:pPr>
        <w:spacing w:after="0" w:line="74" w:lineRule="exact"/>
        <w:rPr>
          <w:sz w:val="20"/>
          <w:szCs w:val="20"/>
          <w:color w:val="auto"/>
        </w:rPr>
      </w:pPr>
    </w:p>
    <w:p>
      <w:pPr>
        <w:ind w:right="320"/>
        <w:spacing w:after="0" w:line="280" w:lineRule="auto"/>
        <w:rPr>
          <w:sz w:val="20"/>
          <w:szCs w:val="20"/>
          <w:color w:val="auto"/>
        </w:rPr>
      </w:pPr>
      <w:r>
        <w:rPr>
          <w:rFonts w:ascii="Arial" w:cs="Arial" w:eastAsia="Arial" w:hAnsi="Arial"/>
          <w:sz w:val="15"/>
          <w:szCs w:val="15"/>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67"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auto"/>
        </w:rPr>
        <w:t>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75"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80" w:lineRule="exact"/>
        <w:rPr>
          <w:sz w:val="20"/>
          <w:szCs w:val="20"/>
          <w:color w:val="auto"/>
        </w:rPr>
      </w:pPr>
    </w:p>
    <w:p>
      <w:pPr>
        <w:ind w:right="240" w:firstLine="451"/>
        <w:spacing w:after="0" w:line="246" w:lineRule="auto"/>
        <w:rPr>
          <w:sz w:val="20"/>
          <w:szCs w:val="20"/>
          <w:color w:val="auto"/>
        </w:rPr>
      </w:pPr>
      <w:r>
        <w:rPr>
          <w:rFonts w:ascii="Arial" w:cs="Arial" w:eastAsia="Arial" w:hAnsi="Arial"/>
          <w:sz w:val="15"/>
          <w:szCs w:val="15"/>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 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92" w:lineRule="exact"/>
        <w:rPr>
          <w:sz w:val="20"/>
          <w:szCs w:val="20"/>
          <w:color w:val="auto"/>
        </w:rPr>
      </w:pPr>
    </w:p>
    <w:p>
      <w:pPr>
        <w:ind w:right="120" w:firstLine="451"/>
        <w:spacing w:after="0" w:line="247" w:lineRule="auto"/>
        <w:rPr>
          <w:sz w:val="20"/>
          <w:szCs w:val="20"/>
          <w:color w:val="auto"/>
        </w:rPr>
      </w:pPr>
      <w:r>
        <w:rPr>
          <w:rFonts w:ascii="Arial" w:cs="Arial" w:eastAsia="Arial" w:hAnsi="Arial"/>
          <w:sz w:val="15"/>
          <w:szCs w:val="15"/>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74"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67"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We are in the process of implementing a company-wide ERP software program and the related infrastructure to support future growth and to integrate our processes. Our ERP software program has involved, and will continue to involve, substantial expenditures on system hardware and software, as well as design, development and implementation activities. The implementation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80"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We have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material weaknesses we identified are listed below:</w:t>
      </w:r>
    </w:p>
    <w:p>
      <w:pPr>
        <w:spacing w:after="0" w:line="103" w:lineRule="exact"/>
        <w:rPr>
          <w:sz w:val="20"/>
          <w:szCs w:val="20"/>
          <w:color w:val="auto"/>
        </w:rPr>
      </w:pPr>
    </w:p>
    <w:p>
      <w:pPr>
        <w:ind w:left="900" w:right="20" w:hanging="448"/>
        <w:spacing w:after="0" w:line="254" w:lineRule="auto"/>
        <w:tabs>
          <w:tab w:leader="none" w:pos="8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below.</w:t>
      </w:r>
    </w:p>
    <w:p>
      <w:pPr>
        <w:spacing w:after="0" w:line="86" w:lineRule="exact"/>
        <w:rPr>
          <w:rFonts w:ascii="Arial" w:cs="Arial" w:eastAsia="Arial" w:hAnsi="Arial"/>
          <w:sz w:val="15"/>
          <w:szCs w:val="15"/>
          <w:color w:val="auto"/>
        </w:rPr>
      </w:pPr>
    </w:p>
    <w:p>
      <w:pPr>
        <w:ind w:left="900" w:right="40" w:hanging="448"/>
        <w:spacing w:after="0" w:line="254" w:lineRule="auto"/>
        <w:tabs>
          <w:tab w:leader="none" w:pos="8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did not design and maintain effective controls to address the initial application of complex accounting standards and accounting of non-routine, unusual or complex events and transactions.</w:t>
      </w:r>
    </w:p>
    <w:p>
      <w:pPr>
        <w:spacing w:after="0" w:line="86" w:lineRule="exact"/>
        <w:rPr>
          <w:rFonts w:ascii="Arial" w:cs="Arial" w:eastAsia="Arial" w:hAnsi="Arial"/>
          <w:sz w:val="15"/>
          <w:szCs w:val="15"/>
          <w:color w:val="auto"/>
        </w:rPr>
      </w:pPr>
    </w:p>
    <w:p>
      <w:pPr>
        <w:ind w:left="900" w:right="80" w:hanging="448"/>
        <w:spacing w:after="0" w:line="254" w:lineRule="auto"/>
        <w:tabs>
          <w:tab w:leader="none" w:pos="8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did not design and maintain effective controls over our financial statement close process. Specifically, we did not design and maintain effective controls over certain account analyses and account reconciliations.</w:t>
      </w:r>
    </w:p>
    <w:p>
      <w:pPr>
        <w:spacing w:after="0" w:line="86" w:lineRule="exact"/>
        <w:rPr>
          <w:sz w:val="20"/>
          <w:szCs w:val="20"/>
          <w:color w:val="auto"/>
        </w:rPr>
      </w:pPr>
    </w:p>
    <w:p>
      <w:pPr>
        <w:ind w:right="220" w:firstLine="451"/>
        <w:spacing w:after="0" w:line="249" w:lineRule="auto"/>
        <w:rPr>
          <w:sz w:val="20"/>
          <w:szCs w:val="20"/>
          <w:color w:val="auto"/>
        </w:rPr>
      </w:pPr>
      <w:r>
        <w:rPr>
          <w:rFonts w:ascii="Arial" w:cs="Arial" w:eastAsia="Arial" w:hAnsi="Arial"/>
          <w:sz w:val="15"/>
          <w:szCs w:val="15"/>
          <w:color w:val="auto"/>
        </w:rPr>
        <w:t>These material weaknesses resulted in adjustments to our current and prior year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in the early stages of designing and implementing a plan to remediate the material weaknesses identified. Our plan includes:</w:t>
      </w:r>
    </w:p>
    <w:p>
      <w:pPr>
        <w:spacing w:after="0" w:line="103" w:lineRule="exact"/>
        <w:rPr>
          <w:sz w:val="20"/>
          <w:szCs w:val="20"/>
          <w:color w:val="auto"/>
        </w:rPr>
      </w:pPr>
    </w:p>
    <w:p>
      <w:pPr>
        <w:ind w:left="900" w:right="160" w:hanging="448"/>
        <w:spacing w:after="0" w:line="247" w:lineRule="auto"/>
        <w:tabs>
          <w:tab w:leader="none" w:pos="890" w:val="left"/>
        </w:tabs>
        <w:numPr>
          <w:ilvl w:val="0"/>
          <w:numId w:val="15"/>
        </w:numPr>
        <w:rPr>
          <w:rFonts w:ascii="Arial" w:cs="Arial" w:eastAsia="Arial" w:hAnsi="Arial"/>
          <w:sz w:val="15"/>
          <w:szCs w:val="15"/>
          <w:color w:val="auto"/>
        </w:rPr>
      </w:pPr>
      <w:r>
        <w:rPr>
          <w:rFonts w:ascii="Arial" w:cs="Arial" w:eastAsia="Arial" w:hAnsi="Arial"/>
          <w:sz w:val="15"/>
          <w:szCs w:val="15"/>
          <w:color w:val="auto"/>
        </w:rPr>
        <w:t>hiring additional experienced accounting, financial reporting and internal control personnel and changing roles and responsibilities of our personnel as we transition to being a public company and are required to comply with Section 404 of the Sarbanes Oxley Act of 2002, or Section 404. We have recently hired additional resources and we have engaged a third-party consulting firm to assist us with our formal internal control plan and provide staff augmentation of our internal audit function;</w:t>
      </w:r>
    </w:p>
    <w:p>
      <w:pPr>
        <w:spacing w:after="0" w:line="92" w:lineRule="exact"/>
        <w:rPr>
          <w:rFonts w:ascii="Arial" w:cs="Arial" w:eastAsia="Arial" w:hAnsi="Arial"/>
          <w:sz w:val="15"/>
          <w:szCs w:val="15"/>
          <w:color w:val="auto"/>
        </w:rPr>
      </w:pPr>
    </w:p>
    <w:p>
      <w:pPr>
        <w:ind w:left="900" w:right="180" w:hanging="448"/>
        <w:spacing w:after="0" w:line="254" w:lineRule="auto"/>
        <w:tabs>
          <w:tab w:leader="none" w:pos="89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86" w:lineRule="exact"/>
        <w:rPr>
          <w:rFonts w:ascii="Arial" w:cs="Arial" w:eastAsia="Arial" w:hAnsi="Arial"/>
          <w:sz w:val="15"/>
          <w:szCs w:val="15"/>
          <w:color w:val="auto"/>
        </w:rPr>
      </w:pPr>
    </w:p>
    <w:p>
      <w:pPr>
        <w:ind w:left="900" w:hanging="448"/>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implementing controls to enable an effective and timely review of account analyses and account reconciliations.</w:t>
      </w:r>
    </w:p>
    <w:p>
      <w:pPr>
        <w:spacing w:after="0" w:line="103"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internal controls over a sustained period of financial reporting cycles and as a result the timing of when we will be able to fully remediate the material weaknesses is uncertain and we will not fully remediate these material weaknesses during 2021 and may not during 2022.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92" w:lineRule="exact"/>
        <w:rPr>
          <w:sz w:val="20"/>
          <w:szCs w:val="20"/>
          <w:color w:val="auto"/>
        </w:rPr>
      </w:pPr>
    </w:p>
    <w:p>
      <w:pPr>
        <w:ind w:right="200" w:firstLine="451"/>
        <w:spacing w:after="0" w:line="246" w:lineRule="auto"/>
        <w:rPr>
          <w:sz w:val="20"/>
          <w:szCs w:val="20"/>
          <w:color w:val="auto"/>
        </w:rPr>
      </w:pPr>
      <w:r>
        <w:rPr>
          <w:rFonts w:ascii="Arial" w:cs="Arial" w:eastAsia="Arial" w:hAnsi="Arial"/>
          <w:sz w:val="15"/>
          <w:szCs w:val="15"/>
          <w:color w:val="auto"/>
        </w:rPr>
        <w:t>We and our independent registered public accounting firm were not required to perform an evaluation of our internal control over financial reporting as of December 31, 2020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in our annual report on Form 10-K for the year ended December 31, 2022. If we are unable to successfully remediate the existing material weakness in our internal control over financial reporting, the accuracy and timing of our financial reporting, and our stock price, may be adversely affected and we may be unable to maintain compliance with the applicable stock exchange listing requirements.</w:t>
      </w:r>
    </w:p>
    <w:p>
      <w:pPr>
        <w:spacing w:after="0" w:line="93"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67"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our internal controls. In addition, beginning with our 2022 annual report on Form 10-K, which we expect to file with the SEC in the first quarter of 2023, we will be required to furnish a report by management on the effectiveness of our internal control over financial reporting pursuant to Section 404. This assessment will need to include disclosure of any material weaknesses identified by our management in our internal control over financial reporting, including but not limited to those previously identified and not fully remediated at the time of such assessment. In addition, our independent registered public accounting firm will be required to attest to the effectiveness of our internal control over financial reporting beginning with our first annual report on Form 10-K following the date on which we are no longer an “emerging growth company.”</w:t>
      </w:r>
    </w:p>
    <w:p>
      <w:pPr>
        <w:spacing w:after="0" w:line="93"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94" w:lineRule="exact"/>
        <w:rPr>
          <w:sz w:val="20"/>
          <w:szCs w:val="20"/>
          <w:color w:val="auto"/>
        </w:rPr>
      </w:pPr>
    </w:p>
    <w:p>
      <w:pPr>
        <w:ind w:right="220" w:firstLine="451"/>
        <w:spacing w:after="0" w:line="254" w:lineRule="auto"/>
        <w:rPr>
          <w:sz w:val="20"/>
          <w:szCs w:val="20"/>
          <w:color w:val="auto"/>
        </w:rPr>
      </w:pPr>
      <w:r>
        <w:rPr>
          <w:rFonts w:ascii="Arial" w:cs="Arial" w:eastAsia="Arial" w:hAnsi="Arial"/>
          <w:sz w:val="15"/>
          <w:szCs w:val="15"/>
          <w:color w:val="auto"/>
        </w:rPr>
        <w:t>During the evaluation and testing process of our internal controls, if we identify one or more material weaknesses in our internal control over financial reporting, we will be unable to assert that our internal control over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78"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306" w:lineRule="exact"/>
        <w:rPr>
          <w:sz w:val="20"/>
          <w:szCs w:val="20"/>
          <w:color w:val="auto"/>
        </w:rPr>
      </w:pPr>
    </w:p>
    <w:p>
      <w:pPr>
        <w:jc w:val="both"/>
        <w:ind w:right="100" w:firstLine="451"/>
        <w:spacing w:after="0" w:line="249" w:lineRule="auto"/>
        <w:rPr>
          <w:sz w:val="20"/>
          <w:szCs w:val="20"/>
          <w:color w:val="auto"/>
        </w:rPr>
      </w:pPr>
      <w:r>
        <w:rPr>
          <w:rFonts w:ascii="Arial" w:cs="Arial" w:eastAsia="Arial" w:hAnsi="Arial"/>
          <w:sz w:val="15"/>
          <w:szCs w:val="15"/>
          <w:color w:val="auto"/>
        </w:rPr>
        <w:t>The 2021 Revolving Facility that we entered into in July 2021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in each case subject to certain exceptions:</w:t>
      </w:r>
    </w:p>
    <w:p>
      <w:pPr>
        <w:spacing w:after="0" w:line="90" w:lineRule="exact"/>
        <w:rPr>
          <w:sz w:val="20"/>
          <w:szCs w:val="20"/>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incur additional indebtedness and guarantee indebtedness;</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create or incur liens;</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pay dividends and distributions or repurchase capital stock;</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merge, liquidate and make asset sales;</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 lines of business;</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 our fiscal year;</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incur restrictions on our subsidiaries’ ability to make distributions and create liens;</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modify our organizational documents;</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make investments, loans and advances; and</w:t>
      </w:r>
    </w:p>
    <w:p>
      <w:pPr>
        <w:spacing w:after="0" w:line="103" w:lineRule="exact"/>
        <w:rPr>
          <w:rFonts w:ascii="Arial" w:cs="Arial" w:eastAsia="Arial" w:hAnsi="Arial"/>
          <w:sz w:val="15"/>
          <w:szCs w:val="15"/>
          <w:color w:val="auto"/>
        </w:rPr>
      </w:pPr>
    </w:p>
    <w:p>
      <w:pPr>
        <w:ind w:left="1800" w:hanging="445"/>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certain transactions with affiliates.</w:t>
      </w:r>
    </w:p>
    <w:p>
      <w:pPr>
        <w:spacing w:after="0" w:line="103"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The 2021 Revolving Facility also contains a financial covenant that requires us to maintain a total net first lien leverage ratio of 4.50:1.00 on the last day of any fiscal quarter during which our New Credit Facility usage exceeds 35% of the New Credit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94" w:lineRule="exact"/>
        <w:rPr>
          <w:sz w:val="20"/>
          <w:szCs w:val="20"/>
          <w:color w:val="auto"/>
        </w:rPr>
      </w:pPr>
    </w:p>
    <w:p>
      <w:pPr>
        <w:ind w:right="100" w:firstLine="451"/>
        <w:spacing w:after="0" w:line="247" w:lineRule="auto"/>
        <w:rPr>
          <w:sz w:val="20"/>
          <w:szCs w:val="20"/>
          <w:color w:val="auto"/>
        </w:rPr>
      </w:pPr>
      <w:r>
        <w:rPr>
          <w:rFonts w:ascii="Arial" w:cs="Arial" w:eastAsia="Arial" w:hAnsi="Arial"/>
          <w:sz w:val="15"/>
          <w:szCs w:val="15"/>
          <w:color w:val="auto"/>
        </w:rPr>
        <w:t>Our ability to comply with the covenants and restrictions contained in the 2021Revolving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Even if the Revolving Facility is terminated, any additional debt that we incur in the future could subject us to similar or additional covenants.</w:t>
      </w:r>
    </w:p>
    <w:p>
      <w:pPr>
        <w:spacing w:after="0" w:line="92" w:lineRule="exact"/>
        <w:rPr>
          <w:sz w:val="20"/>
          <w:szCs w:val="20"/>
          <w:color w:val="auto"/>
        </w:rPr>
      </w:pPr>
    </w:p>
    <w:p>
      <w:pPr>
        <w:ind w:right="180" w:firstLine="451"/>
        <w:spacing w:after="0" w:line="247" w:lineRule="auto"/>
        <w:rPr>
          <w:sz w:val="20"/>
          <w:szCs w:val="20"/>
          <w:color w:val="auto"/>
        </w:rPr>
      </w:pPr>
      <w:r>
        <w:rPr>
          <w:rFonts w:ascii="Arial" w:cs="Arial" w:eastAsia="Arial" w:hAnsi="Arial"/>
          <w:sz w:val="15"/>
          <w:szCs w:val="15"/>
          <w:color w:val="auto"/>
        </w:rPr>
        <w:t>The 2021 Revolving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ERISA; certain undischarged judgments; material invalidity of guarantees or grant of security interest; and change of control, in certain cases subject to certain thresholds and grace periods.</w:t>
      </w:r>
    </w:p>
    <w:p>
      <w:pPr>
        <w:spacing w:after="0" w:line="92"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or result in the termination of certain other contracts with third parties, in each case to which a cross-acceleration or cross-default provision applies. If we are unable to repay our indebtedness, lenders having secured obligations, such as the lenders under the 2021 Revolving</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Facility, could proceed against the collateral securing the indebtedness. In any such case, we may be unable to borrow under our 2021 Revolving Facility and may not be able to repay the amounts due under our 2021 Revolving Facility. This could have serious consequences to our business, results of operations, financial condition and future prospects and could cause us to become bankrupt or insolvent.</w:t>
      </w:r>
    </w:p>
    <w:p>
      <w:pPr>
        <w:spacing w:after="0" w:line="72"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b w:val="1"/>
          <w:bCs w:val="1"/>
          <w:i w:val="1"/>
          <w:iCs w:val="1"/>
          <w:color w:val="auto"/>
        </w:rPr>
        <w:t>When LIBOR is discontinued, borrowing costs under the 2021 Revolving Facility or agreements governing any of our future indebtedness will be calculated using another reference rate, which may cause substantial uncertainty as to the effect of such replacement on our borrowing costs</w:t>
      </w:r>
    </w:p>
    <w:p>
      <w:pPr>
        <w:spacing w:after="0" w:line="54" w:lineRule="exact"/>
        <w:rPr>
          <w:sz w:val="20"/>
          <w:szCs w:val="20"/>
          <w:color w:val="auto"/>
        </w:rPr>
      </w:pPr>
    </w:p>
    <w:p>
      <w:pPr>
        <w:ind w:firstLine="451"/>
        <w:spacing w:after="0" w:line="228" w:lineRule="auto"/>
        <w:rPr>
          <w:sz w:val="20"/>
          <w:szCs w:val="20"/>
          <w:color w:val="auto"/>
        </w:rPr>
      </w:pPr>
      <w:r>
        <w:rPr>
          <w:rFonts w:ascii="Arial" w:cs="Arial" w:eastAsia="Arial" w:hAnsi="Arial"/>
          <w:sz w:val="15"/>
          <w:szCs w:val="15"/>
          <w:color w:val="auto"/>
        </w:rPr>
        <w:t>On November 30, 2020, the Chief Executive of the U.K. Financial Conduct Authority, or FCA, which regulates LIBOR, announced that the FCA intends to cease the publication of one-week and two-month LIBOR by the end of 2021 and all other LIBOR tenors (overnight, one-month, three-month, six-month and 12-month) on June 30, 2023. In addition, the U.S. Federal Reserve, in conjunction with the Alternative Reference Rates Committee, a steering committee consisting of large U.S. financial institutions, is considering replacing U.S. dollar LIBOR with the Secured Overnight Financing Rate, or SOFR, a new index calculated by short-term repurchase agreements, backed by Treasury securities. Although there have been a few transactions utilizing SOFR and similar rates, it is unknown whether these alternative reference rates will attain market acceptance as replacements for LIBOR. LIBOR is used as a benchmark reference throughout the 2021 Revolving Facility. While the 2021 Revolving Facility provides fallback language in the event LIBOR ceases to be published, including the possibility of designation of a replacement rate by the administrative agent under the 2021 Revolving Facility, there is substantial uncertainty as to the effect of such replacement on our borrowing costs. In addition, in such event, we may need to renegotiate the 2021 Revolving Facility in order to determine the interest rate to replace LIBOR with the new standard that is established. There is currently no definitive information regarding the future utilization of LIBOR or of any particular replacement rate. As such, the potential effect of any such event on our borrowing costs or the effectiveness of certain related transactions such as hedges cannot yet be determined.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fluctuations in interest rates.</w:t>
      </w:r>
    </w:p>
    <w:p>
      <w:pPr>
        <w:spacing w:after="0" w:line="121" w:lineRule="exact"/>
        <w:rPr>
          <w:sz w:val="20"/>
          <w:szCs w:val="20"/>
          <w:color w:val="auto"/>
        </w:rPr>
      </w:pPr>
    </w:p>
    <w:p>
      <w:pPr>
        <w:ind w:right="100" w:firstLine="451"/>
        <w:spacing w:after="0" w:line="246" w:lineRule="auto"/>
        <w:rPr>
          <w:sz w:val="20"/>
          <w:szCs w:val="20"/>
          <w:color w:val="auto"/>
        </w:rPr>
      </w:pPr>
      <w:r>
        <w:rPr>
          <w:rFonts w:ascii="Arial" w:cs="Arial" w:eastAsia="Arial" w:hAnsi="Arial"/>
          <w:sz w:val="15"/>
          <w:szCs w:val="15"/>
          <w:color w:val="auto"/>
        </w:rPr>
        <w:t>Borrowings under the 2021 Revolving Facility are subject to variable rates of interest and expose us to interest rate risk. Sharp changes in interest rates could adversely affect us.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76" w:lineRule="exact"/>
        <w:rPr>
          <w:sz w:val="20"/>
          <w:szCs w:val="20"/>
          <w:color w:val="auto"/>
        </w:rPr>
      </w:pPr>
    </w:p>
    <w:p>
      <w:pPr>
        <w:ind w:right="380"/>
        <w:spacing w:after="0" w:line="280" w:lineRule="auto"/>
        <w:rPr>
          <w:sz w:val="20"/>
          <w:szCs w:val="20"/>
          <w:color w:val="auto"/>
        </w:rPr>
      </w:pPr>
      <w:r>
        <w:rPr>
          <w:rFonts w:ascii="Arial" w:cs="Arial" w:eastAsia="Arial" w:hAnsi="Arial"/>
          <w:sz w:val="15"/>
          <w:szCs w:val="15"/>
          <w:b w:val="1"/>
          <w:bCs w:val="1"/>
          <w:i w:val="1"/>
          <w:iCs w:val="1"/>
          <w:color w:val="auto"/>
        </w:rPr>
        <w:t>Certain of our indebtedness may be denominated in foreign currencies, which subjects us to foreign exchange risk, which could cause our debt service obligations to increase significantly.</w:t>
      </w:r>
    </w:p>
    <w:p>
      <w:pPr>
        <w:spacing w:after="0" w:line="67"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The 2021 Revolving Facility also permits borrowings denominated in Euros, GBP and other alternative currencies that may be approved by the administrative agent and revolving lenders. Such non-U.S. dollar-denominated debt may not necessarily correspond to the cash flow we generate in such currencies. Sharp changes in the exchange rates between the currencies in which we borrow and the currencies in which we generate cash flow could adversely affect us. In the future, we may enter into contractual arrangements designed to hedge a portion of the foreign currency exchange risk associated with any non-U.S. dollar-denominated debt. If these hedging arrangements are unsuccessful, we may experience an adverse effect on our business, results of operations, financial condition and future prospects.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tax laws or tax rulings could affect our financial condition, results of operations, and cash flows.</w:t>
      </w:r>
    </w:p>
    <w:p>
      <w:pPr>
        <w:spacing w:after="0" w:line="109" w:lineRule="exact"/>
        <w:rPr>
          <w:sz w:val="20"/>
          <w:szCs w:val="20"/>
          <w:color w:val="auto"/>
        </w:rPr>
      </w:pPr>
    </w:p>
    <w:p>
      <w:pPr>
        <w:ind w:firstLine="451"/>
        <w:spacing w:after="0" w:line="229" w:lineRule="auto"/>
        <w:rPr>
          <w:sz w:val="20"/>
          <w:szCs w:val="20"/>
          <w:color w:val="auto"/>
        </w:rPr>
      </w:pPr>
      <w:r>
        <w:rPr>
          <w:rFonts w:ascii="Arial" w:cs="Arial" w:eastAsia="Arial" w:hAnsi="Arial"/>
          <w:sz w:val="15"/>
          <w:szCs w:val="15"/>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the Tax Act made broad and complex changes to the U.S. tax code, including changes to U.S. federal tax rates, additional limitations on the deductibility of interest, both positive and negative changes to the utilization of NOL carryforwards, allowing for the expensing of certain capital expenditures, and putting into effect the migration from a “worldwide” system of taxation to a largely territorial system. 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100" w:lineRule="exact"/>
        <w:rPr>
          <w:sz w:val="20"/>
          <w:szCs w:val="20"/>
          <w:color w:val="auto"/>
        </w:rPr>
      </w:pPr>
    </w:p>
    <w:p>
      <w:pPr>
        <w:ind w:right="180" w:firstLine="451"/>
        <w:spacing w:after="0" w:line="246" w:lineRule="auto"/>
        <w:rPr>
          <w:sz w:val="20"/>
          <w:szCs w:val="20"/>
          <w:color w:val="auto"/>
        </w:rPr>
      </w:pPr>
      <w:r>
        <w:rPr>
          <w:rFonts w:ascii="Arial" w:cs="Arial" w:eastAsia="Arial" w:hAnsi="Arial"/>
          <w:sz w:val="15"/>
          <w:szCs w:val="15"/>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change or impose new types of non-income taxes, including taxes based on a percentage of revenue. For example, several countries have proposed or enacted taxes applicable to digital services, which could apply to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 carryforwards may be limited.</w:t>
      </w:r>
    </w:p>
    <w:p>
      <w:pPr>
        <w:spacing w:after="0" w:line="121"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have incurred substantial losses during our history and may not be able to maintain profitability. Unused U.S. federal NOLs for taxable years beginning before January 1, 2018, may be carried forward to offset future taxable income, if any, until such unused NOLs expire. Under the Tax Act, as modified by the CARES Act, U.S. federal NOLs incurred in taxable years beginning after December 31, 2017, can be carried forward indefinitely, but the deductibility of such U.S. federal NOLs in taxable years beginning after December 31, 2020 is limited to 80% of taxable income. It is uncertain if and to what extent various states will change their tax laws to conform to the Tax Act or the CARES Act.</w:t>
      </w:r>
    </w:p>
    <w:p>
      <w:pPr>
        <w:spacing w:after="0" w:line="219" w:lineRule="exact"/>
        <w:rPr>
          <w:sz w:val="20"/>
          <w:szCs w:val="20"/>
          <w:color w:val="auto"/>
        </w:rPr>
      </w:pPr>
    </w:p>
    <w:p>
      <w:pPr>
        <w:jc w:val="both"/>
        <w:ind w:right="240" w:firstLine="451"/>
        <w:spacing w:after="0" w:line="249" w:lineRule="auto"/>
        <w:rPr>
          <w:sz w:val="20"/>
          <w:szCs w:val="20"/>
          <w:color w:val="auto"/>
        </w:rPr>
      </w:pPr>
      <w:r>
        <w:rPr>
          <w:rFonts w:ascii="Arial" w:cs="Arial" w:eastAsia="Arial" w:hAnsi="Arial"/>
          <w:sz w:val="15"/>
          <w:szCs w:val="15"/>
          <w:color w:val="auto"/>
        </w:rPr>
        <w:t>At December 31, 2020, we had U.S. federal and state NOL carryforwards of $11.7 million and $49.8 million, respectively. Of the $11.7 million U.S. federal NOL carryforwards, $7.4 million may be carried forward indefinitely with utilization limited to 80% of taxable income. The remaining $4.3 million will begin to expire in 2031. The state NOL carryforwards begin to expire in 2022.</w:t>
      </w:r>
    </w:p>
    <w:p>
      <w:pPr>
        <w:spacing w:after="0" w:line="215"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In addition, under Section 382 of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right="40" w:firstLine="451"/>
        <w:spacing w:after="0" w:line="247" w:lineRule="auto"/>
        <w:rPr>
          <w:sz w:val="20"/>
          <w:szCs w:val="20"/>
          <w:color w:val="auto"/>
        </w:rPr>
      </w:pPr>
      <w:r>
        <w:rPr>
          <w:rFonts w:ascii="Arial" w:cs="Arial" w:eastAsia="Arial" w:hAnsi="Arial"/>
          <w:sz w:val="15"/>
          <w:szCs w:val="15"/>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effective tax rate could increase due to several factors, including:</w:t>
      </w:r>
    </w:p>
    <w:p>
      <w:pPr>
        <w:spacing w:after="0" w:line="103" w:lineRule="exact"/>
        <w:rPr>
          <w:sz w:val="20"/>
          <w:szCs w:val="20"/>
          <w:color w:val="auto"/>
        </w:rPr>
      </w:pPr>
    </w:p>
    <w:p>
      <w:pPr>
        <w:ind w:left="900" w:hanging="448"/>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the relative amounts of income before taxes in the various jurisdictions in which we operate that have differing statutory tax rates;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tax laws, tax treaties, and regulations or the interpretation of them, including the Tax Act and the CARES Act;</w:t>
      </w:r>
    </w:p>
    <w:p>
      <w:pPr>
        <w:spacing w:after="0" w:line="103" w:lineRule="exact"/>
        <w:rPr>
          <w:rFonts w:ascii="Arial" w:cs="Arial" w:eastAsia="Arial" w:hAnsi="Arial"/>
          <w:sz w:val="15"/>
          <w:szCs w:val="15"/>
          <w:color w:val="auto"/>
        </w:rPr>
      </w:pPr>
    </w:p>
    <w:p>
      <w:pPr>
        <w:ind w:left="900" w:right="20" w:hanging="448"/>
        <w:spacing w:after="0" w:line="254" w:lineRule="auto"/>
        <w:tabs>
          <w:tab w:leader="none" w:pos="89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86" w:lineRule="exact"/>
        <w:rPr>
          <w:rFonts w:ascii="Arial" w:cs="Arial" w:eastAsia="Arial" w:hAnsi="Arial"/>
          <w:sz w:val="15"/>
          <w:szCs w:val="15"/>
          <w:color w:val="auto"/>
        </w:rPr>
      </w:pPr>
    </w:p>
    <w:p>
      <w:pPr>
        <w:ind w:left="900" w:hanging="448"/>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outcome of current and future tax audits, examinations, or administrative appeals; and</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effects of acquisitions.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of these developments could adversely affect our results of operations.</w:t>
      </w:r>
    </w:p>
    <w:p>
      <w:pPr>
        <w:spacing w:after="0" w:line="85"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7" w:lineRule="exact"/>
        <w:rPr>
          <w:sz w:val="20"/>
          <w:szCs w:val="20"/>
          <w:color w:val="auto"/>
        </w:rPr>
      </w:pPr>
    </w:p>
    <w:p>
      <w:pPr>
        <w:ind w:right="60" w:firstLine="451"/>
        <w:spacing w:after="0" w:line="245"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Legal, Compliance and Regulatory Matters</w:t>
      </w:r>
    </w:p>
    <w:p>
      <w:pPr>
        <w:spacing w:after="0" w:line="103" w:lineRule="exact"/>
        <w:rPr>
          <w:sz w:val="20"/>
          <w:szCs w:val="20"/>
          <w:color w:val="auto"/>
        </w:rPr>
      </w:pPr>
    </w:p>
    <w:p>
      <w:pPr>
        <w:ind w:right="520"/>
        <w:spacing w:after="0" w:line="280" w:lineRule="auto"/>
        <w:rPr>
          <w:sz w:val="20"/>
          <w:szCs w:val="20"/>
          <w:color w:val="auto"/>
        </w:rPr>
      </w:pPr>
      <w:r>
        <w:rPr>
          <w:rFonts w:ascii="Arial" w:cs="Arial" w:eastAsia="Arial" w:hAnsi="Arial"/>
          <w:sz w:val="15"/>
          <w:szCs w:val="15"/>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67" w:lineRule="exact"/>
        <w:rPr>
          <w:sz w:val="20"/>
          <w:szCs w:val="20"/>
          <w:color w:val="auto"/>
        </w:rPr>
      </w:pPr>
    </w:p>
    <w:p>
      <w:pPr>
        <w:ind w:right="500" w:firstLine="451"/>
        <w:spacing w:after="0" w:line="254" w:lineRule="auto"/>
        <w:rPr>
          <w:sz w:val="20"/>
          <w:szCs w:val="20"/>
          <w:color w:val="auto"/>
        </w:rPr>
      </w:pPr>
      <w:r>
        <w:rPr>
          <w:rFonts w:ascii="Arial" w:cs="Arial" w:eastAsia="Arial" w:hAnsi="Arial"/>
          <w:sz w:val="15"/>
          <w:szCs w:val="15"/>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86" w:lineRule="exact"/>
        <w:rPr>
          <w:sz w:val="20"/>
          <w:szCs w:val="20"/>
          <w:color w:val="auto"/>
        </w:rPr>
      </w:pPr>
    </w:p>
    <w:p>
      <w:pPr>
        <w:ind w:left="900" w:right="180" w:hanging="448"/>
        <w:spacing w:after="0" w:line="247" w:lineRule="auto"/>
        <w:tabs>
          <w:tab w:leader="none" w:pos="89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92" w:lineRule="exact"/>
        <w:rPr>
          <w:rFonts w:ascii="Arial" w:cs="Arial" w:eastAsia="Arial" w:hAnsi="Arial"/>
          <w:sz w:val="15"/>
          <w:szCs w:val="15"/>
          <w:color w:val="auto"/>
        </w:rPr>
      </w:pPr>
    </w:p>
    <w:p>
      <w:pPr>
        <w:ind w:left="900" w:right="40" w:hanging="448"/>
        <w:spacing w:after="0" w:line="245" w:lineRule="auto"/>
        <w:tabs>
          <w:tab w:leader="none" w:pos="89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U.S., we are unable to hire attorneys as employees to provide legal advice directly to our customers, because we do not meet certain regulatory requirements, such as being exclusively owned by licensed attorneys. In addition, we are currently unable to acquire a license to practice law in the U.S. Laws, regulations, and professional responsibility rules impose limitations on business transactions between attorneys and persons who are not licensed attorneys, including those related to the ethics of attorney fee-splitting and CPL. This position can be contrasted with that in the U.K., where we operate an ABS, which allows certain corporate entities to become licensed providers of reserved legal activities in that jurisdiction, pursuant to the U.K. Legal Services Act 2007, or the LSA. As the regulatory environment in the U.S. continues to evolve, we may consider implementing alternative structures to conduct our business in the United States. For example, the Arizona Supreme Court recently approved regulatory reform that will permit non-lawyers to co-own law firms and other legal service operations. While the structure would be legally permissible in Arizona, we cannot assure you that it will insulate us from claims of CPL or UPL in other jurisdictions. Our U.S subsidiary, LZ Legal Services, LLC, was licensed as an Arizona ABS on September 30, 2021, but is not yet operational.</w:t>
      </w:r>
    </w:p>
    <w:p>
      <w:pPr>
        <w:spacing w:after="0" w:line="94" w:lineRule="exact"/>
        <w:rPr>
          <w:rFonts w:ascii="Arial" w:cs="Arial" w:eastAsia="Arial" w:hAnsi="Arial"/>
          <w:sz w:val="15"/>
          <w:szCs w:val="15"/>
          <w:color w:val="auto"/>
        </w:rPr>
      </w:pPr>
    </w:p>
    <w:p>
      <w:pPr>
        <w:ind w:left="900" w:hanging="448"/>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Regulation of legal document processing services and registered agent services varies among the jurisdictions in which we conduct business.</w:t>
      </w:r>
    </w:p>
    <w:p>
      <w:pPr>
        <w:spacing w:after="0" w:line="103" w:lineRule="exact"/>
        <w:rPr>
          <w:rFonts w:ascii="Arial" w:cs="Arial" w:eastAsia="Arial" w:hAnsi="Arial"/>
          <w:sz w:val="15"/>
          <w:szCs w:val="15"/>
          <w:color w:val="auto"/>
        </w:rPr>
      </w:pPr>
    </w:p>
    <w:p>
      <w:pPr>
        <w:ind w:left="900" w:right="60" w:hanging="448"/>
        <w:spacing w:after="0" w:line="254" w:lineRule="auto"/>
        <w:tabs>
          <w:tab w:leader="none" w:pos="89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Regulation of our legal plans varies considerably among the insurance departments, bar associations and attorneys general of each U.S. state. In addition, some U.S. states and federal agencies may seek to regulate our legal plans or other subscription plans.</w:t>
      </w:r>
    </w:p>
    <w:p>
      <w:pPr>
        <w:spacing w:after="0" w:line="200" w:lineRule="exact"/>
        <w:rPr>
          <w:sz w:val="20"/>
          <w:szCs w:val="20"/>
          <w:color w:val="auto"/>
        </w:rPr>
      </w:pPr>
    </w:p>
    <w:p>
      <w:pPr>
        <w:spacing w:after="0" w:line="212" w:lineRule="exact"/>
        <w:rPr>
          <w:sz w:val="20"/>
          <w:szCs w:val="20"/>
          <w:color w:val="auto"/>
        </w:rPr>
      </w:pPr>
    </w:p>
    <w:p>
      <w:pPr>
        <w:ind w:right="360" w:firstLine="451"/>
        <w:spacing w:after="0" w:line="249" w:lineRule="auto"/>
        <w:rPr>
          <w:sz w:val="20"/>
          <w:szCs w:val="20"/>
          <w:color w:val="auto"/>
        </w:rPr>
      </w:pPr>
      <w:r>
        <w:rPr>
          <w:rFonts w:ascii="Arial" w:cs="Arial" w:eastAsia="Arial" w:hAnsi="Arial"/>
          <w:sz w:val="15"/>
          <w:szCs w:val="15"/>
          <w:color w:val="auto"/>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spacing w:after="0" w:line="90"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in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93" w:lineRule="exact"/>
        <w:rPr>
          <w:sz w:val="20"/>
          <w:szCs w:val="20"/>
          <w:color w:val="auto"/>
        </w:rPr>
      </w:pPr>
    </w:p>
    <w:p>
      <w:pPr>
        <w:ind w:right="20" w:firstLine="451"/>
        <w:spacing w:after="0" w:line="245" w:lineRule="auto"/>
        <w:rPr>
          <w:sz w:val="20"/>
          <w:szCs w:val="20"/>
          <w:color w:val="auto"/>
        </w:rPr>
      </w:pPr>
      <w:r>
        <w:rPr>
          <w:rFonts w:ascii="Arial" w:cs="Arial" w:eastAsia="Arial" w:hAnsi="Arial"/>
          <w:sz w:val="15"/>
          <w:szCs w:val="15"/>
          <w:color w:val="auto"/>
        </w:rPr>
        <w:t>In addition, any failure or perceived failure by us to comply with applicable laws and regulations may subject us to regulatory inquiries, claims, suits and prosecutions. For example, in February 2021, a complaint was filed in California against us alleging violations of the Florida Security of Communications Act for violations of privacy based on a claim of wiretapping. In May 2021, the plaintiffs of this class action complaint filed a notice of dismissal without prejudice. However, these plaintiffs could refile in court or arbitration and may be the subject of similar complaints in the future.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U.K. subsidiary, being a “licensed body” law firm, is subject to restrictions under the LSA.</w:t>
      </w:r>
    </w:p>
    <w:p>
      <w:pPr>
        <w:spacing w:after="0" w:line="121" w:lineRule="exact"/>
        <w:rPr>
          <w:sz w:val="20"/>
          <w:szCs w:val="20"/>
          <w:color w:val="auto"/>
        </w:rPr>
      </w:pPr>
    </w:p>
    <w:p>
      <w:pPr>
        <w:ind w:right="40" w:firstLine="451"/>
        <w:spacing w:after="0" w:line="254" w:lineRule="auto"/>
        <w:rPr>
          <w:sz w:val="20"/>
          <w:szCs w:val="20"/>
          <w:color w:val="auto"/>
        </w:rPr>
      </w:pPr>
      <w:r>
        <w:rPr>
          <w:rFonts w:ascii="Arial" w:cs="Arial" w:eastAsia="Arial" w:hAnsi="Arial"/>
          <w:sz w:val="15"/>
          <w:szCs w:val="15"/>
          <w:color w:val="auto"/>
        </w:rPr>
        <w:t>Under the LSA, there are restrictions on the holding of “restricted interests” in “licensed body” law firms. A restricted interest for the purpose of these restrictions is an interest of 10% or more in the issued share capital of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licensed body or the parent company of such licensed body. As our wholly owned U.K. subsidiary is a licensed body for the purposes of the LSA, the restrictions referred to above will apply to any holder(s) of 10% or more of our common stock.</w:t>
      </w:r>
    </w:p>
    <w:p>
      <w:pPr>
        <w:spacing w:after="0" w:line="86" w:lineRule="exact"/>
        <w:rPr>
          <w:sz w:val="20"/>
          <w:szCs w:val="20"/>
          <w:color w:val="auto"/>
        </w:rPr>
      </w:pPr>
    </w:p>
    <w:p>
      <w:pPr>
        <w:ind w:right="220" w:firstLine="451"/>
        <w:spacing w:after="0" w:line="246" w:lineRule="auto"/>
        <w:rPr>
          <w:sz w:val="20"/>
          <w:szCs w:val="20"/>
          <w:color w:val="auto"/>
        </w:rPr>
      </w:pPr>
      <w:r>
        <w:rPr>
          <w:rFonts w:ascii="Arial" w:cs="Arial" w:eastAsia="Arial" w:hAnsi="Arial"/>
          <w:sz w:val="15"/>
          <w:szCs w:val="15"/>
          <w:color w:val="auto"/>
        </w:rPr>
        <w:t>The consent of the U.K. Solicitors Regulatory Authority, or the SRA, is required should any person who is a “non-deemed approved lawyer” seek to acquire a restricted interest. It is a criminal offense in the U.K. for any “non-deemed approved lawyer” to acquire a restricted interest without having given prior notification to the SRA or, having given prior notification to the SRA, to acquire a restricted interest without having obtaining the SRA’s consent. The SRA may attach conditions to any consent that it may give in respect of the holding of a restricted interest. However, should any stockholder wish to consider owning a stake in our common stock in excess of this threshold, it is possible for the SRA to be approached and grant pre-approval in advance of any such acquisition.</w:t>
      </w:r>
    </w:p>
    <w:p>
      <w:pPr>
        <w:spacing w:after="0" w:line="94" w:lineRule="exact"/>
        <w:rPr>
          <w:sz w:val="20"/>
          <w:szCs w:val="20"/>
          <w:color w:val="auto"/>
        </w:rPr>
      </w:pPr>
    </w:p>
    <w:p>
      <w:pPr>
        <w:ind w:right="140" w:firstLine="451"/>
        <w:spacing w:after="0" w:line="247" w:lineRule="auto"/>
        <w:rPr>
          <w:sz w:val="20"/>
          <w:szCs w:val="20"/>
          <w:color w:val="auto"/>
        </w:rPr>
      </w:pPr>
      <w:r>
        <w:rPr>
          <w:rFonts w:ascii="Arial" w:cs="Arial" w:eastAsia="Arial" w:hAnsi="Arial"/>
          <w:sz w:val="15"/>
          <w:szCs w:val="15"/>
          <w:color w:val="auto"/>
        </w:rPr>
        <w:t>The SRA can force any person who acquires a restricted interest in contravention of the applicable rules to divest its share ownership in the licensed body (or its parent company). The SRA also has the ability to suspend or revoke the relevant entity’s licensed body status in respect of any such contravention. Any suspension or revocation of our U.K. subsidiary’s licensed body status would have a serious detrimental impact on our business, and, in such circumstances, we would seek to collaborate with the SRA to minimize any resultant business disruption.</w:t>
      </w:r>
    </w:p>
    <w:p>
      <w:pPr>
        <w:spacing w:after="0" w:line="74"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b w:val="1"/>
          <w:bCs w:val="1"/>
          <w:i w:val="1"/>
          <w:iCs w:val="1"/>
          <w:color w:val="auto"/>
        </w:rPr>
        <w:t>If the independent professionals who participate in our or our partners' networks are characterized as employees, we would be subject to employment and withholding liabilities and regulatory risks.</w:t>
      </w:r>
    </w:p>
    <w:p>
      <w:pPr>
        <w:spacing w:after="0" w:line="67"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our LZ Tax offering is fulfilled by our own employee accountants and tax professionals.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 independent attorneys and independent accountants who participate in our and our partners' networks are properly characterized as independent contractors, tax or other regulatory authorities may in the future challenge our characterization of these relationships. If such regulatory authorities or state, federal or foreign courts were to determine that these attorneys or accountants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independent attorneys or independent accountants are our employees could have a material adverse effect on our business, results of operations, financial condition and future prospects.</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data privacy and security. The actual or perceived failure to comply with applicable data protection, privacy, and security laws, regulations, standards, and other requirements could adversely affect our business, results of operations, and financial conditions.</w:t>
      </w:r>
    </w:p>
    <w:p>
      <w:pPr>
        <w:spacing w:after="0" w:line="80"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are subject to numerous foreign and domestic laws, regulations, and standards regarding privacy and data security governing the personal information and other data that we may collect, store, use, or process. Privacy has become a significant issue in the United States. The regulatory framework for privacy issues is rapidly evolving and is likely to remain uncertain for the foreseeable future. Many government bodies and agencies have adopted or are considering adopting laws and regulations regarding the collection, use, storage, destruction and disclosure of personal information and breach notification procedures. We are also required to comply with laws, rules and regulations relating to data security. Interpretation of these laws, rules and regulations in applicable jurisdictions is ongoing and cannot be fully determined at this time.</w:t>
      </w:r>
    </w:p>
    <w:p>
      <w:pPr>
        <w:spacing w:after="0" w:line="93" w:lineRule="exact"/>
        <w:rPr>
          <w:sz w:val="20"/>
          <w:szCs w:val="20"/>
          <w:color w:val="auto"/>
        </w:rPr>
      </w:pPr>
    </w:p>
    <w:p>
      <w:pPr>
        <w:ind w:right="140" w:firstLine="451"/>
        <w:spacing w:after="0" w:line="245" w:lineRule="auto"/>
        <w:rPr>
          <w:sz w:val="20"/>
          <w:szCs w:val="20"/>
          <w:color w:val="auto"/>
        </w:rPr>
      </w:pPr>
      <w:r>
        <w:rPr>
          <w:rFonts w:ascii="Arial" w:cs="Arial" w:eastAsia="Arial" w:hAnsi="Arial"/>
          <w:sz w:val="15"/>
          <w:szCs w:val="15"/>
          <w:color w:val="auto"/>
        </w:rPr>
        <w:t>In June 2018, California adopted the California Consumer Privacy Act of 2018, or CCPA, which took effect on January 1, 2020. The CCPA gives California residents expanded rights to access and delete their personal information, opt out of certain personal information sharing, and receive detailed information about how their personal information is used. The CCPA also provides for civil penalties for violations, as well as a private right of action for data breaches that is expected to increase litigation involving misuse of personal information of California residents. The CCPA may increase our compliance costs and potential liability. In addition, California voters recently approved the California Privacy Rights Act of 2020, or CPRA, which goes into effect on January 1, 2023. It is expected that the CPRA will, among other things, give California residents the ability to limit the use of their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Some observers have noted that the CCPA and CPRA could mark the beginning of a trend of states adopting more stringent privacy legislation in the U.S., which could further increase our compliance costs, potential liability and adversely affect our business.</w:t>
      </w:r>
    </w:p>
    <w:p>
      <w:pPr>
        <w:spacing w:after="0" w:line="95" w:lineRule="exact"/>
        <w:rPr>
          <w:sz w:val="20"/>
          <w:szCs w:val="20"/>
          <w:color w:val="auto"/>
        </w:rPr>
      </w:pPr>
    </w:p>
    <w:p>
      <w:pPr>
        <w:ind w:right="500" w:firstLine="451"/>
        <w:spacing w:after="0" w:line="254" w:lineRule="auto"/>
        <w:rPr>
          <w:sz w:val="20"/>
          <w:szCs w:val="20"/>
          <w:color w:val="auto"/>
        </w:rPr>
      </w:pPr>
      <w:r>
        <w:rPr>
          <w:rFonts w:ascii="Arial" w:cs="Arial" w:eastAsia="Arial" w:hAnsi="Arial"/>
          <w:sz w:val="15"/>
          <w:szCs w:val="15"/>
          <w:color w:val="auto"/>
        </w:rPr>
        <w:t>The global data protection landscape is also rapidly evolving, and we expect that there will continue to be new and proposed laws, regulations and industry standards concerning privacy, data protection, and information security,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and we cannot yet determine the impact that such future laws, regulations and standards may have on our business. For example, in May 2018, the General Data Protection Regulation, or the GDPR, went into effect in the EU. The GDPR imposes stringent data protection requirements and to date, has increased compliance burdens on us, including by mandating burdensome documentation requirements and granting certain rights to individuals to control how we collect, use, disclose, retain and process information about them. The GDPR also provides for more robust regulatory enforcement and greater penalties for noncompliance than previous data protection laws, including fines of up to €20 million or 4% of global annual revenue of any noncompliant company for the preceding financial year, whichever is greater.</w:t>
      </w:r>
    </w:p>
    <w:p>
      <w:pPr>
        <w:spacing w:after="0" w:line="94" w:lineRule="exact"/>
        <w:rPr>
          <w:sz w:val="20"/>
          <w:szCs w:val="20"/>
          <w:color w:val="auto"/>
        </w:rPr>
      </w:pPr>
    </w:p>
    <w:p>
      <w:pPr>
        <w:ind w:right="20" w:firstLine="451"/>
        <w:spacing w:after="0" w:line="245" w:lineRule="auto"/>
        <w:rPr>
          <w:sz w:val="20"/>
          <w:szCs w:val="20"/>
          <w:color w:val="auto"/>
        </w:rPr>
      </w:pPr>
      <w:r>
        <w:rPr>
          <w:rFonts w:ascii="Arial" w:cs="Arial" w:eastAsia="Arial" w:hAnsi="Arial"/>
          <w:sz w:val="15"/>
          <w:szCs w:val="15"/>
          <w:color w:val="auto"/>
        </w:rPr>
        <w:t>European data protection laws including the GDPR also generally prohibit the transfer of personal information from Europe to the U.S. and most other countries unless the parties to the transfer have implemented specific safeguards to protect the transferred personal information. The Court of Justice of the European Union, or CJEU, recently raised questions about whether the European Commission’s Standard Contractual Clauses, one of the primary mechanisms used by U.S. companies to import personal information from Europe, complies with the GDPR. While the CJEU upheld the validity of Standard Contractual Clauses, the CJEU ruled that the underlying data transfers must be assessed on a case-by-case basis by the data controller to determine whether the personal information will be adequately protected. Further, the European Commission recently proposed updates to the Standard Contractual Clauses. At present, there are few if any viable alternatives to the Standard Contractual Clauses and, therefore, there is uncertainty regarding how to ensure that transfers of personal information from Europe to the U.S. comply with the GDPR. As such, any transfers by us, or our third-party service providers, of personal information from Europe may not comply with European data protection laws; may increase our exposure to the GDPR’s heightened sanctions for violations of its cross-border data transfer restrictions; and may reduce demand for our services from companies subject to European data protection laws. Loss of our ability to transfer personal information from Europe may also require us to increase our data processing capabilities in those jurisdictions at significant expense.</w:t>
      </w:r>
    </w:p>
    <w:p>
      <w:pPr>
        <w:spacing w:after="0" w:line="94" w:lineRule="exact"/>
        <w:rPr>
          <w:sz w:val="20"/>
          <w:szCs w:val="20"/>
          <w:color w:val="auto"/>
        </w:rPr>
      </w:pPr>
    </w:p>
    <w:p>
      <w:pPr>
        <w:ind w:firstLine="451"/>
        <w:spacing w:after="0" w:line="244" w:lineRule="auto"/>
        <w:rPr>
          <w:sz w:val="20"/>
          <w:szCs w:val="20"/>
          <w:color w:val="auto"/>
        </w:rPr>
      </w:pPr>
      <w:r>
        <w:rPr>
          <w:rFonts w:ascii="Arial" w:cs="Arial" w:eastAsia="Arial" w:hAnsi="Arial"/>
          <w:sz w:val="15"/>
          <w:szCs w:val="15"/>
          <w:color w:val="auto"/>
        </w:rPr>
        <w:t>Further, the U.K.’s decision to leave the European Union, often referred to as Brexit, has created uncertainty with regard to the regulation of data protection in the U.K., including with respect to whether laws or regulations will apply to us consistent with the GDPR in the future and how data transfers to and from the U.K. will be regulated. Following December 31, 2020, and the expiry of transitional arrangements between the U.K. and European Union, the data protection obligations of the GDPR continue to apply to U.K.-related processing of personal data in substantially unvaried form under the so-called U.K. GDPR (i.e., the GDPR as it continues to form part of U.K. law by virtue of section 3 of the EU (Withdrawal) Act 2018, as amended). However, going forward, there is increasing risk for divergence in application, interpretation and enforcement of the data protection laws as between the U.K. and European Economic Area, or EEA. Furthermore, the relationship between the U.K. and the EEA in relation to certain aspects of data protection law remains uncertain. For example, it is unclear whether transfers of personal data from the EEA to the U.K. will be permitted to take place on the basis of a future adequacy decision of the European Commission, or whether a transfer mechanism such as the SCCs will be required. Under the post-Brexit Trade and Cooperation Agreement between the European Union and the U.K., the U.K. and European Union have agreed that transfers of personal data to the U.K. from EEA member states will not be treated as ‘restricted transfers’ to a non-EEA country for a period of up to four months from January 1, 2021, plus a potential further two months extension, or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European Union (unless those amendments or decisions are made simply to keep relevant U.K. laws aligned with the European Union’s data protection regime). If the European Commission does not adopt an adequacy decision in respect of the U.K. prior to the expiry of the Extended Adequacy Assessment Period, from that point onwards the United Kingdom will be an inadequate third country under the GDPR and transfers of personal data from the EEA to the United Kingdom will require a ‘transfer mechanism’ such as the Standard Contractual Clauses.</w:t>
      </w:r>
    </w:p>
    <w:p>
      <w:pPr>
        <w:spacing w:after="0" w:line="103" w:lineRule="exact"/>
        <w:rPr>
          <w:sz w:val="20"/>
          <w:szCs w:val="20"/>
          <w:color w:val="auto"/>
        </w:rPr>
      </w:pPr>
    </w:p>
    <w:p>
      <w:pPr>
        <w:ind w:right="20" w:firstLine="451"/>
        <w:spacing w:after="0" w:line="249" w:lineRule="auto"/>
        <w:rPr>
          <w:sz w:val="20"/>
          <w:szCs w:val="20"/>
          <w:color w:val="auto"/>
        </w:rPr>
      </w:pPr>
      <w:r>
        <w:rPr>
          <w:rFonts w:ascii="Arial" w:cs="Arial" w:eastAsia="Arial" w:hAnsi="Arial"/>
          <w:sz w:val="15"/>
          <w:szCs w:val="15"/>
          <w:color w:val="auto"/>
        </w:rPr>
        <w:t>The type of challenges we face in Europe will likely also arise in other jurisdictions that adopt laws similar in construction to the GDPR or regulatory frameworks of equivalent complexity. For example, Brazil enacted the General Data Protection Law, New Zealand enacted the New Zealand Privacy Act, China released its draft Personal Information Protection Law, and Canada introduced the Digital Charter Implementation Act.</w:t>
      </w:r>
    </w:p>
    <w:p>
      <w:pPr>
        <w:spacing w:after="0" w:line="90"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Compliance with these and any other applicable privacy and data security laws, including the Gramm-Leach-Bliley Act and Code Section 7216, and regulations is a rigorous and time-intensive process, and we may be required to put in place additional mechanisms to ensure compliance with the new data protection rules. Any failure or perceived failure by us or third parties working on our behalf to comply with applicable laws and regulations, any privacy and data security obligations pursuant to contract, our stated privacy or security policies, or obligations to customers or other third parties may result in governmental enforcement actions (including fines, penalties, judgments, settlements, imprisonment of company officials and public censure), civil claims, litigation, damage to our brand and reputation and loss of goodwill (both in relation to existing customers and prospective customers), any of which could have a material adverse effect on our business, operations and financial performance.</w:t>
      </w:r>
    </w:p>
    <w:p>
      <w:pPr>
        <w:spacing w:after="0" w:line="92" w:lineRule="exact"/>
        <w:rPr>
          <w:sz w:val="20"/>
          <w:szCs w:val="20"/>
          <w:color w:val="auto"/>
        </w:rPr>
      </w:pPr>
    </w:p>
    <w:p>
      <w:pPr>
        <w:ind w:right="180" w:firstLine="451"/>
        <w:spacing w:after="0" w:line="254" w:lineRule="auto"/>
        <w:rPr>
          <w:sz w:val="20"/>
          <w:szCs w:val="20"/>
          <w:color w:val="auto"/>
        </w:rPr>
      </w:pPr>
      <w:r>
        <w:rPr>
          <w:rFonts w:ascii="Arial" w:cs="Arial" w:eastAsia="Arial" w:hAnsi="Arial"/>
          <w:sz w:val="15"/>
          <w:szCs w:val="15"/>
          <w:color w:val="auto"/>
        </w:rPr>
        <w:t>Additionally, some providers of consumer devices and web browsers have implemented, or announced plans to implement, means to make it easier for Internet users to prevent the placement of cookies or to block other tracking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40"/>
        <w:spacing w:after="0" w:line="249" w:lineRule="auto"/>
        <w:rPr>
          <w:sz w:val="20"/>
          <w:szCs w:val="20"/>
          <w:color w:val="auto"/>
        </w:rPr>
      </w:pPr>
      <w:r>
        <w:rPr>
          <w:rFonts w:ascii="Arial" w:cs="Arial" w:eastAsia="Arial" w:hAnsi="Arial"/>
          <w:sz w:val="15"/>
          <w:szCs w:val="15"/>
          <w:color w:val="auto"/>
        </w:rPr>
        <w:t>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practices could adversely affect our business, financial condition, and results of operations.</w:t>
      </w:r>
    </w:p>
    <w:p>
      <w:pPr>
        <w:spacing w:after="0" w:line="72" w:lineRule="exact"/>
        <w:rPr>
          <w:sz w:val="20"/>
          <w:szCs w:val="20"/>
          <w:color w:val="auto"/>
        </w:rPr>
      </w:pPr>
    </w:p>
    <w:p>
      <w:pPr>
        <w:jc w:val="both"/>
        <w:ind w:right="60"/>
        <w:spacing w:after="0" w:line="262" w:lineRule="auto"/>
        <w:rPr>
          <w:sz w:val="20"/>
          <w:szCs w:val="20"/>
          <w:color w:val="auto"/>
        </w:rPr>
      </w:pPr>
      <w:r>
        <w:rPr>
          <w:rFonts w:ascii="Arial" w:cs="Arial" w:eastAsia="Arial" w:hAnsi="Arial"/>
          <w:sz w:val="15"/>
          <w:szCs w:val="15"/>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80" w:lineRule="exact"/>
        <w:rPr>
          <w:sz w:val="20"/>
          <w:szCs w:val="20"/>
          <w:color w:val="auto"/>
        </w:rPr>
      </w:pPr>
    </w:p>
    <w:p>
      <w:pPr>
        <w:ind w:right="20" w:firstLine="451"/>
        <w:spacing w:after="0" w:line="245" w:lineRule="auto"/>
        <w:rPr>
          <w:sz w:val="20"/>
          <w:szCs w:val="20"/>
          <w:color w:val="auto"/>
        </w:rPr>
      </w:pPr>
      <w:r>
        <w:rPr>
          <w:rFonts w:ascii="Arial" w:cs="Arial" w:eastAsia="Arial" w:hAnsi="Arial"/>
          <w:sz w:val="15"/>
          <w:szCs w:val="15"/>
          <w:color w:val="auto"/>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 third party that is able to circumvent our security measures or those of our third-party service providers may access, misappropriate, delete, alter, publish or modify this information,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96"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Our internal computer systems, cloud-based computing services, and those of our current and any future third-party service providers are vulnerable to interruption.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Due to the COVID-19 pandemic, our employees are working remotely, which may pose additional data security risks. We may also be the subject of denial of service attacks, server malfunction, software or hardware failures, loss of data or other computer assets, adware or other similar issues. While we have security measures in place designed to protect customer information and prevent data loss and other security breaches, we cannot guarantee that our, or our third-party service providers’ security measures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current or future cyberattacks and security incidents, including security breaches that may remain undetected for extended periods of time, which can substantially increase the potential for a material adverse impact resulting from the breach.</w:t>
      </w:r>
    </w:p>
    <w:p>
      <w:pPr>
        <w:spacing w:after="0" w:line="93" w:lineRule="exact"/>
        <w:rPr>
          <w:sz w:val="20"/>
          <w:szCs w:val="20"/>
          <w:color w:val="auto"/>
        </w:rPr>
      </w:pPr>
    </w:p>
    <w:p>
      <w:pPr>
        <w:ind w:right="40" w:firstLine="451"/>
        <w:spacing w:after="0" w:line="245" w:lineRule="auto"/>
        <w:rPr>
          <w:sz w:val="20"/>
          <w:szCs w:val="20"/>
          <w:color w:val="auto"/>
        </w:rPr>
      </w:pPr>
      <w:r>
        <w:rPr>
          <w:rFonts w:ascii="Arial" w:cs="Arial" w:eastAsia="Arial" w:hAnsi="Arial"/>
          <w:sz w:val="15"/>
          <w:szCs w:val="15"/>
          <w:color w:val="auto"/>
        </w:rPr>
        <w:t>We are required to comply with laws, rules and regulations that require us to maintain the security of personal information. We may have contractual and other legal obligations to notify relevant stakeholders of security breaches. We operate in an industry that is prone to cyberattacks. Failure to prevent or mitigate cyberattacks could result in the unauthorized access to such data, including personal information.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We have experienced and may in the future experience personal information security breaches as to which we are legally required to notify individuals, customers, regulators, the media and others. Such disclosures are costly, could lead to negative publicity, may cause our customers to lose confidence in the effectiveness of our security measures and not use our services, and require us to expend significant capital and other resources to respond to and/or alleviate problems caused by the actual or perceived security breach.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94"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We may not have adequate insurance coverage for security incidents or breaches, including fines, judgments, settlements, penalties, costs, attorney fees and other impacts that arise out of incidents or breaches. Although we maintain cyber liability insurance, we cannot assure you that such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to expand, grow our customer base, and process, store, and transmit increasingly large amounts of confidential, proprietary and sensitive data.</w:t>
      </w:r>
    </w:p>
    <w:p>
      <w:pPr>
        <w:spacing w:after="0" w:line="85"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and/or civil liability and harm our business.</w:t>
      </w:r>
    </w:p>
    <w:p>
      <w:pPr>
        <w:spacing w:after="0" w:line="67"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We are subject to the U.S. Foreign Corrupt Practices Act of 1977, as amended, the U.S. domestic bribery statute contained in 18 U.S.C. § 201, the U.S.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92" w:lineRule="exact"/>
        <w:rPr>
          <w:sz w:val="20"/>
          <w:szCs w:val="20"/>
          <w:color w:val="auto"/>
        </w:rPr>
      </w:pPr>
    </w:p>
    <w:p>
      <w:pPr>
        <w:ind w:right="100" w:firstLine="451"/>
        <w:spacing w:after="0" w:line="254" w:lineRule="auto"/>
        <w:rPr>
          <w:sz w:val="20"/>
          <w:szCs w:val="20"/>
          <w:color w:val="auto"/>
        </w:rPr>
      </w:pPr>
      <w:r>
        <w:rPr>
          <w:rFonts w:ascii="Arial" w:cs="Arial" w:eastAsia="Arial" w:hAnsi="Arial"/>
          <w:sz w:val="15"/>
          <w:szCs w:val="15"/>
          <w:color w:val="auto"/>
        </w:rPr>
        <w:t>While we have policies and procedures to address compliance with such anti-corruption laws, we cannot assure you that all of our employees and agents will not take actions in violation of our policies and applicable law, for which we may be ultimately held responsible.</w:t>
      </w:r>
    </w:p>
    <w:p>
      <w:pPr>
        <w:spacing w:after="0" w:line="86" w:lineRule="exact"/>
        <w:rPr>
          <w:sz w:val="20"/>
          <w:szCs w:val="20"/>
          <w:color w:val="auto"/>
        </w:rPr>
      </w:pPr>
    </w:p>
    <w:p>
      <w:pPr>
        <w:ind w:right="20" w:firstLine="451"/>
        <w:spacing w:after="0" w:line="245" w:lineRule="auto"/>
        <w:rPr>
          <w:sz w:val="20"/>
          <w:szCs w:val="20"/>
          <w:color w:val="auto"/>
        </w:rPr>
      </w:pPr>
      <w:r>
        <w:rPr>
          <w:rFonts w:ascii="Arial" w:cs="Arial" w:eastAsia="Arial" w:hAnsi="Arial"/>
          <w:sz w:val="15"/>
          <w:szCs w:val="15"/>
          <w:color w:val="auto"/>
        </w:rPr>
        <w:t>Detecting, investigating and resolving actual or alleged violations of anti-corruption and anti-money laundering laws can require a significant diversion of time, resources, and attention from senior management. In addition, noncompliance with anti-corruption, anti-bribery, or anti-money-laundering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financial condition and future prospects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financial condition and future prospects.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Intellectual Property</w:t>
      </w:r>
    </w:p>
    <w:p>
      <w:pPr>
        <w:spacing w:after="0" w:line="103" w:lineRule="exact"/>
        <w:rPr>
          <w:sz w:val="20"/>
          <w:szCs w:val="20"/>
          <w:color w:val="auto"/>
        </w:rPr>
      </w:pPr>
    </w:p>
    <w:p>
      <w:pPr>
        <w:ind w:right="420"/>
        <w:spacing w:after="0" w:line="280" w:lineRule="auto"/>
        <w:rPr>
          <w:sz w:val="20"/>
          <w:szCs w:val="20"/>
          <w:color w:val="auto"/>
        </w:rPr>
      </w:pPr>
      <w:r>
        <w:rPr>
          <w:rFonts w:ascii="Arial" w:cs="Arial" w:eastAsia="Arial" w:hAnsi="Arial"/>
          <w:sz w:val="15"/>
          <w:szCs w:val="15"/>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67" w:lineRule="exact"/>
        <w:rPr>
          <w:sz w:val="20"/>
          <w:szCs w:val="20"/>
          <w:color w:val="auto"/>
        </w:rPr>
      </w:pPr>
    </w:p>
    <w:p>
      <w:pPr>
        <w:ind w:right="20" w:firstLine="451"/>
        <w:spacing w:after="0" w:line="244" w:lineRule="auto"/>
        <w:rPr>
          <w:sz w:val="20"/>
          <w:szCs w:val="20"/>
          <w:color w:val="auto"/>
        </w:rPr>
      </w:pPr>
      <w:r>
        <w:rPr>
          <w:rFonts w:ascii="Arial" w:cs="Arial" w:eastAsia="Arial" w:hAnsi="Arial"/>
          <w:sz w:val="15"/>
          <w:szCs w:val="15"/>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 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Although we monitor our use of open source software in a manner designed to avoid such risks,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85" w:lineRule="exact"/>
        <w:rPr>
          <w:sz w:val="20"/>
          <w:szCs w:val="20"/>
          <w:color w:val="auto"/>
        </w:rPr>
      </w:pPr>
    </w:p>
    <w:p>
      <w:pPr>
        <w:ind w:right="380"/>
        <w:spacing w:after="0" w:line="280" w:lineRule="auto"/>
        <w:rPr>
          <w:sz w:val="20"/>
          <w:szCs w:val="20"/>
          <w:color w:val="auto"/>
        </w:rPr>
      </w:pPr>
      <w:r>
        <w:rPr>
          <w:rFonts w:ascii="Arial" w:cs="Arial" w:eastAsia="Arial" w:hAnsi="Arial"/>
          <w:sz w:val="15"/>
          <w:szCs w:val="15"/>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67" w:lineRule="exact"/>
        <w:rPr>
          <w:sz w:val="20"/>
          <w:szCs w:val="20"/>
          <w:color w:val="auto"/>
        </w:rPr>
      </w:pPr>
    </w:p>
    <w:p>
      <w:pPr>
        <w:jc w:val="both"/>
        <w:ind w:right="160" w:firstLine="451"/>
        <w:spacing w:after="0" w:line="249" w:lineRule="auto"/>
        <w:rPr>
          <w:sz w:val="20"/>
          <w:szCs w:val="20"/>
          <w:color w:val="auto"/>
        </w:rPr>
      </w:pPr>
      <w:r>
        <w:rPr>
          <w:rFonts w:ascii="Arial" w:cs="Arial" w:eastAsia="Arial" w:hAnsi="Arial"/>
          <w:sz w:val="15"/>
          <w:szCs w:val="15"/>
          <w:color w:val="auto"/>
        </w:rPr>
        <w:t>We rely and expect to continue to rely on confidentiality and license agreements with our employees, consultants and third parties, and on trademark, copyright, trade secret and domain name protection laws, to protect our proprietary rights. We have no issued patents, and have 17 U.S. trademark registrations and 17 pending 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trademark applications and additional trademark registrations outside of the U.S.. Third 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others may not adequately prevent disclosure of trade secrets and proprietary information.</w:t>
      </w:r>
    </w:p>
    <w:p>
      <w:pPr>
        <w:spacing w:after="0" w:line="121"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We have devoted substantial resources to the development of our intellectual property and proprietary rights. In order to protect our intellectual property and proprietary rights, we rely in part on confidentiality agreements with our employees, licensees, independent contractors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Ownership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market may not be sustainable, and you may not be able to resell your shares at or above the initial public offering price, if at all.</w:t>
      </w:r>
    </w:p>
    <w:p>
      <w:pPr>
        <w:spacing w:after="0" w:line="247" w:lineRule="exact"/>
        <w:rPr>
          <w:sz w:val="20"/>
          <w:szCs w:val="20"/>
          <w:color w:val="auto"/>
        </w:rPr>
      </w:pPr>
    </w:p>
    <w:p>
      <w:pPr>
        <w:ind w:right="180" w:firstLine="451"/>
        <w:spacing w:after="0" w:line="254" w:lineRule="auto"/>
        <w:rPr>
          <w:sz w:val="20"/>
          <w:szCs w:val="20"/>
          <w:color w:val="auto"/>
        </w:rPr>
      </w:pPr>
      <w:r>
        <w:rPr>
          <w:rFonts w:ascii="Arial" w:cs="Arial" w:eastAsia="Arial" w:hAnsi="Arial"/>
          <w:sz w:val="15"/>
          <w:szCs w:val="15"/>
          <w:color w:val="auto"/>
        </w:rPr>
        <w:t>It is possible that an active or liquid market in our common stock may not be sustainable. In the absence of an active trading market for our common stock, you may not be able to resell any shares you hold at or above the initial public offering price or at all. We cannot predict the prices at which our common stock will trade.</w:t>
      </w:r>
    </w:p>
    <w:p>
      <w:pPr>
        <w:spacing w:after="0" w:line="68" w:lineRule="exact"/>
        <w:rPr>
          <w:sz w:val="20"/>
          <w:szCs w:val="20"/>
          <w:color w:val="auto"/>
        </w:rPr>
      </w:pPr>
    </w:p>
    <w:p>
      <w:pPr>
        <w:ind w:right="460"/>
        <w:spacing w:after="0" w:line="280" w:lineRule="auto"/>
        <w:rPr>
          <w:sz w:val="20"/>
          <w:szCs w:val="20"/>
          <w:color w:val="auto"/>
        </w:rPr>
      </w:pPr>
      <w:r>
        <w:rPr>
          <w:rFonts w:ascii="Arial" w:cs="Arial" w:eastAsia="Arial" w:hAnsi="Arial"/>
          <w:sz w:val="15"/>
          <w:szCs w:val="15"/>
          <w:b w:val="1"/>
          <w:bCs w:val="1"/>
          <w:i w:val="1"/>
          <w:iCs w:val="1"/>
          <w:color w:val="auto"/>
        </w:rPr>
        <w:t>The market price of our common stock may be volatile or may decline regardless of our operating performance, resulting in substantial losses for our investors.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market price of our common stock may fluctuate significantly in response to numerous factors, many of which are beyond our control, including:</w:t>
      </w:r>
    </w:p>
    <w:p>
      <w:pPr>
        <w:spacing w:after="0" w:line="103" w:lineRule="exact"/>
        <w:rPr>
          <w:sz w:val="20"/>
          <w:szCs w:val="20"/>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and results of operations;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operating and financial projections we may provide to the public, any changes in these projections or our failure to meet these projections;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variance in our financial performance from expectations of securities analysts;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increase or loss of customers;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fluctuations in product sales mix;</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our pricing strategy or those of our competitors;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developments in new legislation and pending lawsuits or regulatory actions, including interim or final rulings by judicial or regulatory bodies;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involvement in any litigation;</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actual or anticipated changes in our growth rate relative to those of our competitors;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announcements of technological innovations or new services offered by us or our competitors;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partnerships, joint ventures or capital-raising activities or commitments;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103" w:lineRule="exact"/>
        <w:rPr>
          <w:rFonts w:ascii="Arial" w:cs="Arial" w:eastAsia="Arial" w:hAnsi="Arial"/>
          <w:sz w:val="15"/>
          <w:szCs w:val="15"/>
          <w:color w:val="auto"/>
        </w:rPr>
      </w:pPr>
    </w:p>
    <w:p>
      <w:pPr>
        <w:ind w:left="900" w:right="60" w:hanging="448"/>
        <w:spacing w:after="0" w:line="254" w:lineRule="auto"/>
        <w:tabs>
          <w:tab w:leader="none" w:pos="89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actions of securities analysts who initiate or maintain coverage of us, changes in financial estimates by any securities analysts who follow our company, or our failure to meet these estimates or investor expectations;</w:t>
      </w:r>
    </w:p>
    <w:p>
      <w:pPr>
        <w:spacing w:after="0" w:line="86" w:lineRule="exact"/>
        <w:rPr>
          <w:rFonts w:ascii="Arial" w:cs="Arial" w:eastAsia="Arial" w:hAnsi="Arial"/>
          <w:sz w:val="15"/>
          <w:szCs w:val="15"/>
          <w:color w:val="auto"/>
        </w:rPr>
      </w:pPr>
    </w:p>
    <w:p>
      <w:pPr>
        <w:ind w:left="900" w:hanging="448"/>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fluctuations in the valuation of companies perceived by investors to be comparable to us;</w:t>
      </w:r>
    </w:p>
    <w:p>
      <w:pPr>
        <w:spacing w:after="0" w:line="103" w:lineRule="exact"/>
        <w:rPr>
          <w:rFonts w:ascii="Arial" w:cs="Arial" w:eastAsia="Arial" w:hAnsi="Arial"/>
          <w:sz w:val="15"/>
          <w:szCs w:val="15"/>
          <w:color w:val="auto"/>
        </w:rPr>
      </w:pPr>
    </w:p>
    <w:p>
      <w:pPr>
        <w:ind w:left="900" w:right="240" w:hanging="448"/>
        <w:spacing w:after="0" w:line="254" w:lineRule="auto"/>
        <w:tabs>
          <w:tab w:leader="none" w:pos="89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additional shares of our common stock or other securities being sold into the market by us or our existing stockholders or the anticipation of such sales, including if existing stockholders sell shares into the market when applicable “lock-up” periods end;</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00" w:hanging="448"/>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including as a result of trends in the economy as a whole;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or incidents of terrorism, or responses to these events; and</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general economic, political, regulatory and market conditions.</w:t>
      </w:r>
    </w:p>
    <w:p>
      <w:pPr>
        <w:spacing w:after="0" w:line="204"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Broad market and industry fluctuations, as well as general economic, political, regulatory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94"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In addition, the cornerstone investors have indicated an interest in purchasing up to an aggregate of up to $75.0 million each (up to $150.0 million in the aggregate) of the shares of common stock offered in this offering at the initial public offering price. Because this indication of interest is not a binding agreement or commitment to purchase, the cornerstone investors may decide to purchase more, less or no shares of our common stock in this offering, or the underwriters may decide to sell more, less or no shares of our common stock in this offering to the cornerstone investors. If one or more of the cornerstone investors are allocated all or a portion of the shares in which they have indicated an interest in this offering or more, and purchase any such shares, such purchase could reduce the available public float for our shares if the cornerstone investors hold such shares long term.</w:t>
      </w:r>
    </w:p>
    <w:p>
      <w:pPr>
        <w:spacing w:after="0" w:line="75" w:lineRule="exact"/>
        <w:rPr>
          <w:sz w:val="20"/>
          <w:szCs w:val="20"/>
          <w:color w:val="auto"/>
        </w:rPr>
      </w:pPr>
    </w:p>
    <w:p>
      <w:pPr>
        <w:ind w:right="360"/>
        <w:spacing w:after="0" w:line="280" w:lineRule="auto"/>
        <w:rPr>
          <w:sz w:val="20"/>
          <w:szCs w:val="20"/>
          <w:color w:val="auto"/>
        </w:rPr>
      </w:pPr>
      <w:r>
        <w:rPr>
          <w:rFonts w:ascii="Arial" w:cs="Arial" w:eastAsia="Arial" w:hAnsi="Arial"/>
          <w:sz w:val="15"/>
          <w:szCs w:val="15"/>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54" w:lineRule="exact"/>
        <w:rPr>
          <w:sz w:val="20"/>
          <w:szCs w:val="20"/>
          <w:color w:val="auto"/>
        </w:rPr>
      </w:pPr>
    </w:p>
    <w:p>
      <w:pPr>
        <w:ind w:right="80" w:firstLine="451"/>
        <w:spacing w:after="0" w:line="231" w:lineRule="auto"/>
        <w:rPr>
          <w:sz w:val="20"/>
          <w:szCs w:val="20"/>
          <w:color w:val="auto"/>
        </w:rPr>
      </w:pPr>
      <w:r>
        <w:rPr>
          <w:rFonts w:ascii="Arial" w:cs="Arial" w:eastAsia="Arial" w:hAnsi="Arial"/>
          <w:sz w:val="15"/>
          <w:szCs w:val="15"/>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September 30, 2021, we had 197,048,662 outstanding shares of common stock, of which 175,059,512 shares are currently restricted as a result of securities laws, lock-up agreements or other contractual restrictions that restrict transfers for at least 180 days after the date of our Prospectus, subject to certain exceptions.</w:t>
      </w:r>
    </w:p>
    <w:p>
      <w:pPr>
        <w:spacing w:after="0" w:line="186" w:lineRule="exact"/>
        <w:rPr>
          <w:sz w:val="20"/>
          <w:szCs w:val="20"/>
          <w:color w:val="auto"/>
        </w:rPr>
      </w:pPr>
    </w:p>
    <w:p>
      <w:pPr>
        <w:ind w:right="20" w:firstLine="451"/>
        <w:spacing w:after="0" w:line="231" w:lineRule="auto"/>
        <w:rPr>
          <w:sz w:val="20"/>
          <w:szCs w:val="20"/>
          <w:color w:val="auto"/>
        </w:rPr>
      </w:pPr>
      <w:r>
        <w:rPr>
          <w:rFonts w:ascii="Arial" w:cs="Arial" w:eastAsia="Arial" w:hAnsi="Arial"/>
          <w:sz w:val="15"/>
          <w:szCs w:val="15"/>
          <w:color w:val="auto"/>
        </w:rPr>
        <w:t>The holders of up to 134,290,984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 shares by exercising their registration rights, they could adversely affect the market price for our common stock.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public trading market may not be sustained.</w:t>
      </w:r>
    </w:p>
    <w:p>
      <w:pPr>
        <w:spacing w:after="0" w:line="121" w:lineRule="exact"/>
        <w:rPr>
          <w:sz w:val="20"/>
          <w:szCs w:val="20"/>
          <w:color w:val="auto"/>
        </w:rPr>
      </w:pPr>
    </w:p>
    <w:p>
      <w:pPr>
        <w:jc w:val="both"/>
        <w:ind w:right="280" w:firstLine="451"/>
        <w:spacing w:after="0" w:line="249" w:lineRule="auto"/>
        <w:rPr>
          <w:sz w:val="20"/>
          <w:szCs w:val="20"/>
          <w:color w:val="auto"/>
        </w:rPr>
      </w:pPr>
      <w:r>
        <w:rPr>
          <w:rFonts w:ascii="Arial" w:cs="Arial" w:eastAsia="Arial" w:hAnsi="Arial"/>
          <w:sz w:val="15"/>
          <w:szCs w:val="15"/>
          <w:color w:val="auto"/>
        </w:rPr>
        <w:t>An active trading market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72" w:lineRule="exact"/>
        <w:rPr>
          <w:sz w:val="20"/>
          <w:szCs w:val="20"/>
          <w:color w:val="auto"/>
        </w:rPr>
      </w:pPr>
    </w:p>
    <w:p>
      <w:pPr>
        <w:ind w:right="240"/>
        <w:spacing w:after="0" w:line="280" w:lineRule="auto"/>
        <w:rPr>
          <w:sz w:val="20"/>
          <w:szCs w:val="20"/>
          <w:color w:val="auto"/>
        </w:rPr>
      </w:pPr>
      <w:r>
        <w:rPr>
          <w:rFonts w:ascii="Arial" w:cs="Arial" w:eastAsia="Arial" w:hAnsi="Arial"/>
          <w:sz w:val="15"/>
          <w:szCs w:val="15"/>
          <w:b w:val="1"/>
          <w:bCs w:val="1"/>
          <w:i w:val="1"/>
          <w:iCs w:val="1"/>
          <w:color w:val="auto"/>
        </w:rPr>
        <w:t>We have broad discretion in the use of our cash and cash equivalents, including the net proceeds from the IPO and the concurrent private placement, and may use them ineffectively, in ways with which you do not agree or in ways that do not increase the value of your investment.</w:t>
      </w:r>
    </w:p>
    <w:p>
      <w:pPr>
        <w:spacing w:after="0" w:line="54" w:lineRule="exact"/>
        <w:rPr>
          <w:sz w:val="20"/>
          <w:szCs w:val="20"/>
          <w:color w:val="auto"/>
        </w:rPr>
      </w:pPr>
    </w:p>
    <w:p>
      <w:pPr>
        <w:ind w:right="20" w:firstLine="451"/>
        <w:spacing w:after="0" w:line="234" w:lineRule="auto"/>
        <w:rPr>
          <w:sz w:val="20"/>
          <w:szCs w:val="20"/>
          <w:color w:val="auto"/>
        </w:rPr>
      </w:pPr>
      <w:r>
        <w:rPr>
          <w:rFonts w:ascii="Arial" w:cs="Arial" w:eastAsia="Arial" w:hAnsi="Arial"/>
          <w:sz w:val="15"/>
          <w:szCs w:val="15"/>
          <w:color w:val="auto"/>
        </w:rPr>
        <w:t>We broad discretion over the uses of the net proceeds from our IPO and concurrent private placement, as well as our cash and cash equivalents, and we may spend or invest them in ways that our stockholders disagree with, that cause the price of our common stock to decline or that could adversely affect our business, results of operations, financial condition and future prospects.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 which could reduce the attractiveness of our stock to some investors.</w:t>
      </w:r>
    </w:p>
    <w:p>
      <w:pPr>
        <w:spacing w:after="0" w:line="121" w:lineRule="exact"/>
        <w:rPr>
          <w:sz w:val="20"/>
          <w:szCs w:val="20"/>
          <w:color w:val="auto"/>
        </w:rPr>
      </w:pPr>
    </w:p>
    <w:p>
      <w:pPr>
        <w:jc w:val="both"/>
        <w:ind w:right="40" w:firstLine="451"/>
        <w:spacing w:after="0" w:line="247" w:lineRule="auto"/>
        <w:rPr>
          <w:sz w:val="20"/>
          <w:szCs w:val="20"/>
          <w:color w:val="auto"/>
        </w:rPr>
      </w:pPr>
      <w:r>
        <w:rPr>
          <w:rFonts w:ascii="Arial" w:cs="Arial" w:eastAsia="Arial" w:hAnsi="Arial"/>
          <w:sz w:val="15"/>
          <w:szCs w:val="15"/>
          <w:color w:val="auto"/>
        </w:rPr>
        <w:t>We currently intend to retain any future earnings to finance the operation and expansion of our business, and we do not expect to declare or pay any dividends in the foreseeable future. Any determination to pay dividends in the future will be at the discretion of our board of directors. In addition, the 2021 Revolving Facility contains restrictions on our ability to pay dividends. As a result, you must rely on sales of your common stock after price appreciation, which may never occur, as the only way to realize any future gains on your investments for the foreseeable future.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80" w:lineRule="auto"/>
        <w:rPr>
          <w:sz w:val="20"/>
          <w:szCs w:val="20"/>
          <w:color w:val="auto"/>
        </w:rPr>
      </w:pPr>
      <w:r>
        <w:rPr>
          <w:rFonts w:ascii="Arial" w:cs="Arial" w:eastAsia="Arial" w:hAnsi="Arial"/>
          <w:sz w:val="15"/>
          <w:szCs w:val="15"/>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7" w:lineRule="exact"/>
        <w:rPr>
          <w:sz w:val="20"/>
          <w:szCs w:val="20"/>
          <w:color w:val="auto"/>
        </w:rPr>
      </w:pPr>
    </w:p>
    <w:p>
      <w:pPr>
        <w:ind w:right="40" w:firstLine="451"/>
        <w:spacing w:after="0" w:line="246" w:lineRule="auto"/>
        <w:rPr>
          <w:sz w:val="20"/>
          <w:szCs w:val="20"/>
          <w:color w:val="auto"/>
        </w:rPr>
      </w:pPr>
      <w:r>
        <w:rPr>
          <w:rFonts w:ascii="Arial" w:cs="Arial" w:eastAsia="Arial" w:hAnsi="Arial"/>
          <w:sz w:val="15"/>
          <w:szCs w:val="15"/>
          <w:color w:val="auto"/>
        </w:rPr>
        <w:t>Based upon our shares of our common stock outstanding as of September 30, 2021, our executive officers, directors and stockholders who owned more than 5% of our outstanding common stock, in the aggregate, beneficially own shares representing approximately 63.6%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218"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221"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Further, our amended and restated certificate of incorporation provides that the doctrine of “corporate opportunity” does not apply with respect to certain parties to our investors’ rights agreement, in each case together with their respective affiliates, and its and their affiliates’ directors, partners, principals, officers, members, managers and/or employees.</w:t>
      </w:r>
    </w:p>
    <w:p>
      <w:pPr>
        <w:spacing w:after="0" w:line="72" w:lineRule="exact"/>
        <w:rPr>
          <w:sz w:val="20"/>
          <w:szCs w:val="20"/>
          <w:color w:val="auto"/>
        </w:rPr>
      </w:pPr>
    </w:p>
    <w:p>
      <w:pPr>
        <w:ind w:right="680"/>
        <w:spacing w:after="0" w:line="280" w:lineRule="auto"/>
        <w:rPr>
          <w:sz w:val="20"/>
          <w:szCs w:val="20"/>
          <w:color w:val="auto"/>
        </w:rPr>
      </w:pPr>
      <w:r>
        <w:rPr>
          <w:rFonts w:ascii="Arial" w:cs="Arial" w:eastAsia="Arial" w:hAnsi="Arial"/>
          <w:sz w:val="15"/>
          <w:szCs w:val="15"/>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67" w:lineRule="exact"/>
        <w:rPr>
          <w:sz w:val="20"/>
          <w:szCs w:val="20"/>
          <w:color w:val="auto"/>
        </w:rPr>
      </w:pPr>
    </w:p>
    <w:p>
      <w:pPr>
        <w:ind w:right="80" w:firstLine="451"/>
        <w:spacing w:after="0" w:line="246" w:lineRule="auto"/>
        <w:rPr>
          <w:sz w:val="20"/>
          <w:szCs w:val="20"/>
          <w:color w:val="auto"/>
        </w:rPr>
      </w:pPr>
      <w:r>
        <w:rPr>
          <w:rFonts w:ascii="Arial" w:cs="Arial" w:eastAsia="Arial" w:hAnsi="Arial"/>
          <w:sz w:val="15"/>
          <w:szCs w:val="15"/>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4" w:lineRule="exact"/>
        <w:rPr>
          <w:sz w:val="20"/>
          <w:szCs w:val="20"/>
          <w:color w:val="auto"/>
        </w:rPr>
      </w:pPr>
    </w:p>
    <w:p>
      <w:pPr>
        <w:ind w:left="900" w:hanging="448"/>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establish a classified board of directors such that not all members of the board are elected at one time;</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allow the authorized number of our directors to be changed only by resolution of our board of directors;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limit the manner in which stockholders can remove directors from the board;</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establish advance notice requirements for stockholder proposals that can be acted on at stockholder meetings and nominations to our board of directors;</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require that stockholder actions must be effected at a duly called stockholder meeting and prohibit actions by our stockholders by written consent;</w:t>
      </w:r>
    </w:p>
    <w:p>
      <w:pPr>
        <w:spacing w:after="0" w:line="103" w:lineRule="exact"/>
        <w:rPr>
          <w:rFonts w:ascii="Arial" w:cs="Arial" w:eastAsia="Arial" w:hAnsi="Arial"/>
          <w:sz w:val="15"/>
          <w:szCs w:val="15"/>
          <w:color w:val="auto"/>
        </w:rPr>
      </w:pPr>
    </w:p>
    <w:p>
      <w:pPr>
        <w:ind w:left="900" w:hanging="448"/>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limit who may call stockholder meetings;</w:t>
      </w:r>
    </w:p>
    <w:p>
      <w:pPr>
        <w:spacing w:after="0" w:line="103" w:lineRule="exact"/>
        <w:rPr>
          <w:rFonts w:ascii="Arial" w:cs="Arial" w:eastAsia="Arial" w:hAnsi="Arial"/>
          <w:sz w:val="15"/>
          <w:szCs w:val="15"/>
          <w:color w:val="auto"/>
        </w:rPr>
      </w:pPr>
    </w:p>
    <w:p>
      <w:pPr>
        <w:ind w:left="900" w:right="340" w:hanging="448"/>
        <w:spacing w:after="0" w:line="249" w:lineRule="auto"/>
        <w:tabs>
          <w:tab w:leader="none" w:pos="89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90" w:lineRule="exact"/>
        <w:rPr>
          <w:rFonts w:ascii="Arial" w:cs="Arial" w:eastAsia="Arial" w:hAnsi="Arial"/>
          <w:sz w:val="15"/>
          <w:szCs w:val="15"/>
          <w:color w:val="auto"/>
        </w:rPr>
      </w:pPr>
    </w:p>
    <w:p>
      <w:pPr>
        <w:ind w:left="900" w:right="100" w:hanging="448"/>
        <w:spacing w:after="0" w:line="254" w:lineRule="auto"/>
        <w:tabs>
          <w:tab w:leader="none" w:pos="89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require the approval of the holders of at least 66 2/3% of the votes that all our stockholders would be entitled to cast to amend or repeal certain provisions of our charter or bylaws.</w:t>
      </w:r>
    </w:p>
    <w:p>
      <w:pPr>
        <w:spacing w:after="0" w:line="86"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spacing w:after="0" w:line="254" w:lineRule="auto"/>
        <w:rPr>
          <w:sz w:val="20"/>
          <w:szCs w:val="20"/>
          <w:color w:val="auto"/>
        </w:rPr>
      </w:pPr>
      <w:r>
        <w:rPr>
          <w:rFonts w:ascii="Arial" w:cs="Arial" w:eastAsia="Arial" w:hAnsi="Arial"/>
          <w:sz w:val="15"/>
          <w:szCs w:val="15"/>
          <w:color w:val="auto"/>
        </w:rPr>
        <w:t>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8" w:lineRule="exact"/>
        <w:rPr>
          <w:sz w:val="20"/>
          <w:szCs w:val="20"/>
          <w:color w:val="auto"/>
        </w:rPr>
      </w:pPr>
    </w:p>
    <w:p>
      <w:pPr>
        <w:ind w:right="900"/>
        <w:spacing w:after="0" w:line="280"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doctrine of “corporate opportunity” will not apply with respect to certain stockholders.</w:t>
      </w:r>
    </w:p>
    <w:p>
      <w:pPr>
        <w:spacing w:after="0" w:line="54" w:lineRule="exact"/>
        <w:rPr>
          <w:sz w:val="20"/>
          <w:szCs w:val="20"/>
          <w:color w:val="auto"/>
        </w:rPr>
      </w:pPr>
    </w:p>
    <w:p>
      <w:pPr>
        <w:ind w:firstLine="451"/>
        <w:spacing w:after="0" w:line="228" w:lineRule="auto"/>
        <w:rPr>
          <w:sz w:val="20"/>
          <w:szCs w:val="20"/>
          <w:color w:val="auto"/>
        </w:rPr>
      </w:pPr>
      <w:r>
        <w:rPr>
          <w:rFonts w:ascii="Arial" w:cs="Arial" w:eastAsia="Arial" w:hAnsi="Arial"/>
          <w:sz w:val="15"/>
          <w:szCs w:val="15"/>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83" w:lineRule="exact"/>
        <w:rPr>
          <w:sz w:val="20"/>
          <w:szCs w:val="20"/>
          <w:color w:val="auto"/>
        </w:rPr>
      </w:pPr>
    </w:p>
    <w:p>
      <w:pPr>
        <w:ind w:right="280"/>
        <w:spacing w:after="0" w:line="262"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right="20" w:firstLine="451"/>
        <w:spacing w:after="0" w:line="247"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the following types of actions or proceedings under Delaware statutory or common law:</w:t>
      </w:r>
    </w:p>
    <w:p>
      <w:pPr>
        <w:spacing w:after="0" w:line="92" w:lineRule="exact"/>
        <w:rPr>
          <w:sz w:val="20"/>
          <w:szCs w:val="20"/>
          <w:color w:val="auto"/>
        </w:rPr>
      </w:pPr>
    </w:p>
    <w:p>
      <w:pPr>
        <w:ind w:left="900" w:hanging="448"/>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derivative claim or cause of action brought on our behalf;</w:t>
      </w:r>
    </w:p>
    <w:p>
      <w:pPr>
        <w:spacing w:after="0" w:line="103" w:lineRule="exact"/>
        <w:rPr>
          <w:rFonts w:ascii="Arial" w:cs="Arial" w:eastAsia="Arial" w:hAnsi="Arial"/>
          <w:sz w:val="15"/>
          <w:szCs w:val="15"/>
          <w:color w:val="auto"/>
        </w:rPr>
      </w:pPr>
    </w:p>
    <w:p>
      <w:pPr>
        <w:ind w:left="900" w:right="300" w:hanging="448"/>
        <w:spacing w:after="0" w:line="254" w:lineRule="auto"/>
        <w:tabs>
          <w:tab w:leader="none" w:pos="89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claim or cause of action asserting a breach of fiduciary duty owed by any of our current or former directors, officers or other employees to us or our stockholders;</w:t>
      </w:r>
    </w:p>
    <w:p>
      <w:pPr>
        <w:spacing w:after="0" w:line="86" w:lineRule="exact"/>
        <w:rPr>
          <w:rFonts w:ascii="Arial" w:cs="Arial" w:eastAsia="Arial" w:hAnsi="Arial"/>
          <w:sz w:val="15"/>
          <w:szCs w:val="15"/>
          <w:color w:val="auto"/>
        </w:rPr>
      </w:pPr>
    </w:p>
    <w:p>
      <w:pPr>
        <w:ind w:left="900" w:right="760" w:hanging="448"/>
        <w:spacing w:after="0" w:line="254" w:lineRule="auto"/>
        <w:tabs>
          <w:tab w:leader="none" w:pos="89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claim or cause of action against us or any of our current or former directors, officers or other employees arising under the Delaware General Corporation Law, our amended and restated certificate of incorporation and amended and restated bylaws;</w:t>
      </w:r>
    </w:p>
    <w:p>
      <w:pPr>
        <w:spacing w:after="0" w:line="86" w:lineRule="exact"/>
        <w:rPr>
          <w:rFonts w:ascii="Arial" w:cs="Arial" w:eastAsia="Arial" w:hAnsi="Arial"/>
          <w:sz w:val="15"/>
          <w:szCs w:val="15"/>
          <w:color w:val="auto"/>
        </w:rPr>
      </w:pPr>
    </w:p>
    <w:p>
      <w:pPr>
        <w:ind w:left="900" w:right="500" w:hanging="448"/>
        <w:spacing w:after="0" w:line="254" w:lineRule="auto"/>
        <w:tabs>
          <w:tab w:leader="none" w:pos="89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claim or cause of action arising under or seeking to interpret our amended and restated certificate of incorporation or our amended and restated bylaws; and</w:t>
      </w:r>
    </w:p>
    <w:p>
      <w:pPr>
        <w:spacing w:after="0" w:line="86" w:lineRule="exact"/>
        <w:rPr>
          <w:rFonts w:ascii="Arial" w:cs="Arial" w:eastAsia="Arial" w:hAnsi="Arial"/>
          <w:sz w:val="15"/>
          <w:szCs w:val="15"/>
          <w:color w:val="auto"/>
        </w:rPr>
      </w:pPr>
    </w:p>
    <w:p>
      <w:pPr>
        <w:ind w:left="900" w:right="40" w:hanging="448"/>
        <w:spacing w:after="0" w:line="254" w:lineRule="auto"/>
        <w:tabs>
          <w:tab w:leader="none" w:pos="89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claim or cause of action against us or any of our current or former directors, officers or other employees that is governed by the internal affairs doctrine or otherwise related to our internal affairs.</w:t>
      </w:r>
    </w:p>
    <w:p>
      <w:pPr>
        <w:spacing w:after="0" w:line="86" w:lineRule="exact"/>
        <w:rPr>
          <w:sz w:val="20"/>
          <w:szCs w:val="20"/>
          <w:color w:val="auto"/>
        </w:rPr>
      </w:pPr>
    </w:p>
    <w:p>
      <w:pPr>
        <w:ind w:right="80" w:firstLine="451"/>
        <w:spacing w:after="0" w:line="245" w:lineRule="auto"/>
        <w:rPr>
          <w:sz w:val="20"/>
          <w:szCs w:val="20"/>
          <w:color w:val="auto"/>
        </w:rPr>
      </w:pPr>
      <w:r>
        <w:rPr>
          <w:rFonts w:ascii="Arial" w:cs="Arial" w:eastAsia="Arial" w:hAnsi="Arial"/>
          <w:sz w:val="15"/>
          <w:szCs w:val="15"/>
          <w:color w:val="auto"/>
        </w:rPr>
        <w:t>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21" w:lineRule="exact"/>
        <w:rPr>
          <w:sz w:val="20"/>
          <w:szCs w:val="20"/>
          <w:color w:val="auto"/>
        </w:rPr>
      </w:pPr>
    </w:p>
    <w:p>
      <w:pPr>
        <w:ind w:right="400" w:firstLine="451"/>
        <w:spacing w:after="0" w:line="249"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resolving such action in other jurisdictions and there can be no assurance that the provisions will be enforced by a court in those other jurisdictions.</w:t>
      </w:r>
    </w:p>
    <w:p>
      <w:pPr>
        <w:spacing w:after="0" w:line="229" w:lineRule="exact"/>
        <w:rPr>
          <w:sz w:val="20"/>
          <w:szCs w:val="20"/>
          <w:color w:val="auto"/>
        </w:rPr>
      </w:pPr>
    </w:p>
    <w:p>
      <w:pPr>
        <w:ind w:right="320" w:firstLine="451"/>
        <w:spacing w:after="0" w:line="247" w:lineRule="auto"/>
        <w:rPr>
          <w:sz w:val="20"/>
          <w:szCs w:val="20"/>
          <w:color w:val="auto"/>
        </w:rPr>
      </w:pPr>
      <w:r>
        <w:rPr>
          <w:rFonts w:ascii="Arial" w:cs="Arial" w:eastAsia="Arial" w:hAnsi="Arial"/>
          <w:sz w:val="15"/>
          <w:szCs w:val="15"/>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Risk Factors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 public company, we are subject to more stringent federal and state law requirements.</w:t>
      </w:r>
    </w:p>
    <w:p>
      <w:pPr>
        <w:spacing w:after="0" w:line="121" w:lineRule="exact"/>
        <w:rPr>
          <w:sz w:val="20"/>
          <w:szCs w:val="20"/>
          <w:color w:val="auto"/>
        </w:rPr>
      </w:pPr>
    </w:p>
    <w:p>
      <w:pPr>
        <w:ind w:right="80" w:firstLine="451"/>
        <w:spacing w:after="0" w:line="244"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of 2002, the Dodd-Frank Act, the listing requirements of The Nasdaq Stock Market LLC, and other applicable securities rules and regulations. Despite reforms made possible by the JOBS Act, compliance with these rules and regulations have nonetheless increased our legal and financial compliance costs, made some activities more difficult, time-consuming or costly, and increased demand on our systems and resources, and such compliance costs will be exacerbated after we are no longer an “emerging growth company.”</w:t>
      </w:r>
    </w:p>
    <w:p>
      <w:pPr>
        <w:spacing w:after="0" w:line="1"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As a result of disclosure of information in our Prospectus and in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future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future prospects.</w:t>
      </w:r>
    </w:p>
    <w:p>
      <w:pPr>
        <w:spacing w:after="0" w:line="219" w:lineRule="exact"/>
        <w:rPr>
          <w:sz w:val="20"/>
          <w:szCs w:val="20"/>
          <w:color w:val="auto"/>
        </w:rPr>
      </w:pPr>
    </w:p>
    <w:p>
      <w:pPr>
        <w:ind w:firstLine="451"/>
        <w:spacing w:after="0" w:line="245" w:lineRule="auto"/>
        <w:rPr>
          <w:sz w:val="20"/>
          <w:szCs w:val="20"/>
          <w:color w:val="auto"/>
        </w:rPr>
      </w:pPr>
      <w:r>
        <w:rPr>
          <w:rFonts w:ascii="Arial" w:cs="Arial" w:eastAsia="Arial" w:hAnsi="Arial"/>
          <w:sz w:val="15"/>
          <w:szCs w:val="15"/>
          <w:color w:val="auto"/>
        </w:rPr>
        <w:t>We may also be subject to more stringent state law requirements. For example, on September 30, 2018, California Governor Jerry Brown signed into law Senator Bill 826, or SB 826, which generally requires public companies with principal executive offices in California to have a minimum number of females on the company’s board of directors. By December 31, 2021, each public company is required to have at least two females on its board of directors if the company has at least five directors, and at least three females on its board of directors if the company has at least six directors. The new law does not provide a transition period for newly listed companies. Additionally, on September 30, 2020, California Governor Gavin Newsom signed into law Assembly Bill 979, or AB 979, which generally requires public companies with principal executive offices in California to include specified numbers of directors from “underrepresented communities.” A director from an “underrepresented community” means a director who self-identifies as Black, African American, Hispanic, Latino, Asian, Pacific Islander, Native American, Native Hawaiian, Alaska Native, gay, lesbian, bisexual or transgender. By December 31, 2021, each public company with principal executive offices in California is required to have at least one director from an underrepresented community. By December 31, 2022, a public company with more than four but fewer than nine directors will be required to have a minimum of two directors from underrepresented communities, and a public company with nine or more directors will need to have a minimum of three directors from underrepresented communities. Similar to SB 826, AB 979 does not provide a transition period for newly listed companies. If we fail to comply with either SB 826 or AB 979, we could be fined by the California Secretary of State, with a $100,000 fine for the first violation and a $300,000 fine for each subsequent violation of either law, and our reputation may be adversely affected.</w:t>
      </w:r>
    </w:p>
    <w:p>
      <w:pPr>
        <w:spacing w:after="0" w:line="219"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We also expect that 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2"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7" w:lineRule="exact"/>
        <w:rPr>
          <w:sz w:val="20"/>
          <w:szCs w:val="20"/>
          <w:color w:val="auto"/>
        </w:rPr>
      </w:pPr>
    </w:p>
    <w:p>
      <w:pPr>
        <w:ind w:right="180" w:firstLine="451"/>
        <w:spacing w:after="0" w:line="249" w:lineRule="auto"/>
        <w:rPr>
          <w:sz w:val="20"/>
          <w:szCs w:val="20"/>
          <w:color w:val="auto"/>
        </w:rPr>
      </w:pPr>
      <w:r>
        <w:rPr>
          <w:rFonts w:ascii="Arial" w:cs="Arial" w:eastAsia="Arial" w:hAnsi="Arial"/>
          <w:sz w:val="15"/>
          <w:szCs w:val="15"/>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90" w:lineRule="exact"/>
        <w:rPr>
          <w:sz w:val="20"/>
          <w:szCs w:val="20"/>
          <w:color w:val="auto"/>
        </w:rPr>
      </w:pPr>
    </w:p>
    <w:p>
      <w:pPr>
        <w:ind w:right="100" w:firstLine="451"/>
        <w:spacing w:after="0" w:line="246" w:lineRule="auto"/>
        <w:rPr>
          <w:sz w:val="20"/>
          <w:szCs w:val="20"/>
          <w:color w:val="auto"/>
        </w:rPr>
      </w:pPr>
      <w:r>
        <w:rPr>
          <w:rFonts w:ascii="Arial" w:cs="Arial" w:eastAsia="Arial" w:hAnsi="Arial"/>
          <w:sz w:val="15"/>
          <w:szCs w:val="15"/>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downgrade our shares or change their opinion of our shares, our share price would likely decline. If one or more of these analysts cease coverage of us or fail to regularly publish reports on us, we could lose visibility in the financial markets, which could cause our share price or trading volume to decline. Even if our common stock is actively covered by analysts, we do not have any control over the analysts or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40"/>
        <w:spacing w:after="0" w:line="254" w:lineRule="auto"/>
        <w:rPr>
          <w:sz w:val="20"/>
          <w:szCs w:val="20"/>
          <w:color w:val="auto"/>
        </w:rPr>
      </w:pPr>
      <w:r>
        <w:rPr>
          <w:rFonts w:ascii="Arial" w:cs="Arial" w:eastAsia="Arial" w:hAnsi="Arial"/>
          <w:sz w:val="15"/>
          <w:szCs w:val="15"/>
          <w:color w:val="auto"/>
        </w:rPr>
        <w:t>measures that analysts or investors may rely upon to forecast our future results. Over-reliance by analysts or investors on any particular metric to forecast our future results may result in forecasts that differ significantly from our own.</w:t>
      </w:r>
    </w:p>
    <w:p>
      <w:pPr>
        <w:spacing w:after="0" w:line="86" w:lineRule="exact"/>
        <w:rPr>
          <w:sz w:val="20"/>
          <w:szCs w:val="20"/>
          <w:color w:val="auto"/>
        </w:rPr>
      </w:pPr>
    </w:p>
    <w:p>
      <w:pPr>
        <w:ind w:firstLine="451"/>
        <w:spacing w:after="0" w:line="249" w:lineRule="auto"/>
        <w:rPr>
          <w:sz w:val="20"/>
          <w:szCs w:val="20"/>
          <w:color w:val="auto"/>
        </w:rPr>
      </w:pPr>
      <w:r>
        <w:rPr>
          <w:rFonts w:ascii="Arial" w:cs="Arial" w:eastAsia="Arial" w:hAnsi="Arial"/>
          <w:sz w:val="15"/>
          <w:szCs w:val="15"/>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could have an adverse effect on our business, financial condition, results of operations and prospects.</w:t>
      </w:r>
    </w:p>
    <w:p>
      <w:pPr>
        <w:spacing w:after="0" w:line="121"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there has been and continues to be an adverse impact on global economic conditions and consumer confidence and spending, which could adversely affect our business as well as the demand for our products. The fluid nature of the COVID-19 pandemic and uncertainties regarding the related economic impact are likely to result in sustained market turmoil, which could also have an adverse effect on our business, financial condition, results of operations and future prospects.</w:t>
      </w:r>
    </w:p>
    <w:p>
      <w:pPr>
        <w:spacing w:after="0" w:line="92"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Further, the COVID-19 pandemic may impact customer demand. Our customers may be impacted if governments continue to implement regional business closures, quarantines, travel restrictions and other social distancing directives to slow the spread of the virus. To the extent our customers’ operations are negatively impacted, our customers may reduce demand for or spending on our products, or customers may delay payments to us or request payment or other concessions. There may also be significant reductions or volatility in demand for our services, as well as the temporary inability of customers to purchase our products due to illness, quarantine or financial hardship, shifts in demand away from one or more of our products, decreased consumer confidence and spending or pantry-loading activity, any of which may negatively impact our results, including as a result of an increased difficulty in planning for operations.</w:t>
      </w:r>
    </w:p>
    <w:p>
      <w:pPr>
        <w:spacing w:after="0" w:line="93" w:lineRule="exact"/>
        <w:rPr>
          <w:sz w:val="20"/>
          <w:szCs w:val="20"/>
          <w:color w:val="auto"/>
        </w:rPr>
      </w:pPr>
    </w:p>
    <w:p>
      <w:pPr>
        <w:ind w:firstLine="451"/>
        <w:spacing w:after="0" w:line="246" w:lineRule="auto"/>
        <w:rPr>
          <w:sz w:val="20"/>
          <w:szCs w:val="20"/>
          <w:color w:val="auto"/>
        </w:rPr>
      </w:pPr>
      <w:r>
        <w:rPr>
          <w:rFonts w:ascii="Arial" w:cs="Arial" w:eastAsia="Arial" w:hAnsi="Arial"/>
          <w:sz w:val="15"/>
          <w:szCs w:val="15"/>
          <w:color w:val="auto"/>
        </w:rPr>
        <w:t>The extent of the COVID-19 pandemic’s effect on our operational and financial performance will depend on future developments, including the duration and intensity of the pandemic, all of which are uncertain and difficult to predict considering the rapidly evolving landscape. As a result, it is not currently possible to ascertain the overall impact of the COVID-19 pandemic on our business. However, if the pandemic continues to persist as a severe worldwide health crisis, the disease could have an adverse effect on our business, financial condition, results of operations and future prospects, and may also have the effect of heightening many of the other risks described in this “Risk Factors” section.</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requirements applicable to “emerging growth companies” make our common stock less attractive to investors.</w:t>
      </w:r>
    </w:p>
    <w:p>
      <w:pPr>
        <w:spacing w:after="0" w:line="67" w:lineRule="exact"/>
        <w:rPr>
          <w:sz w:val="20"/>
          <w:szCs w:val="20"/>
          <w:color w:val="auto"/>
        </w:rPr>
      </w:pPr>
    </w:p>
    <w:p>
      <w:pPr>
        <w:ind w:right="20" w:firstLine="451"/>
        <w:spacing w:after="0" w:line="246" w:lineRule="auto"/>
        <w:rPr>
          <w:sz w:val="20"/>
          <w:szCs w:val="20"/>
          <w:color w:val="auto"/>
        </w:rPr>
      </w:pPr>
      <w:r>
        <w:rPr>
          <w:rFonts w:ascii="Arial" w:cs="Arial" w:eastAsia="Arial" w:hAnsi="Arial"/>
          <w:sz w:val="15"/>
          <w:szCs w:val="15"/>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4" w:lineRule="exact"/>
        <w:rPr>
          <w:sz w:val="20"/>
          <w:szCs w:val="20"/>
          <w:color w:val="auto"/>
        </w:rPr>
      </w:pPr>
    </w:p>
    <w:p>
      <w:pPr>
        <w:ind w:right="60" w:firstLine="451"/>
        <w:spacing w:after="0" w:line="246" w:lineRule="auto"/>
        <w:rPr>
          <w:sz w:val="20"/>
          <w:szCs w:val="20"/>
          <w:color w:val="auto"/>
        </w:rPr>
      </w:pPr>
      <w:r>
        <w:rPr>
          <w:rFonts w:ascii="Arial" w:cs="Arial" w:eastAsia="Arial" w:hAnsi="Arial"/>
          <w:sz w:val="15"/>
          <w:szCs w:val="15"/>
          <w:color w:val="auto"/>
        </w:rPr>
        <w:t>We cannot be certain whether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some or all of these reporting exemptions until we are no longer an “emerging growth company.” We will remain an “emerging growth company” until the earlier of (i) the last day of the fiscal year following the fifth anniversary of the completion of this offering, (ii) the last day of the fiscal year in which we have total annual gross revenue of at least $1.07 billion, (iii) the last day of the first fiscal year in which we are deemed to be a large accelerated filer, which means in part that the market value of our common stock that is held by non-affiliates equals or exceeds $700 million as of the prior June 30th, and (iv) the date on which we have issued more than $1.0 billion in non-convertible debt during the prior three-year period.</w:t>
      </w:r>
    </w:p>
    <w:p>
      <w:pPr>
        <w:spacing w:after="0" w:line="92" w:lineRule="exact"/>
        <w:rPr>
          <w:sz w:val="20"/>
          <w:szCs w:val="20"/>
          <w:color w:val="auto"/>
        </w:rPr>
      </w:pPr>
    </w:p>
    <w:p>
      <w:pPr>
        <w:jc w:val="both"/>
        <w:ind w:right="280" w:firstLine="451"/>
        <w:spacing w:after="0" w:line="249" w:lineRule="auto"/>
        <w:rPr>
          <w:sz w:val="20"/>
          <w:szCs w:val="20"/>
          <w:color w:val="auto"/>
        </w:rPr>
      </w:pPr>
      <w:r>
        <w:rPr>
          <w:rFonts w:ascii="Arial" w:cs="Arial" w:eastAsia="Arial" w:hAnsi="Arial"/>
          <w:sz w:val="15"/>
          <w:szCs w:val="15"/>
          <w:color w:val="auto"/>
        </w:rPr>
        <w:t>As an “emerging growth company,” the JOBS Act allows us to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reported financial results may be adversely affected by changes in GAAP .</w:t>
      </w:r>
    </w:p>
    <w:p>
      <w:pPr>
        <w:spacing w:after="0" w:line="121" w:lineRule="exact"/>
        <w:rPr>
          <w:sz w:val="20"/>
          <w:szCs w:val="20"/>
          <w:color w:val="auto"/>
        </w:rPr>
      </w:pPr>
    </w:p>
    <w:p>
      <w:pPr>
        <w:ind w:right="220" w:firstLine="451"/>
        <w:spacing w:after="0" w:line="246" w:lineRule="auto"/>
        <w:rPr>
          <w:sz w:val="20"/>
          <w:szCs w:val="20"/>
          <w:color w:val="auto"/>
        </w:rPr>
      </w:pPr>
      <w:r>
        <w:rPr>
          <w:rFonts w:ascii="Arial" w:cs="Arial" w:eastAsia="Arial" w:hAnsi="Arial"/>
          <w:sz w:val="15"/>
          <w:szCs w:val="15"/>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February 2016, the FASB issued Accounting Standard Codification No. 842, </w:t>
      </w:r>
      <w:r>
        <w:rPr>
          <w:rFonts w:ascii="Arial" w:cs="Arial" w:eastAsia="Arial" w:hAnsi="Arial"/>
          <w:sz w:val="15"/>
          <w:szCs w:val="15"/>
          <w:i w:val="1"/>
          <w:iCs w:val="1"/>
          <w:color w:val="auto"/>
        </w:rPr>
        <w:t>Leases</w:t>
      </w:r>
      <w:r>
        <w:rPr>
          <w:rFonts w:ascii="Arial" w:cs="Arial" w:eastAsia="Arial" w:hAnsi="Arial"/>
          <w:sz w:val="15"/>
          <w:szCs w:val="15"/>
          <w:color w:val="auto"/>
        </w:rPr>
        <w:t>, or ASC 842, which will require lessees to recognize right-of-use assets and lease liabilities for operating leases, initially measured at the present value of the lease payments, on its balance sheet for operating leases. The standard also requires a lessee to recognize a single lease cost, calculated so that the cost of the lease is allocated over the lease term, on a generally straight-line basis.</w:t>
      </w:r>
    </w:p>
    <w:p>
      <w:pPr>
        <w:spacing w:after="0" w:line="218" w:lineRule="exact"/>
        <w:rPr>
          <w:sz w:val="20"/>
          <w:szCs w:val="20"/>
          <w:color w:val="auto"/>
        </w:rPr>
      </w:pPr>
    </w:p>
    <w:p>
      <w:pPr>
        <w:ind w:firstLine="451"/>
        <w:spacing w:after="0" w:line="247" w:lineRule="auto"/>
        <w:rPr>
          <w:sz w:val="20"/>
          <w:szCs w:val="20"/>
          <w:color w:val="auto"/>
        </w:rPr>
      </w:pPr>
      <w:r>
        <w:rPr>
          <w:rFonts w:ascii="Arial" w:cs="Arial" w:eastAsia="Arial" w:hAnsi="Arial"/>
          <w:sz w:val="15"/>
          <w:szCs w:val="15"/>
          <w:color w:val="auto"/>
        </w:rPr>
        <w:t>We are planning to adopt ASC 842 effective January 1, 2022. We are in the process of evaluating the impact ASC 842 will have on our consolidated financial statements and related disclosures. Our prior historical financial information for the year ended December 31, 2020 and nine months ended September 30, 2021, as well as prior periods, will continue to be reported in accordance with historical accounting standards. These or other changes to existing rules may adversely impact our operating results and affect the comparability of our results from period to period..</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121"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(a)</w:t>
        <w:tab/>
        <w:t>Exhibits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exhibits listed below are filed as part of this Quarterly Report.</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18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Exhibit</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Number</w:t>
            </w:r>
          </w:p>
        </w:tc>
        <w:tc>
          <w:tcPr>
            <w:tcW w:w="10240" w:type="dxa"/>
            <w:vAlign w:val="bottom"/>
            <w:gridSpan w:val="12"/>
          </w:tcPr>
          <w:p>
            <w:pPr>
              <w:spacing w:after="0"/>
              <w:rPr>
                <w:sz w:val="20"/>
                <w:szCs w:val="20"/>
                <w:color w:val="auto"/>
              </w:rPr>
            </w:pPr>
            <w:r>
              <w:rPr>
                <w:rFonts w:ascii="Arial" w:cs="Arial" w:eastAsia="Arial" w:hAnsi="Arial"/>
                <w:sz w:val="13"/>
                <w:szCs w:val="13"/>
                <w:b w:val="1"/>
                <w:bCs w:val="1"/>
                <w:color w:val="auto"/>
              </w:rPr>
              <w:t>Description of Exhibit</w:t>
            </w:r>
          </w:p>
        </w:tc>
      </w:tr>
      <w:tr>
        <w:trPr>
          <w:trHeight w:val="223"/>
        </w:trPr>
        <w:tc>
          <w:tcPr>
            <w:tcW w:w="260" w:type="dxa"/>
            <w:vAlign w:val="bottom"/>
            <w:gridSpan w:val="2"/>
          </w:tcPr>
          <w:p>
            <w:pPr>
              <w:spacing w:after="0"/>
              <w:rPr>
                <w:rFonts w:ascii="Arial" w:cs="Arial" w:eastAsia="Arial" w:hAnsi="Arial"/>
                <w:sz w:val="13"/>
                <w:szCs w:val="13"/>
                <w:color w:val="0000FF"/>
              </w:rPr>
            </w:pPr>
            <w:hyperlink r:id="rId99">
              <w:r>
                <w:rPr>
                  <w:rFonts w:ascii="Arial" w:cs="Arial" w:eastAsia="Arial" w:hAnsi="Arial"/>
                  <w:sz w:val="13"/>
                  <w:szCs w:val="13"/>
                  <w:color w:val="0000FF"/>
                </w:rPr>
                <w:t>3.</w:t>
              </w:r>
              <w:r>
                <w:rPr>
                  <w:rFonts w:ascii="Arial" w:cs="Arial" w:eastAsia="Arial" w:hAnsi="Arial"/>
                  <w:sz w:val="13"/>
                  <w:szCs w:val="13"/>
                  <w:u w:val="single" w:color="auto"/>
                  <w:color w:val="0000FF"/>
                </w:rPr>
                <w:t>1</w:t>
              </w:r>
            </w:hyperlink>
          </w:p>
        </w:tc>
        <w:tc>
          <w:tcPr>
            <w:tcW w:w="720" w:type="dxa"/>
            <w:vAlign w:val="bottom"/>
          </w:tcPr>
          <w:p>
            <w:pPr>
              <w:spacing w:after="0"/>
              <w:rPr>
                <w:sz w:val="19"/>
                <w:szCs w:val="19"/>
                <w:color w:val="auto"/>
              </w:rPr>
            </w:pPr>
          </w:p>
        </w:tc>
        <w:tc>
          <w:tcPr>
            <w:tcW w:w="10240" w:type="dxa"/>
            <w:vAlign w:val="bottom"/>
            <w:gridSpan w:val="12"/>
          </w:tcPr>
          <w:p>
            <w:pPr>
              <w:spacing w:after="0"/>
              <w:rPr>
                <w:rFonts w:ascii="Arial" w:cs="Arial" w:eastAsia="Arial" w:hAnsi="Arial"/>
                <w:sz w:val="13"/>
                <w:szCs w:val="13"/>
                <w:color w:val="0000FF"/>
              </w:rPr>
            </w:pPr>
            <w:hyperlink r:id="rId99">
              <w:r>
                <w:rPr>
                  <w:rFonts w:ascii="Arial" w:cs="Arial" w:eastAsia="Arial" w:hAnsi="Arial"/>
                  <w:sz w:val="13"/>
                  <w:szCs w:val="13"/>
                  <w:color w:val="0000FF"/>
                </w:rPr>
                <w:t>Amended and Restated Certificate of Incorporation of LegalZoom.com, Inc. (incorporated by reference to Exhibit 3.1 to the Company’s Current Report on Form 8-K (File No.</w:t>
              </w:r>
            </w:hyperlink>
          </w:p>
        </w:tc>
      </w:tr>
      <w:tr>
        <w:trPr>
          <w:trHeight w:val="130"/>
        </w:trPr>
        <w:tc>
          <w:tcPr>
            <w:tcW w:w="1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160" w:type="dxa"/>
            <w:vAlign w:val="bottom"/>
            <w:tcBorders>
              <w:top w:val="single" w:sz="8" w:color="0000FF"/>
            </w:tcBorders>
            <w:gridSpan w:val="9"/>
          </w:tcPr>
          <w:p>
            <w:pPr>
              <w:spacing w:after="0" w:line="131" w:lineRule="exact"/>
              <w:rPr>
                <w:rFonts w:ascii="Arial" w:cs="Arial" w:eastAsia="Arial" w:hAnsi="Arial"/>
                <w:sz w:val="13"/>
                <w:szCs w:val="13"/>
                <w:color w:val="0000FF"/>
              </w:rPr>
            </w:pPr>
            <w:hyperlink r:id="rId99">
              <w:r>
                <w:rPr>
                  <w:rFonts w:ascii="Arial" w:cs="Arial" w:eastAsia="Arial" w:hAnsi="Arial"/>
                  <w:sz w:val="13"/>
                  <w:szCs w:val="13"/>
                  <w:color w:val="0000FF"/>
                </w:rPr>
                <w:t>001-35618) filed on July 2, 2021)</w:t>
              </w:r>
            </w:hyperlink>
          </w:p>
        </w:tc>
        <w:tc>
          <w:tcPr>
            <w:tcW w:w="80" w:type="dxa"/>
            <w:vAlign w:val="bottom"/>
            <w:gridSpan w:val="3"/>
          </w:tcPr>
          <w:p>
            <w:pPr>
              <w:spacing w:after="0"/>
              <w:rPr>
                <w:sz w:val="11"/>
                <w:szCs w:val="11"/>
                <w:color w:val="auto"/>
              </w:rPr>
            </w:pPr>
          </w:p>
        </w:tc>
      </w:tr>
      <w:tr>
        <w:trPr>
          <w:trHeight w:val="20"/>
        </w:trPr>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260" w:type="dxa"/>
            <w:vAlign w:val="bottom"/>
            <w:gridSpan w:val="2"/>
          </w:tcPr>
          <w:p>
            <w:pPr>
              <w:spacing w:after="0"/>
              <w:rPr>
                <w:rFonts w:ascii="Arial" w:cs="Arial" w:eastAsia="Arial" w:hAnsi="Arial"/>
                <w:sz w:val="13"/>
                <w:szCs w:val="13"/>
                <w:color w:val="0000FF"/>
              </w:rPr>
            </w:pPr>
            <w:hyperlink r:id="rId99">
              <w:r>
                <w:rPr>
                  <w:rFonts w:ascii="Arial" w:cs="Arial" w:eastAsia="Arial" w:hAnsi="Arial"/>
                  <w:sz w:val="13"/>
                  <w:szCs w:val="13"/>
                  <w:color w:val="0000FF"/>
                </w:rPr>
                <w:t>3.</w:t>
              </w:r>
              <w:r>
                <w:rPr>
                  <w:rFonts w:ascii="Arial" w:cs="Arial" w:eastAsia="Arial" w:hAnsi="Arial"/>
                  <w:sz w:val="13"/>
                  <w:szCs w:val="13"/>
                  <w:u w:val="single" w:color="auto"/>
                  <w:color w:val="0000FF"/>
                </w:rPr>
                <w:t>2</w:t>
              </w:r>
            </w:hyperlink>
          </w:p>
        </w:tc>
        <w:tc>
          <w:tcPr>
            <w:tcW w:w="720" w:type="dxa"/>
            <w:vAlign w:val="bottom"/>
          </w:tcPr>
          <w:p>
            <w:pPr>
              <w:spacing w:after="0"/>
              <w:rPr>
                <w:sz w:val="20"/>
                <w:szCs w:val="20"/>
                <w:color w:val="auto"/>
              </w:rPr>
            </w:pPr>
          </w:p>
        </w:tc>
        <w:tc>
          <w:tcPr>
            <w:tcW w:w="10240" w:type="dxa"/>
            <w:vAlign w:val="bottom"/>
            <w:gridSpan w:val="12"/>
          </w:tcPr>
          <w:p>
            <w:pPr>
              <w:spacing w:after="0"/>
              <w:rPr>
                <w:rFonts w:ascii="Arial" w:cs="Arial" w:eastAsia="Arial" w:hAnsi="Arial"/>
                <w:sz w:val="13"/>
                <w:szCs w:val="13"/>
                <w:color w:val="0000FF"/>
              </w:rPr>
            </w:pPr>
            <w:hyperlink r:id="rId99">
              <w:r>
                <w:rPr>
                  <w:rFonts w:ascii="Arial" w:cs="Arial" w:eastAsia="Arial" w:hAnsi="Arial"/>
                  <w:sz w:val="13"/>
                  <w:szCs w:val="13"/>
                  <w:color w:val="0000FF"/>
                </w:rPr>
                <w:t>Amended and Restated Bylaws of LegalZoom.com, Inc. (incorporated by reference to Exhibit 3.2 to the Company’s Current Report on Form 8-K (File No. 001-35618) filed on</w:t>
              </w:r>
            </w:hyperlink>
          </w:p>
        </w:tc>
      </w:tr>
      <w:tr>
        <w:trPr>
          <w:trHeight w:val="130"/>
        </w:trPr>
        <w:tc>
          <w:tcPr>
            <w:tcW w:w="1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1" w:lineRule="exact"/>
              <w:rPr>
                <w:rFonts w:ascii="Arial" w:cs="Arial" w:eastAsia="Arial" w:hAnsi="Arial"/>
                <w:sz w:val="13"/>
                <w:szCs w:val="13"/>
                <w:color w:val="0000FF"/>
                <w:w w:val="99"/>
              </w:rPr>
            </w:pPr>
            <w:hyperlink r:id="rId99">
              <w:r>
                <w:rPr>
                  <w:rFonts w:ascii="Arial" w:cs="Arial" w:eastAsia="Arial" w:hAnsi="Arial"/>
                  <w:sz w:val="13"/>
                  <w:szCs w:val="13"/>
                  <w:color w:val="0000FF"/>
                  <w:w w:val="99"/>
                </w:rPr>
                <w:t>July 2, 2021)</w:t>
              </w:r>
            </w:hyperlink>
          </w:p>
        </w:tc>
        <w:tc>
          <w:tcPr>
            <w:tcW w:w="946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r>
      <w:tr>
        <w:trPr>
          <w:trHeight w:val="238"/>
        </w:trPr>
        <w:tc>
          <w:tcPr>
            <w:tcW w:w="260" w:type="dxa"/>
            <w:vAlign w:val="bottom"/>
            <w:tcBorders>
              <w:bottom w:val="single" w:sz="8" w:color="0000FF"/>
            </w:tcBorders>
            <w:gridSpan w:val="2"/>
          </w:tcPr>
          <w:p>
            <w:pPr>
              <w:spacing w:after="0"/>
              <w:rPr>
                <w:rFonts w:ascii="Arial" w:cs="Arial" w:eastAsia="Arial" w:hAnsi="Arial"/>
                <w:sz w:val="13"/>
                <w:szCs w:val="13"/>
                <w:color w:val="0000FF"/>
                <w:w w:val="94"/>
              </w:rPr>
            </w:pPr>
            <w:hyperlink w:anchor="page79">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720" w:type="dxa"/>
            <w:vAlign w:val="bottom"/>
          </w:tcPr>
          <w:p>
            <w:pPr>
              <w:spacing w:after="0"/>
              <w:rPr>
                <w:sz w:val="20"/>
                <w:szCs w:val="20"/>
                <w:color w:val="auto"/>
              </w:rPr>
            </w:pPr>
          </w:p>
        </w:tc>
        <w:tc>
          <w:tcPr>
            <w:tcW w:w="10200" w:type="dxa"/>
            <w:vAlign w:val="bottom"/>
            <w:tcBorders>
              <w:bottom w:val="single" w:sz="8" w:color="0000FF"/>
            </w:tcBorders>
            <w:gridSpan w:val="10"/>
          </w:tcPr>
          <w:p>
            <w:pPr>
              <w:spacing w:after="0"/>
              <w:rPr>
                <w:rFonts w:ascii="Arial" w:cs="Arial" w:eastAsia="Arial" w:hAnsi="Arial"/>
                <w:sz w:val="13"/>
                <w:szCs w:val="13"/>
                <w:color w:val="0000FF"/>
              </w:rPr>
            </w:pPr>
            <w:hyperlink w:anchor="page79">
              <w:r>
                <w:rPr>
                  <w:rFonts w:ascii="Arial" w:cs="Arial" w:eastAsia="Arial" w:hAnsi="Arial"/>
                  <w:sz w:val="13"/>
                  <w:szCs w:val="13"/>
                  <w:color w:val="0000FF"/>
                </w:rPr>
                <w:t>Amended and Restated Credit and Guaranty Agreement, by and between LegalZoom.com, Inc., the other parties thereto and JPMorgan Chase Bank, N.A., as administrative</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8"/>
        </w:trPr>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00" w:type="dxa"/>
            <w:vAlign w:val="bottom"/>
            <w:tcBorders>
              <w:bottom w:val="single" w:sz="8" w:color="0000FF"/>
            </w:tcBorders>
            <w:gridSpan w:val="2"/>
          </w:tcPr>
          <w:p>
            <w:pPr>
              <w:spacing w:after="0" w:line="98" w:lineRule="exact"/>
              <w:rPr>
                <w:rFonts w:ascii="Arial" w:cs="Arial" w:eastAsia="Arial" w:hAnsi="Arial"/>
                <w:sz w:val="11"/>
                <w:szCs w:val="11"/>
                <w:color w:val="0000FF"/>
              </w:rPr>
            </w:pPr>
            <w:hyperlink w:anchor="page79">
              <w:r>
                <w:rPr>
                  <w:rFonts w:ascii="Arial" w:cs="Arial" w:eastAsia="Arial" w:hAnsi="Arial"/>
                  <w:sz w:val="11"/>
                  <w:szCs w:val="11"/>
                  <w:color w:val="0000FF"/>
                </w:rPr>
                <w:t>agent, dated July 2, 2021</w:t>
              </w:r>
            </w:hyperlink>
          </w:p>
        </w:tc>
        <w:tc>
          <w:tcPr>
            <w:tcW w:w="8700" w:type="dxa"/>
            <w:vAlign w:val="bottom"/>
            <w:gridSpan w:val="8"/>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8"/>
        </w:trPr>
        <w:tc>
          <w:tcPr>
            <w:tcW w:w="980" w:type="dxa"/>
            <w:vAlign w:val="bottom"/>
            <w:gridSpan w:val="3"/>
          </w:tcPr>
          <w:p>
            <w:pPr>
              <w:spacing w:after="0"/>
              <w:rPr>
                <w:rFonts w:ascii="Arial" w:cs="Arial" w:eastAsia="Arial" w:hAnsi="Arial"/>
                <w:sz w:val="13"/>
                <w:szCs w:val="13"/>
                <w:color w:val="0000FF"/>
              </w:rPr>
            </w:pPr>
            <w:hyperlink r:id="rId100">
              <w:r>
                <w:rPr>
                  <w:rFonts w:ascii="Arial" w:cs="Arial" w:eastAsia="Arial" w:hAnsi="Arial"/>
                  <w:sz w:val="13"/>
                  <w:szCs w:val="13"/>
                  <w:color w:val="0000FF"/>
                </w:rPr>
                <w:t>10.</w:t>
              </w:r>
              <w:r>
                <w:rPr>
                  <w:rFonts w:ascii="Arial" w:cs="Arial" w:eastAsia="Arial" w:hAnsi="Arial"/>
                  <w:sz w:val="13"/>
                  <w:szCs w:val="13"/>
                  <w:u w:val="single" w:color="auto"/>
                  <w:color w:val="0000FF"/>
                </w:rPr>
                <w:t>2</w:t>
              </w:r>
            </w:hyperlink>
            <w:r>
              <w:rPr>
                <w:rFonts w:ascii="Arial" w:cs="Arial" w:eastAsia="Arial" w:hAnsi="Arial"/>
                <w:sz w:val="13"/>
                <w:szCs w:val="13"/>
                <w:color w:val="000000"/>
              </w:rPr>
              <w:t>+</w:t>
            </w:r>
          </w:p>
        </w:tc>
        <w:tc>
          <w:tcPr>
            <w:tcW w:w="10240" w:type="dxa"/>
            <w:vAlign w:val="bottom"/>
            <w:gridSpan w:val="12"/>
          </w:tcPr>
          <w:p>
            <w:pPr>
              <w:spacing w:after="0"/>
              <w:rPr>
                <w:rFonts w:ascii="Arial" w:cs="Arial" w:eastAsia="Arial" w:hAnsi="Arial"/>
                <w:sz w:val="13"/>
                <w:szCs w:val="13"/>
                <w:color w:val="0000FF"/>
              </w:rPr>
            </w:pPr>
            <w:hyperlink r:id="rId100">
              <w:r>
                <w:rPr>
                  <w:rFonts w:ascii="Arial" w:cs="Arial" w:eastAsia="Arial" w:hAnsi="Arial"/>
                  <w:sz w:val="13"/>
                  <w:szCs w:val="13"/>
                  <w:color w:val="0000FF"/>
                </w:rPr>
                <w:t>Amended and Restated Employment Agreement, by and between LegalZoom.com, Inc. and Shrisha Radhakrishna, dated July 16, 2021 (incorporated by reference to Exhibit</w:t>
              </w:r>
            </w:hyperlink>
          </w:p>
        </w:tc>
      </w:tr>
      <w:tr>
        <w:trPr>
          <w:trHeight w:val="98"/>
        </w:trPr>
        <w:tc>
          <w:tcPr>
            <w:tcW w:w="1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20" w:type="dxa"/>
            <w:vAlign w:val="bottom"/>
          </w:tcPr>
          <w:p>
            <w:pPr>
              <w:spacing w:after="0"/>
              <w:rPr>
                <w:sz w:val="8"/>
                <w:szCs w:val="8"/>
                <w:color w:val="auto"/>
              </w:rPr>
            </w:pPr>
          </w:p>
        </w:tc>
        <w:tc>
          <w:tcPr>
            <w:tcW w:w="6340" w:type="dxa"/>
            <w:vAlign w:val="bottom"/>
            <w:tcBorders>
              <w:top w:val="single" w:sz="8" w:color="0000FF"/>
              <w:bottom w:val="single" w:sz="8" w:color="0000FF"/>
            </w:tcBorders>
            <w:gridSpan w:val="7"/>
          </w:tcPr>
          <w:p>
            <w:pPr>
              <w:spacing w:after="0" w:line="98" w:lineRule="exact"/>
              <w:rPr>
                <w:rFonts w:ascii="Arial" w:cs="Arial" w:eastAsia="Arial" w:hAnsi="Arial"/>
                <w:sz w:val="11"/>
                <w:szCs w:val="11"/>
                <w:color w:val="0000FF"/>
              </w:rPr>
            </w:pPr>
            <w:hyperlink r:id="rId100">
              <w:r>
                <w:rPr>
                  <w:rFonts w:ascii="Arial" w:cs="Arial" w:eastAsia="Arial" w:hAnsi="Arial"/>
                  <w:sz w:val="11"/>
                  <w:szCs w:val="11"/>
                  <w:color w:val="0000FF"/>
                </w:rPr>
                <w:t>10.</w:t>
              </w:r>
              <w:r>
                <w:rPr>
                  <w:rFonts w:ascii="Arial" w:cs="Arial" w:eastAsia="Arial" w:hAnsi="Arial"/>
                  <w:sz w:val="11"/>
                  <w:szCs w:val="11"/>
                  <w:u w:val="single" w:color="auto"/>
                  <w:color w:val="0000FF"/>
                </w:rPr>
                <w:t>6</w:t>
              </w:r>
              <w:r>
                <w:rPr>
                  <w:rFonts w:ascii="Arial" w:cs="Arial" w:eastAsia="Arial" w:hAnsi="Arial"/>
                  <w:sz w:val="11"/>
                  <w:szCs w:val="11"/>
                  <w:color w:val="0000FF"/>
                </w:rPr>
                <w:t xml:space="preserve"> to the company’s Registration Statement on Form S-1/A (File No. 333-256803) filed on June 21, 2021)</w:t>
              </w:r>
            </w:hyperlink>
          </w:p>
        </w:tc>
        <w:tc>
          <w:tcPr>
            <w:tcW w:w="3880" w:type="dxa"/>
            <w:vAlign w:val="bottom"/>
            <w:tcBorders>
              <w:top w:val="single" w:sz="8" w:color="0000FF"/>
            </w:tcBorders>
            <w:gridSpan w:val="4"/>
          </w:tcPr>
          <w:p>
            <w:pPr>
              <w:spacing w:after="0"/>
              <w:rPr>
                <w:sz w:val="8"/>
                <w:szCs w:val="8"/>
                <w:color w:val="auto"/>
              </w:rPr>
            </w:pPr>
          </w:p>
        </w:tc>
        <w:tc>
          <w:tcPr>
            <w:tcW w:w="20" w:type="dxa"/>
            <w:vAlign w:val="bottom"/>
          </w:tcPr>
          <w:p>
            <w:pPr>
              <w:spacing w:after="0"/>
              <w:rPr>
                <w:sz w:val="8"/>
                <w:szCs w:val="8"/>
                <w:color w:val="auto"/>
              </w:rPr>
            </w:pPr>
          </w:p>
        </w:tc>
      </w:tr>
      <w:tr>
        <w:trPr>
          <w:trHeight w:val="223"/>
        </w:trPr>
        <w:tc>
          <w:tcPr>
            <w:tcW w:w="980" w:type="dxa"/>
            <w:vAlign w:val="bottom"/>
            <w:gridSpan w:val="3"/>
          </w:tcPr>
          <w:p>
            <w:pPr>
              <w:spacing w:after="0"/>
              <w:rPr>
                <w:rFonts w:ascii="Arial" w:cs="Arial" w:eastAsia="Arial" w:hAnsi="Arial"/>
                <w:sz w:val="13"/>
                <w:szCs w:val="13"/>
                <w:color w:val="0000FF"/>
              </w:rPr>
            </w:pPr>
            <w:hyperlink w:anchor="page390">
              <w:r>
                <w:rPr>
                  <w:rFonts w:ascii="Arial" w:cs="Arial" w:eastAsia="Arial" w:hAnsi="Arial"/>
                  <w:sz w:val="13"/>
                  <w:szCs w:val="13"/>
                  <w:color w:val="0000FF"/>
                </w:rPr>
                <w:t>10.</w:t>
              </w:r>
              <w:r>
                <w:rPr>
                  <w:rFonts w:ascii="Arial" w:cs="Arial" w:eastAsia="Arial" w:hAnsi="Arial"/>
                  <w:sz w:val="13"/>
                  <w:szCs w:val="13"/>
                  <w:u w:val="single" w:color="auto"/>
                  <w:color w:val="0000FF"/>
                </w:rPr>
                <w:t>3</w:t>
              </w:r>
            </w:hyperlink>
            <w:r>
              <w:rPr>
                <w:rFonts w:ascii="Arial" w:cs="Arial" w:eastAsia="Arial" w:hAnsi="Arial"/>
                <w:sz w:val="13"/>
                <w:szCs w:val="13"/>
                <w:color w:val="000000"/>
              </w:rPr>
              <w:t>+</w:t>
            </w:r>
          </w:p>
        </w:tc>
        <w:tc>
          <w:tcPr>
            <w:tcW w:w="10240" w:type="dxa"/>
            <w:vAlign w:val="bottom"/>
            <w:gridSpan w:val="12"/>
          </w:tcPr>
          <w:p>
            <w:pPr>
              <w:spacing w:after="0"/>
              <w:rPr>
                <w:rFonts w:ascii="Arial" w:cs="Arial" w:eastAsia="Arial" w:hAnsi="Arial"/>
                <w:sz w:val="13"/>
                <w:szCs w:val="13"/>
                <w:color w:val="0000FF"/>
              </w:rPr>
            </w:pPr>
            <w:hyperlink w:anchor="page390">
              <w:r>
                <w:rPr>
                  <w:rFonts w:ascii="Arial" w:cs="Arial" w:eastAsia="Arial" w:hAnsi="Arial"/>
                  <w:sz w:val="13"/>
                  <w:szCs w:val="13"/>
                  <w:color w:val="0000FF"/>
                </w:rPr>
                <w:t>Amendment to Employment Agreement, by and between LegalZoom.com, Inc. and Shrisha Radhakrishna, dated October 26, 2021</w:t>
              </w:r>
            </w:hyperlink>
          </w:p>
        </w:tc>
      </w:tr>
      <w:tr>
        <w:trPr>
          <w:trHeight w:val="238"/>
        </w:trPr>
        <w:tc>
          <w:tcPr>
            <w:tcW w:w="260" w:type="dxa"/>
            <w:vAlign w:val="bottom"/>
            <w:tcBorders>
              <w:top w:val="single" w:sz="8" w:color="0000FF"/>
              <w:bottom w:val="single" w:sz="8" w:color="0000FF"/>
            </w:tcBorders>
            <w:gridSpan w:val="2"/>
          </w:tcPr>
          <w:p>
            <w:pPr>
              <w:spacing w:after="0"/>
              <w:rPr>
                <w:rFonts w:ascii="Arial" w:cs="Arial" w:eastAsia="Arial" w:hAnsi="Arial"/>
                <w:sz w:val="13"/>
                <w:szCs w:val="13"/>
                <w:color w:val="0000FF"/>
                <w:w w:val="94"/>
              </w:rPr>
            </w:pPr>
            <w:hyperlink w:anchor="page391">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hyperlink>
          </w:p>
        </w:tc>
        <w:tc>
          <w:tcPr>
            <w:tcW w:w="720" w:type="dxa"/>
            <w:vAlign w:val="bottom"/>
          </w:tcPr>
          <w:p>
            <w:pPr>
              <w:spacing w:after="0"/>
              <w:rPr>
                <w:sz w:val="20"/>
                <w:szCs w:val="20"/>
                <w:color w:val="auto"/>
              </w:rPr>
            </w:pPr>
          </w:p>
        </w:tc>
        <w:tc>
          <w:tcPr>
            <w:tcW w:w="4500" w:type="dxa"/>
            <w:vAlign w:val="bottom"/>
            <w:tcBorders>
              <w:top w:val="single" w:sz="8" w:color="0000FF"/>
              <w:bottom w:val="single" w:sz="8" w:color="0000FF"/>
            </w:tcBorders>
            <w:gridSpan w:val="5"/>
          </w:tcPr>
          <w:p>
            <w:pPr>
              <w:spacing w:after="0"/>
              <w:rPr>
                <w:rFonts w:ascii="Arial" w:cs="Arial" w:eastAsia="Arial" w:hAnsi="Arial"/>
                <w:sz w:val="13"/>
                <w:szCs w:val="13"/>
                <w:color w:val="0000FF"/>
              </w:rPr>
            </w:pPr>
            <w:hyperlink w:anchor="page391">
              <w:r>
                <w:rPr>
                  <w:rFonts w:ascii="Arial" w:cs="Arial" w:eastAsia="Arial" w:hAnsi="Arial"/>
                  <w:sz w:val="13"/>
                  <w:szCs w:val="13"/>
                  <w:color w:val="0000FF"/>
                </w:rPr>
                <w:t>Certification of Chief Executive Officer pursuant to Rule 13a-14(a)/15d-14(a)</w:t>
              </w:r>
            </w:hyperlink>
          </w:p>
        </w:tc>
        <w:tc>
          <w:tcPr>
            <w:tcW w:w="3220" w:type="dxa"/>
            <w:vAlign w:val="bottom"/>
            <w:tcBorders>
              <w:top w:val="single" w:sz="8" w:color="0000FF"/>
            </w:tcBorders>
            <w:gridSpan w:val="3"/>
          </w:tcPr>
          <w:p>
            <w:pPr>
              <w:spacing w:after="0"/>
              <w:rPr>
                <w:sz w:val="20"/>
                <w:szCs w:val="20"/>
                <w:color w:val="auto"/>
              </w:rPr>
            </w:pPr>
          </w:p>
        </w:tc>
        <w:tc>
          <w:tcPr>
            <w:tcW w:w="2520" w:type="dxa"/>
            <w:vAlign w:val="bottom"/>
            <w:gridSpan w:val="4"/>
          </w:tcPr>
          <w:p>
            <w:pPr>
              <w:spacing w:after="0"/>
              <w:rPr>
                <w:sz w:val="20"/>
                <w:szCs w:val="20"/>
                <w:color w:val="auto"/>
              </w:rPr>
            </w:pPr>
          </w:p>
        </w:tc>
      </w:tr>
      <w:tr>
        <w:trPr>
          <w:trHeight w:val="231"/>
        </w:trPr>
        <w:tc>
          <w:tcPr>
            <w:tcW w:w="260" w:type="dxa"/>
            <w:vAlign w:val="bottom"/>
            <w:gridSpan w:val="2"/>
          </w:tcPr>
          <w:p>
            <w:pPr>
              <w:spacing w:after="0"/>
              <w:rPr>
                <w:rFonts w:ascii="Arial" w:cs="Arial" w:eastAsia="Arial" w:hAnsi="Arial"/>
                <w:sz w:val="13"/>
                <w:szCs w:val="13"/>
                <w:color w:val="0000FF"/>
                <w:w w:val="94"/>
              </w:rPr>
            </w:pPr>
            <w:hyperlink w:anchor="page392">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hyperlink>
          </w:p>
        </w:tc>
        <w:tc>
          <w:tcPr>
            <w:tcW w:w="720" w:type="dxa"/>
            <w:vAlign w:val="bottom"/>
          </w:tcPr>
          <w:p>
            <w:pPr>
              <w:spacing w:after="0"/>
              <w:rPr>
                <w:sz w:val="20"/>
                <w:szCs w:val="20"/>
                <w:color w:val="auto"/>
              </w:rPr>
            </w:pPr>
          </w:p>
        </w:tc>
        <w:tc>
          <w:tcPr>
            <w:tcW w:w="10240" w:type="dxa"/>
            <w:vAlign w:val="bottom"/>
            <w:gridSpan w:val="12"/>
          </w:tcPr>
          <w:p>
            <w:pPr>
              <w:spacing w:after="0"/>
              <w:rPr>
                <w:rFonts w:ascii="Arial" w:cs="Arial" w:eastAsia="Arial" w:hAnsi="Arial"/>
                <w:sz w:val="13"/>
                <w:szCs w:val="13"/>
                <w:color w:val="0000FF"/>
              </w:rPr>
            </w:pPr>
            <w:hyperlink w:anchor="page392">
              <w:r>
                <w:rPr>
                  <w:rFonts w:ascii="Arial" w:cs="Arial" w:eastAsia="Arial" w:hAnsi="Arial"/>
                  <w:sz w:val="13"/>
                  <w:szCs w:val="13"/>
                  <w:color w:val="0000FF"/>
                </w:rPr>
                <w:t>Certification of Chief Financial Officer pursuant to Rule 13a-14(a)/15d-14(a)</w:t>
              </w:r>
            </w:hyperlink>
          </w:p>
        </w:tc>
      </w:tr>
      <w:tr>
        <w:trPr>
          <w:trHeight w:val="20"/>
        </w:trPr>
        <w:tc>
          <w:tcPr>
            <w:tcW w:w="2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r>
      <w:tr>
        <w:trPr>
          <w:trHeight w:val="231"/>
        </w:trPr>
        <w:tc>
          <w:tcPr>
            <w:tcW w:w="260" w:type="dxa"/>
            <w:vAlign w:val="bottom"/>
            <w:tcBorders>
              <w:bottom w:val="single" w:sz="8" w:color="0000FF"/>
            </w:tcBorders>
            <w:gridSpan w:val="2"/>
          </w:tcPr>
          <w:p>
            <w:pPr>
              <w:spacing w:after="0"/>
              <w:rPr>
                <w:rFonts w:ascii="Arial" w:cs="Arial" w:eastAsia="Arial" w:hAnsi="Arial"/>
                <w:sz w:val="13"/>
                <w:szCs w:val="13"/>
                <w:color w:val="0000FF"/>
                <w:w w:val="94"/>
              </w:rPr>
            </w:pPr>
            <w:hyperlink w:anchor="page393">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hyperlink>
          </w:p>
        </w:tc>
        <w:tc>
          <w:tcPr>
            <w:tcW w:w="720" w:type="dxa"/>
            <w:vAlign w:val="bottom"/>
          </w:tcPr>
          <w:p>
            <w:pPr>
              <w:spacing w:after="0"/>
              <w:rPr>
                <w:sz w:val="20"/>
                <w:szCs w:val="20"/>
                <w:color w:val="auto"/>
              </w:rPr>
            </w:pPr>
          </w:p>
        </w:tc>
        <w:tc>
          <w:tcPr>
            <w:tcW w:w="5960" w:type="dxa"/>
            <w:vAlign w:val="bottom"/>
            <w:tcBorders>
              <w:bottom w:val="single" w:sz="8" w:color="0000FF"/>
            </w:tcBorders>
            <w:gridSpan w:val="6"/>
          </w:tcPr>
          <w:p>
            <w:pPr>
              <w:spacing w:after="0"/>
              <w:rPr>
                <w:rFonts w:ascii="Arial" w:cs="Arial" w:eastAsia="Arial" w:hAnsi="Arial"/>
                <w:sz w:val="13"/>
                <w:szCs w:val="13"/>
                <w:color w:val="0000FF"/>
              </w:rPr>
            </w:pPr>
            <w:hyperlink w:anchor="page393">
              <w:r>
                <w:rPr>
                  <w:rFonts w:ascii="Arial" w:cs="Arial" w:eastAsia="Arial" w:hAnsi="Arial"/>
                  <w:sz w:val="13"/>
                  <w:szCs w:val="13"/>
                  <w:color w:val="0000FF"/>
                </w:rPr>
                <w:t>Certification of Chief Executive Officer and Chief Financial Officer pursuant to 18 U.S.C Section 1350</w:t>
              </w:r>
            </w:hyperlink>
          </w:p>
        </w:tc>
        <w:tc>
          <w:tcPr>
            <w:tcW w:w="4280" w:type="dxa"/>
            <w:vAlign w:val="bottom"/>
            <w:gridSpan w:val="6"/>
          </w:tcPr>
          <w:p>
            <w:pPr>
              <w:spacing w:after="0"/>
              <w:rPr>
                <w:sz w:val="20"/>
                <w:szCs w:val="20"/>
                <w:color w:val="auto"/>
              </w:rPr>
            </w:pPr>
          </w:p>
        </w:tc>
      </w:tr>
    </w:tbl>
    <w:p>
      <w:pPr>
        <w:spacing w:after="0" w:line="105" w:lineRule="exact"/>
        <w:rPr>
          <w:sz w:val="20"/>
          <w:szCs w:val="20"/>
          <w:color w:val="auto"/>
        </w:rPr>
      </w:pPr>
    </w:p>
    <w:p>
      <w:pPr>
        <w:ind w:left="1000" w:right="340" w:hanging="983"/>
        <w:spacing w:after="0" w:line="250"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Quarterly Report on Form 10-Q for the quarter ended September 30, 2021 were formatted in Inline XBRL: (i) Condensed Consolidated Balance Sheets, (ii) Condensed Consolidated Statements of Operations, (iii) Condensed Consolidated Statements of Comprehensive Income (Loss), (iv) Condensed Consolidated Statement of Stockholders’ Equity (Deficit), (v) Condensed Consolidated Statements of Cash Flows.</w:t>
      </w:r>
    </w:p>
    <w:p>
      <w:pPr>
        <w:spacing w:after="0" w:line="8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(formatted in Inline XBRL and contained in Exhibit 101)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w:t>
      </w:r>
    </w:p>
    <w:p>
      <w:pPr>
        <w:spacing w:after="0" w:line="19" w:lineRule="exact"/>
        <w:rPr>
          <w:sz w:val="20"/>
          <w:szCs w:val="20"/>
          <w:color w:val="auto"/>
        </w:rPr>
      </w:pPr>
    </w:p>
    <w:p>
      <w:pPr>
        <w:ind w:left="300" w:hanging="300"/>
        <w:spacing w:after="0"/>
        <w:tabs>
          <w:tab w:leader="none" w:pos="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724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SIGNATURES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LegalZoom.com, Inc.</w:t>
      </w:r>
    </w:p>
    <w:p>
      <w:pPr>
        <w:spacing w:after="0" w:line="291"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5"/>
          <w:szCs w:val="15"/>
          <w:color w:val="auto"/>
        </w:rPr>
        <w:t>Date: November 10,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16510</wp:posOffset>
            </wp:positionV>
            <wp:extent cx="34156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415665" cy="8255"/>
                    </a:xfrm>
                    <a:prstGeom prst="rect">
                      <a:avLst/>
                    </a:prstGeom>
                    <a:noFill/>
                  </pic:spPr>
                </pic:pic>
              </a:graphicData>
            </a:graphic>
          </wp:anchor>
        </w:drawing>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5"/>
          <w:szCs w:val="15"/>
          <w:b w:val="1"/>
          <w:bCs w:val="1"/>
          <w:color w:val="auto"/>
        </w:rPr>
        <w:t>Dan Wernikoff</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5"/>
          <w:szCs w:val="15"/>
          <w:b w:val="1"/>
          <w:bCs w:val="1"/>
          <w:color w:val="auto"/>
        </w:rPr>
        <w:t>Chief Executive Officer</w:t>
      </w:r>
    </w:p>
    <w:p>
      <w:pPr>
        <w:spacing w:after="0" w:line="291" w:lineRule="exact"/>
        <w:rPr>
          <w:sz w:val="20"/>
          <w:szCs w:val="20"/>
          <w:color w:val="auto"/>
        </w:rPr>
      </w:pPr>
    </w:p>
    <w:p>
      <w:pPr>
        <w:ind w:left="20"/>
        <w:spacing w:after="0"/>
        <w:tabs>
          <w:tab w:leader="none" w:pos="5380" w:val="left"/>
          <w:tab w:leader="none" w:pos="7980" w:val="left"/>
        </w:tabs>
        <w:rPr>
          <w:sz w:val="20"/>
          <w:szCs w:val="20"/>
          <w:color w:val="auto"/>
        </w:rPr>
      </w:pPr>
      <w:r>
        <w:rPr>
          <w:rFonts w:ascii="Arial" w:cs="Arial" w:eastAsia="Arial" w:hAnsi="Arial"/>
          <w:sz w:val="15"/>
          <w:szCs w:val="15"/>
          <w:color w:val="auto"/>
        </w:rPr>
        <w:t>Date: November 10,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16510</wp:posOffset>
            </wp:positionV>
            <wp:extent cx="3415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415665" cy="8255"/>
                    </a:xfrm>
                    <a:prstGeom prst="rect">
                      <a:avLst/>
                    </a:prstGeom>
                    <a:noFill/>
                  </pic:spPr>
                </pic:pic>
              </a:graphicData>
            </a:graphic>
          </wp:anchor>
        </w:drawing>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5"/>
          <w:szCs w:val="15"/>
          <w:b w:val="1"/>
          <w:bCs w:val="1"/>
          <w:color w:val="auto"/>
        </w:rPr>
        <w:t>Noel Watson</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5"/>
          <w:szCs w:val="15"/>
          <w:b w:val="1"/>
          <w:bCs w:val="1"/>
          <w:color w:val="auto"/>
        </w:rPr>
        <w:t>Chief Financial Officer</w:t>
      </w:r>
    </w:p>
    <w:p>
      <w:pPr>
        <w:spacing w:after="0" w:line="3" w:lineRule="exact"/>
        <w:rPr>
          <w:sz w:val="20"/>
          <w:szCs w:val="20"/>
          <w:color w:val="auto"/>
        </w:rPr>
      </w:pPr>
    </w:p>
    <w:p>
      <w:pPr>
        <w:jc w:val="center"/>
        <w:ind w:left="582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100"/>
          </w:cols>
          <w:pgMar w:left="320" w:top="123" w:right="47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$150,000,000 Revolving Facility</w:t>
      </w:r>
    </w:p>
    <w:p>
      <w:pPr>
        <w:spacing w:after="0" w:line="198" w:lineRule="exact"/>
        <w:rPr>
          <w:sz w:val="20"/>
          <w:szCs w:val="20"/>
          <w:color w:val="auto"/>
        </w:rPr>
      </w:pPr>
    </w:p>
    <w:p>
      <w:pPr>
        <w:jc w:val="center"/>
        <w:ind w:right="600"/>
        <w:spacing w:after="0"/>
        <w:rPr>
          <w:sz w:val="20"/>
          <w:szCs w:val="20"/>
          <w:color w:val="auto"/>
        </w:rPr>
      </w:pPr>
      <w:r>
        <w:rPr>
          <w:rFonts w:ascii="Arial" w:cs="Arial" w:eastAsia="Arial" w:hAnsi="Arial"/>
          <w:sz w:val="15"/>
          <w:szCs w:val="15"/>
          <w:b w:val="1"/>
          <w:bCs w:val="1"/>
          <w:color w:val="auto"/>
        </w:rPr>
        <w:t>AMENDED AND RESTATED CREDIT AND GUARANTY AGREEMENT</w:t>
      </w:r>
    </w:p>
    <w:p>
      <w:pPr>
        <w:spacing w:after="0" w:line="247"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among</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LegalZoom.com, Inc., as the Borrower,</w:t>
      </w:r>
    </w:p>
    <w:p>
      <w:pPr>
        <w:spacing w:after="0" w:line="30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The Other Loan Parties from Time to Time Parties Hereto, The Several Lenders from Time to</w:t>
      </w:r>
    </w:p>
    <w:p>
      <w:pPr>
        <w:spacing w:after="0" w:line="166"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Time Parties Hereto, and</w:t>
      </w:r>
    </w:p>
    <w:p>
      <w:pPr>
        <w:spacing w:after="0" w:line="78"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JPMorgan Chase Bank, N.A., as Administrative Agent</w:t>
      </w:r>
    </w:p>
    <w:p>
      <w:pPr>
        <w:spacing w:after="0" w:line="229"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Dated as of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635</wp:posOffset>
            </wp:positionV>
            <wp:extent cx="4999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87"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JPMorgan Chase Bank, N.A., Morgan Stanley Senior Funding, Inc.,</w:t>
      </w:r>
    </w:p>
    <w:p>
      <w:pPr>
        <w:jc w:val="center"/>
        <w:ind w:right="600"/>
        <w:spacing w:after="0" w:line="226" w:lineRule="auto"/>
        <w:rPr>
          <w:sz w:val="20"/>
          <w:szCs w:val="20"/>
          <w:color w:val="auto"/>
        </w:rPr>
      </w:pPr>
      <w:r>
        <w:rPr>
          <w:rFonts w:ascii="Arial" w:cs="Arial" w:eastAsia="Arial" w:hAnsi="Arial"/>
          <w:sz w:val="15"/>
          <w:szCs w:val="15"/>
          <w:color w:val="auto"/>
        </w:rPr>
        <w:t>Barclays Bank PLC,</w:t>
      </w:r>
    </w:p>
    <w:p>
      <w:pPr>
        <w:jc w:val="center"/>
        <w:ind w:right="600"/>
        <w:spacing w:after="0" w:line="227" w:lineRule="auto"/>
        <w:rPr>
          <w:sz w:val="20"/>
          <w:szCs w:val="20"/>
          <w:color w:val="auto"/>
        </w:rPr>
      </w:pPr>
      <w:r>
        <w:rPr>
          <w:rFonts w:ascii="Arial" w:cs="Arial" w:eastAsia="Arial" w:hAnsi="Arial"/>
          <w:sz w:val="15"/>
          <w:szCs w:val="15"/>
          <w:color w:val="auto"/>
        </w:rPr>
        <w:t>Citibank, N.A., BofA Securities, Inc.</w:t>
      </w:r>
    </w:p>
    <w:p>
      <w:pPr>
        <w:jc w:val="center"/>
        <w:ind w:right="600"/>
        <w:spacing w:after="0" w:line="227" w:lineRule="auto"/>
        <w:rPr>
          <w:sz w:val="20"/>
          <w:szCs w:val="20"/>
          <w:color w:val="auto"/>
        </w:rPr>
      </w:pPr>
      <w:r>
        <w:rPr>
          <w:rFonts w:ascii="Arial" w:cs="Arial" w:eastAsia="Arial" w:hAnsi="Arial"/>
          <w:sz w:val="15"/>
          <w:szCs w:val="15"/>
          <w:color w:val="auto"/>
        </w:rPr>
        <w:t>Credit Suisse Loan Funding LLC and</w:t>
      </w:r>
    </w:p>
    <w:p>
      <w:pPr>
        <w:jc w:val="center"/>
        <w:ind w:right="600"/>
        <w:spacing w:after="0"/>
        <w:rPr>
          <w:sz w:val="20"/>
          <w:szCs w:val="20"/>
          <w:color w:val="auto"/>
        </w:rPr>
      </w:pPr>
      <w:r>
        <w:rPr>
          <w:rFonts w:ascii="Arial" w:cs="Arial" w:eastAsia="Arial" w:hAnsi="Arial"/>
          <w:sz w:val="15"/>
          <w:szCs w:val="15"/>
          <w:color w:val="auto"/>
        </w:rPr>
        <w:t>Jefferies Finance LLC, as Joint Lead Arrangers</w:t>
      </w:r>
    </w:p>
    <w:p>
      <w:pPr>
        <w:spacing w:after="0" w:line="229"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and</w:t>
      </w:r>
    </w:p>
    <w:p>
      <w:pPr>
        <w:spacing w:after="0" w:line="216" w:lineRule="exact"/>
        <w:rPr>
          <w:sz w:val="20"/>
          <w:szCs w:val="20"/>
          <w:color w:val="auto"/>
        </w:rPr>
      </w:pPr>
    </w:p>
    <w:p>
      <w:pPr>
        <w:ind w:left="2840"/>
        <w:spacing w:after="0"/>
        <w:rPr>
          <w:sz w:val="20"/>
          <w:szCs w:val="20"/>
          <w:color w:val="auto"/>
        </w:rPr>
      </w:pPr>
      <w:r>
        <w:rPr>
          <w:rFonts w:ascii="Arial" w:cs="Arial" w:eastAsia="Arial" w:hAnsi="Arial"/>
          <w:sz w:val="15"/>
          <w:szCs w:val="15"/>
          <w:color w:val="auto"/>
        </w:rPr>
        <w:t>JPMorgan Chase Bank, N.A., as Sole Bookrunner</w:t>
      </w:r>
    </w:p>
    <w:p>
      <w:pPr>
        <w:sectPr>
          <w:pgSz w:w="11900" w:h="16838" w:orient="portrait"/>
          <w:cols w:equalWidth="0" w:num="1">
            <w:col w:w="9620"/>
          </w:cols>
          <w:pgMar w:left="1440" w:top="1031" w:right="8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60" w:type="dxa"/>
            <w:vAlign w:val="bottom"/>
            <w:gridSpan w:val="4"/>
          </w:tcPr>
          <w:p>
            <w:pPr>
              <w:ind w:left="420"/>
              <w:spacing w:after="0"/>
              <w:rPr>
                <w:sz w:val="20"/>
                <w:szCs w:val="20"/>
                <w:color w:val="auto"/>
              </w:rPr>
            </w:pPr>
            <w:r>
              <w:rPr>
                <w:rFonts w:ascii="Arial" w:cs="Arial" w:eastAsia="Arial" w:hAnsi="Arial"/>
                <w:sz w:val="18"/>
                <w:szCs w:val="18"/>
                <w:color w:val="auto"/>
              </w:rPr>
              <w:t>TABLE OF CONTENTS</w:t>
            </w:r>
          </w:p>
        </w:tc>
      </w:tr>
      <w:tr>
        <w:trPr>
          <w:trHeight w:val="502"/>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01"/>
        </w:trPr>
        <w:tc>
          <w:tcPr>
            <w:tcW w:w="1060" w:type="dxa"/>
            <w:vAlign w:val="bottom"/>
            <w:gridSpan w:val="2"/>
          </w:tcPr>
          <w:p>
            <w:pPr>
              <w:spacing w:after="0"/>
              <w:rPr>
                <w:sz w:val="20"/>
                <w:szCs w:val="20"/>
                <w:color w:val="auto"/>
              </w:rPr>
            </w:pPr>
            <w:r>
              <w:rPr>
                <w:rFonts w:ascii="Arial" w:cs="Arial" w:eastAsia="Arial" w:hAnsi="Arial"/>
                <w:sz w:val="18"/>
                <w:szCs w:val="18"/>
                <w:color w:val="auto"/>
              </w:rPr>
              <w:t>SECTION 1.</w:t>
            </w:r>
          </w:p>
        </w:tc>
        <w:tc>
          <w:tcPr>
            <w:tcW w:w="1280" w:type="dxa"/>
            <w:vAlign w:val="bottom"/>
            <w:gridSpan w:val="4"/>
          </w:tcPr>
          <w:p>
            <w:pPr>
              <w:ind w:left="80"/>
              <w:spacing w:after="0"/>
              <w:rPr>
                <w:sz w:val="20"/>
                <w:szCs w:val="20"/>
                <w:color w:val="auto"/>
              </w:rPr>
            </w:pPr>
            <w:r>
              <w:rPr>
                <w:rFonts w:ascii="Arial" w:cs="Arial" w:eastAsia="Arial" w:hAnsi="Arial"/>
                <w:sz w:val="18"/>
                <w:szCs w:val="18"/>
                <w:color w:val="auto"/>
              </w:rPr>
              <w:t>DEFINITIONS</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8"/>
                <w:szCs w:val="18"/>
                <w:color w:val="auto"/>
                <w:w w:val="79"/>
              </w:rPr>
              <w:t>6</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1.1.</w:t>
            </w:r>
          </w:p>
        </w:tc>
        <w:tc>
          <w:tcPr>
            <w:tcW w:w="1320" w:type="dxa"/>
            <w:vAlign w:val="bottom"/>
            <w:gridSpan w:val="4"/>
          </w:tcPr>
          <w:p>
            <w:pPr>
              <w:ind w:left="120"/>
              <w:spacing w:after="0"/>
              <w:rPr>
                <w:sz w:val="20"/>
                <w:szCs w:val="20"/>
                <w:color w:val="auto"/>
              </w:rPr>
            </w:pPr>
            <w:r>
              <w:rPr>
                <w:rFonts w:ascii="Arial" w:cs="Arial" w:eastAsia="Arial" w:hAnsi="Arial"/>
                <w:sz w:val="18"/>
                <w:szCs w:val="18"/>
                <w:color w:val="auto"/>
                <w:w w:val="99"/>
              </w:rPr>
              <w:t>Defined Terms</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1.2.</w:t>
            </w:r>
          </w:p>
        </w:tc>
        <w:tc>
          <w:tcPr>
            <w:tcW w:w="3080" w:type="dxa"/>
            <w:vAlign w:val="bottom"/>
            <w:gridSpan w:val="9"/>
          </w:tcPr>
          <w:p>
            <w:pPr>
              <w:ind w:left="120"/>
              <w:spacing w:after="0" w:line="201" w:lineRule="exact"/>
              <w:rPr>
                <w:sz w:val="20"/>
                <w:szCs w:val="20"/>
                <w:color w:val="auto"/>
              </w:rPr>
            </w:pPr>
            <w:r>
              <w:rPr>
                <w:rFonts w:ascii="Arial" w:cs="Arial" w:eastAsia="Arial" w:hAnsi="Arial"/>
                <w:sz w:val="18"/>
                <w:szCs w:val="18"/>
                <w:color w:val="auto"/>
              </w:rPr>
              <w:t>Other Interpretive Provisions  68</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1.3.</w:t>
            </w:r>
          </w:p>
        </w:tc>
        <w:tc>
          <w:tcPr>
            <w:tcW w:w="6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7"/>
              </w:rPr>
              <w:t>Rates</w:t>
            </w:r>
          </w:p>
        </w:tc>
        <w:tc>
          <w:tcPr>
            <w:tcW w:w="720" w:type="dxa"/>
            <w:vAlign w:val="bottom"/>
            <w:gridSpan w:val="2"/>
          </w:tcPr>
          <w:p>
            <w:pPr>
              <w:jc w:val="right"/>
              <w:ind w:right="328"/>
              <w:spacing w:after="0" w:line="201" w:lineRule="exact"/>
              <w:rPr>
                <w:sz w:val="20"/>
                <w:szCs w:val="20"/>
                <w:color w:val="auto"/>
              </w:rPr>
            </w:pPr>
            <w:r>
              <w:rPr>
                <w:rFonts w:ascii="Arial" w:cs="Arial" w:eastAsia="Arial" w:hAnsi="Arial"/>
                <w:sz w:val="18"/>
                <w:szCs w:val="18"/>
                <w:color w:val="auto"/>
              </w:rPr>
              <w:t>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1.4.</w:t>
            </w:r>
          </w:p>
        </w:tc>
        <w:tc>
          <w:tcPr>
            <w:tcW w:w="2500" w:type="dxa"/>
            <w:vAlign w:val="bottom"/>
            <w:gridSpan w:val="8"/>
          </w:tcPr>
          <w:p>
            <w:pPr>
              <w:ind w:left="120"/>
              <w:spacing w:after="0" w:line="201" w:lineRule="exact"/>
              <w:rPr>
                <w:sz w:val="20"/>
                <w:szCs w:val="20"/>
                <w:color w:val="auto"/>
              </w:rPr>
            </w:pPr>
            <w:r>
              <w:rPr>
                <w:rFonts w:ascii="Arial" w:cs="Arial" w:eastAsia="Arial" w:hAnsi="Arial"/>
                <w:sz w:val="18"/>
                <w:szCs w:val="18"/>
                <w:color w:val="auto"/>
                <w:w w:val="95"/>
              </w:rPr>
              <w:t>Limited Condition Transactions</w:t>
            </w:r>
          </w:p>
        </w:tc>
        <w:tc>
          <w:tcPr>
            <w:tcW w:w="580" w:type="dxa"/>
            <w:vAlign w:val="bottom"/>
          </w:tcPr>
          <w:p>
            <w:pPr>
              <w:jc w:val="right"/>
              <w:ind w:right="148"/>
              <w:spacing w:after="0" w:line="201" w:lineRule="exact"/>
              <w:rPr>
                <w:sz w:val="20"/>
                <w:szCs w:val="20"/>
                <w:color w:val="auto"/>
              </w:rPr>
            </w:pPr>
            <w:r>
              <w:rPr>
                <w:rFonts w:ascii="Arial" w:cs="Arial" w:eastAsia="Arial" w:hAnsi="Arial"/>
                <w:sz w:val="18"/>
                <w:szCs w:val="18"/>
                <w:color w:val="auto"/>
              </w:rPr>
              <w:t>70</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1.5.</w:t>
            </w:r>
          </w:p>
        </w:tc>
        <w:tc>
          <w:tcPr>
            <w:tcW w:w="4380" w:type="dxa"/>
            <w:vAlign w:val="bottom"/>
            <w:gridSpan w:val="11"/>
          </w:tcPr>
          <w:p>
            <w:pPr>
              <w:ind w:left="120"/>
              <w:spacing w:after="0" w:line="201" w:lineRule="exact"/>
              <w:rPr>
                <w:sz w:val="20"/>
                <w:szCs w:val="20"/>
                <w:color w:val="auto"/>
              </w:rPr>
            </w:pPr>
            <w:r>
              <w:rPr>
                <w:rFonts w:ascii="Arial" w:cs="Arial" w:eastAsia="Arial" w:hAnsi="Arial"/>
                <w:sz w:val="18"/>
                <w:szCs w:val="18"/>
                <w:color w:val="auto"/>
              </w:rPr>
              <w:t>Calculations; Computations; Latest Maturity Date  71</w:t>
            </w: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1.6.</w:t>
            </w:r>
          </w:p>
        </w:tc>
        <w:tc>
          <w:tcPr>
            <w:tcW w:w="2140" w:type="dxa"/>
            <w:vAlign w:val="bottom"/>
            <w:gridSpan w:val="7"/>
          </w:tcPr>
          <w:p>
            <w:pPr>
              <w:ind w:left="120"/>
              <w:spacing w:after="0" w:line="201" w:lineRule="exact"/>
              <w:rPr>
                <w:sz w:val="20"/>
                <w:szCs w:val="20"/>
                <w:color w:val="auto"/>
              </w:rPr>
            </w:pPr>
            <w:r>
              <w:rPr>
                <w:rFonts w:ascii="Arial" w:cs="Arial" w:eastAsia="Arial" w:hAnsi="Arial"/>
                <w:sz w:val="18"/>
                <w:szCs w:val="18"/>
                <w:color w:val="auto"/>
              </w:rPr>
              <w:t>Letter of Credit Amounts</w:t>
            </w:r>
          </w:p>
        </w:tc>
        <w:tc>
          <w:tcPr>
            <w:tcW w:w="360" w:type="dxa"/>
            <w:vAlign w:val="bottom"/>
          </w:tcPr>
          <w:p>
            <w:pPr>
              <w:jc w:val="right"/>
              <w:ind w:right="48"/>
              <w:spacing w:after="0" w:line="201" w:lineRule="exact"/>
              <w:rPr>
                <w:sz w:val="20"/>
                <w:szCs w:val="20"/>
                <w:color w:val="auto"/>
              </w:rPr>
            </w:pPr>
            <w:r>
              <w:rPr>
                <w:rFonts w:ascii="Arial" w:cs="Arial" w:eastAsia="Arial" w:hAnsi="Arial"/>
                <w:sz w:val="18"/>
                <w:szCs w:val="18"/>
                <w:color w:val="auto"/>
                <w:w w:val="99"/>
              </w:rPr>
              <w:t>74</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1.7.</w:t>
            </w:r>
          </w:p>
        </w:tc>
        <w:tc>
          <w:tcPr>
            <w:tcW w:w="840" w:type="dxa"/>
            <w:vAlign w:val="bottom"/>
            <w:gridSpan w:val="3"/>
          </w:tcPr>
          <w:p>
            <w:pPr>
              <w:ind w:left="120"/>
              <w:spacing w:after="0"/>
              <w:rPr>
                <w:sz w:val="20"/>
                <w:szCs w:val="20"/>
                <w:color w:val="auto"/>
              </w:rPr>
            </w:pPr>
            <w:r>
              <w:rPr>
                <w:rFonts w:ascii="Arial" w:cs="Arial" w:eastAsia="Arial" w:hAnsi="Arial"/>
                <w:sz w:val="18"/>
                <w:szCs w:val="18"/>
                <w:color w:val="auto"/>
                <w:w w:val="97"/>
              </w:rPr>
              <w:t>Divisions</w:t>
            </w:r>
          </w:p>
        </w:tc>
        <w:tc>
          <w:tcPr>
            <w:tcW w:w="480" w:type="dxa"/>
            <w:vAlign w:val="bottom"/>
          </w:tcPr>
          <w:p>
            <w:pPr>
              <w:jc w:val="right"/>
              <w:ind w:right="28"/>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01"/>
        </w:trPr>
        <w:tc>
          <w:tcPr>
            <w:tcW w:w="106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3840" w:type="dxa"/>
            <w:vAlign w:val="bottom"/>
            <w:gridSpan w:val="9"/>
          </w:tcPr>
          <w:p>
            <w:pPr>
              <w:ind w:left="80"/>
              <w:spacing w:after="0"/>
              <w:rPr>
                <w:sz w:val="20"/>
                <w:szCs w:val="20"/>
                <w:color w:val="auto"/>
              </w:rPr>
            </w:pPr>
            <w:r>
              <w:rPr>
                <w:rFonts w:ascii="Arial" w:cs="Arial" w:eastAsia="Arial" w:hAnsi="Arial"/>
                <w:sz w:val="18"/>
                <w:szCs w:val="18"/>
                <w:color w:val="auto"/>
              </w:rPr>
              <w:t>AMOUNT AND TERMS OF CREDIT  74</w:t>
            </w: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2.1.</w:t>
            </w:r>
          </w:p>
        </w:tc>
        <w:tc>
          <w:tcPr>
            <w:tcW w:w="1560" w:type="dxa"/>
            <w:vAlign w:val="bottom"/>
            <w:gridSpan w:val="5"/>
          </w:tcPr>
          <w:p>
            <w:pPr>
              <w:ind w:left="120"/>
              <w:spacing w:after="0"/>
              <w:rPr>
                <w:sz w:val="20"/>
                <w:szCs w:val="20"/>
                <w:color w:val="auto"/>
              </w:rPr>
            </w:pPr>
            <w:r>
              <w:rPr>
                <w:rFonts w:ascii="Arial" w:cs="Arial" w:eastAsia="Arial" w:hAnsi="Arial"/>
                <w:sz w:val="18"/>
                <w:szCs w:val="18"/>
                <w:color w:val="auto"/>
                <w:w w:val="96"/>
              </w:rPr>
              <w:t>The Commitments</w:t>
            </w:r>
          </w:p>
        </w:tc>
        <w:tc>
          <w:tcPr>
            <w:tcW w:w="120" w:type="dxa"/>
            <w:vAlign w:val="bottom"/>
          </w:tcPr>
          <w:p>
            <w:pPr>
              <w:spacing w:after="0"/>
              <w:rPr>
                <w:sz w:val="24"/>
                <w:szCs w:val="24"/>
                <w:color w:val="auto"/>
              </w:rPr>
            </w:pPr>
          </w:p>
        </w:tc>
        <w:tc>
          <w:tcPr>
            <w:tcW w:w="460" w:type="dxa"/>
            <w:vAlign w:val="bottom"/>
          </w:tcPr>
          <w:p>
            <w:pPr>
              <w:jc w:val="right"/>
              <w:ind w:right="188"/>
              <w:spacing w:after="0"/>
              <w:rPr>
                <w:sz w:val="20"/>
                <w:szCs w:val="20"/>
                <w:color w:val="auto"/>
              </w:rPr>
            </w:pPr>
            <w:r>
              <w:rPr>
                <w:rFonts w:ascii="Arial" w:cs="Arial" w:eastAsia="Arial" w:hAnsi="Arial"/>
                <w:sz w:val="18"/>
                <w:szCs w:val="18"/>
                <w:color w:val="auto"/>
                <w:w w:val="79"/>
              </w:rPr>
              <w:t>74</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2.2.</w:t>
            </w:r>
          </w:p>
        </w:tc>
        <w:tc>
          <w:tcPr>
            <w:tcW w:w="3080" w:type="dxa"/>
            <w:vAlign w:val="bottom"/>
            <w:gridSpan w:val="9"/>
          </w:tcPr>
          <w:p>
            <w:pPr>
              <w:ind w:left="120"/>
              <w:spacing w:after="0" w:line="201" w:lineRule="exact"/>
              <w:rPr>
                <w:sz w:val="20"/>
                <w:szCs w:val="20"/>
                <w:color w:val="auto"/>
              </w:rPr>
            </w:pPr>
            <w:r>
              <w:rPr>
                <w:rFonts w:ascii="Arial" w:cs="Arial" w:eastAsia="Arial" w:hAnsi="Arial"/>
                <w:sz w:val="18"/>
                <w:szCs w:val="18"/>
                <w:color w:val="auto"/>
              </w:rPr>
              <w:t>Minimum Amount of Each Borrowing</w:t>
            </w:r>
          </w:p>
        </w:tc>
        <w:tc>
          <w:tcPr>
            <w:tcW w:w="1040" w:type="dxa"/>
            <w:vAlign w:val="bottom"/>
          </w:tcPr>
          <w:p>
            <w:pPr>
              <w:jc w:val="right"/>
              <w:ind w:right="688"/>
              <w:spacing w:after="0" w:line="201" w:lineRule="exact"/>
              <w:rPr>
                <w:sz w:val="20"/>
                <w:szCs w:val="20"/>
                <w:color w:val="auto"/>
              </w:rPr>
            </w:pPr>
            <w:r>
              <w:rPr>
                <w:rFonts w:ascii="Arial" w:cs="Arial" w:eastAsia="Arial" w:hAnsi="Arial"/>
                <w:sz w:val="18"/>
                <w:szCs w:val="18"/>
                <w:color w:val="auto"/>
              </w:rPr>
              <w:t>76</w:t>
            </w: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2.3.</w:t>
            </w:r>
          </w:p>
        </w:tc>
        <w:tc>
          <w:tcPr>
            <w:tcW w:w="1680" w:type="dxa"/>
            <w:vAlign w:val="bottom"/>
            <w:gridSpan w:val="6"/>
          </w:tcPr>
          <w:p>
            <w:pPr>
              <w:ind w:left="120"/>
              <w:spacing w:after="0" w:line="201" w:lineRule="exact"/>
              <w:rPr>
                <w:sz w:val="20"/>
                <w:szCs w:val="20"/>
                <w:color w:val="auto"/>
              </w:rPr>
            </w:pPr>
            <w:r>
              <w:rPr>
                <w:rFonts w:ascii="Arial" w:cs="Arial" w:eastAsia="Arial" w:hAnsi="Arial"/>
                <w:sz w:val="18"/>
                <w:szCs w:val="18"/>
                <w:color w:val="auto"/>
                <w:w w:val="98"/>
              </w:rPr>
              <w:t>Notice of Borrowing</w:t>
            </w:r>
          </w:p>
        </w:tc>
        <w:tc>
          <w:tcPr>
            <w:tcW w:w="460" w:type="dxa"/>
            <w:vAlign w:val="bottom"/>
          </w:tcPr>
          <w:p>
            <w:pPr>
              <w:jc w:val="right"/>
              <w:ind w:right="28"/>
              <w:spacing w:after="0" w:line="201" w:lineRule="exact"/>
              <w:rPr>
                <w:sz w:val="20"/>
                <w:szCs w:val="20"/>
                <w:color w:val="auto"/>
              </w:rPr>
            </w:pPr>
            <w:r>
              <w:rPr>
                <w:rFonts w:ascii="Arial" w:cs="Arial" w:eastAsia="Arial" w:hAnsi="Arial"/>
                <w:sz w:val="18"/>
                <w:szCs w:val="18"/>
                <w:color w:val="auto"/>
              </w:rPr>
              <w:t>76</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2.4.</w:t>
            </w:r>
          </w:p>
        </w:tc>
        <w:tc>
          <w:tcPr>
            <w:tcW w:w="1680" w:type="dxa"/>
            <w:vAlign w:val="bottom"/>
            <w:gridSpan w:val="6"/>
          </w:tcPr>
          <w:p>
            <w:pPr>
              <w:ind w:left="120"/>
              <w:spacing w:after="0" w:line="201" w:lineRule="exact"/>
              <w:rPr>
                <w:sz w:val="20"/>
                <w:szCs w:val="20"/>
                <w:color w:val="auto"/>
              </w:rPr>
            </w:pPr>
            <w:r>
              <w:rPr>
                <w:rFonts w:ascii="Arial" w:cs="Arial" w:eastAsia="Arial" w:hAnsi="Arial"/>
                <w:sz w:val="18"/>
                <w:szCs w:val="18"/>
                <w:color w:val="auto"/>
                <w:w w:val="92"/>
              </w:rPr>
              <w:t>Repayment of Loans</w:t>
            </w:r>
          </w:p>
        </w:tc>
        <w:tc>
          <w:tcPr>
            <w:tcW w:w="460" w:type="dxa"/>
            <w:vAlign w:val="bottom"/>
          </w:tcPr>
          <w:p>
            <w:pPr>
              <w:jc w:val="right"/>
              <w:ind w:right="28"/>
              <w:spacing w:after="0" w:line="201" w:lineRule="exact"/>
              <w:rPr>
                <w:sz w:val="20"/>
                <w:szCs w:val="20"/>
                <w:color w:val="auto"/>
              </w:rPr>
            </w:pPr>
            <w:r>
              <w:rPr>
                <w:rFonts w:ascii="Arial" w:cs="Arial" w:eastAsia="Arial" w:hAnsi="Arial"/>
                <w:sz w:val="18"/>
                <w:szCs w:val="18"/>
                <w:color w:val="auto"/>
              </w:rPr>
              <w:t>77</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2.5.</w:t>
            </w:r>
          </w:p>
        </w:tc>
        <w:tc>
          <w:tcPr>
            <w:tcW w:w="4380" w:type="dxa"/>
            <w:vAlign w:val="bottom"/>
            <w:gridSpan w:val="11"/>
          </w:tcPr>
          <w:p>
            <w:pPr>
              <w:ind w:left="120"/>
              <w:spacing w:after="0" w:line="201" w:lineRule="exact"/>
              <w:rPr>
                <w:sz w:val="20"/>
                <w:szCs w:val="20"/>
                <w:color w:val="auto"/>
              </w:rPr>
            </w:pPr>
            <w:r>
              <w:rPr>
                <w:rFonts w:ascii="Arial" w:cs="Arial" w:eastAsia="Arial" w:hAnsi="Arial"/>
                <w:sz w:val="18"/>
                <w:szCs w:val="18"/>
                <w:color w:val="auto"/>
                <w:w w:val="97"/>
              </w:rPr>
              <w:t>Payments Generally; Administrative Agent’s Clawback</w:t>
            </w:r>
          </w:p>
        </w:tc>
        <w:tc>
          <w:tcPr>
            <w:tcW w:w="4580" w:type="dxa"/>
            <w:vAlign w:val="bottom"/>
          </w:tcPr>
          <w:p>
            <w:pPr>
              <w:jc w:val="right"/>
              <w:ind w:right="4288"/>
              <w:spacing w:after="0" w:line="201" w:lineRule="exact"/>
              <w:rPr>
                <w:sz w:val="20"/>
                <w:szCs w:val="20"/>
                <w:color w:val="auto"/>
              </w:rPr>
            </w:pPr>
            <w:r>
              <w:rPr>
                <w:rFonts w:ascii="Arial" w:cs="Arial" w:eastAsia="Arial" w:hAnsi="Arial"/>
                <w:sz w:val="18"/>
                <w:szCs w:val="18"/>
                <w:color w:val="auto"/>
                <w:w w:val="89"/>
              </w:rPr>
              <w:t>77</w:t>
            </w: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2.6.</w:t>
            </w:r>
          </w:p>
        </w:tc>
        <w:tc>
          <w:tcPr>
            <w:tcW w:w="6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7"/>
              </w:rPr>
              <w:t>Notes</w:t>
            </w:r>
          </w:p>
        </w:tc>
        <w:tc>
          <w:tcPr>
            <w:tcW w:w="720" w:type="dxa"/>
            <w:vAlign w:val="bottom"/>
            <w:gridSpan w:val="2"/>
          </w:tcPr>
          <w:p>
            <w:pPr>
              <w:jc w:val="right"/>
              <w:ind w:right="308"/>
              <w:spacing w:after="0" w:line="201" w:lineRule="exact"/>
              <w:rPr>
                <w:sz w:val="20"/>
                <w:szCs w:val="20"/>
                <w:color w:val="auto"/>
              </w:rPr>
            </w:pPr>
            <w:r>
              <w:rPr>
                <w:rFonts w:ascii="Arial" w:cs="Arial" w:eastAsia="Arial" w:hAnsi="Arial"/>
                <w:sz w:val="18"/>
                <w:szCs w:val="18"/>
                <w:color w:val="auto"/>
              </w:rPr>
              <w:t>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2.7.</w:t>
            </w:r>
          </w:p>
        </w:tc>
        <w:tc>
          <w:tcPr>
            <w:tcW w:w="2140" w:type="dxa"/>
            <w:vAlign w:val="bottom"/>
            <w:gridSpan w:val="7"/>
          </w:tcPr>
          <w:p>
            <w:pPr>
              <w:ind w:left="120"/>
              <w:spacing w:after="0" w:line="201" w:lineRule="exact"/>
              <w:rPr>
                <w:sz w:val="20"/>
                <w:szCs w:val="20"/>
                <w:color w:val="auto"/>
              </w:rPr>
            </w:pPr>
            <w:r>
              <w:rPr>
                <w:rFonts w:ascii="Arial" w:cs="Arial" w:eastAsia="Arial" w:hAnsi="Arial"/>
                <w:sz w:val="18"/>
                <w:szCs w:val="18"/>
                <w:color w:val="auto"/>
                <w:w w:val="92"/>
              </w:rPr>
              <w:t>Conversions/Continuations</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79</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2.8.</w:t>
            </w:r>
          </w:p>
        </w:tc>
        <w:tc>
          <w:tcPr>
            <w:tcW w:w="1680" w:type="dxa"/>
            <w:vAlign w:val="bottom"/>
            <w:gridSpan w:val="6"/>
          </w:tcPr>
          <w:p>
            <w:pPr>
              <w:ind w:left="120"/>
              <w:spacing w:after="0" w:line="201" w:lineRule="exact"/>
              <w:rPr>
                <w:sz w:val="20"/>
                <w:szCs w:val="20"/>
                <w:color w:val="auto"/>
              </w:rPr>
            </w:pPr>
            <w:r>
              <w:rPr>
                <w:rFonts w:ascii="Arial" w:cs="Arial" w:eastAsia="Arial" w:hAnsi="Arial"/>
                <w:sz w:val="18"/>
                <w:szCs w:val="18"/>
                <w:color w:val="auto"/>
                <w:w w:val="92"/>
              </w:rPr>
              <w:t>Pro Rata Borrowings</w:t>
            </w:r>
          </w:p>
        </w:tc>
        <w:tc>
          <w:tcPr>
            <w:tcW w:w="460" w:type="dxa"/>
            <w:vAlign w:val="bottom"/>
          </w:tcPr>
          <w:p>
            <w:pPr>
              <w:jc w:val="right"/>
              <w:ind w:right="8"/>
              <w:spacing w:after="0" w:line="201" w:lineRule="exact"/>
              <w:rPr>
                <w:sz w:val="20"/>
                <w:szCs w:val="20"/>
                <w:color w:val="auto"/>
              </w:rPr>
            </w:pPr>
            <w:r>
              <w:rPr>
                <w:rFonts w:ascii="Arial" w:cs="Arial" w:eastAsia="Arial" w:hAnsi="Arial"/>
                <w:sz w:val="18"/>
                <w:szCs w:val="18"/>
                <w:color w:val="auto"/>
              </w:rPr>
              <w:t>80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2.9.</w:t>
            </w:r>
          </w:p>
        </w:tc>
        <w:tc>
          <w:tcPr>
            <w:tcW w:w="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Interest</w:t>
            </w:r>
          </w:p>
        </w:tc>
        <w:tc>
          <w:tcPr>
            <w:tcW w:w="480" w:type="dxa"/>
            <w:vAlign w:val="bottom"/>
          </w:tcPr>
          <w:p>
            <w:pPr>
              <w:jc w:val="right"/>
              <w:ind w:right="188"/>
              <w:spacing w:after="0" w:line="201" w:lineRule="exact"/>
              <w:rPr>
                <w:sz w:val="20"/>
                <w:szCs w:val="20"/>
                <w:color w:val="auto"/>
              </w:rPr>
            </w:pPr>
            <w:r>
              <w:rPr>
                <w:rFonts w:ascii="Arial" w:cs="Arial" w:eastAsia="Arial" w:hAnsi="Arial"/>
                <w:sz w:val="18"/>
                <w:szCs w:val="18"/>
                <w:color w:val="auto"/>
                <w:w w:val="89"/>
              </w:rPr>
              <w:t>80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2.10.</w:t>
            </w:r>
          </w:p>
        </w:tc>
        <w:tc>
          <w:tcPr>
            <w:tcW w:w="132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3"/>
              </w:rPr>
              <w:t>Interest Periods</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82</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2.11.</w:t>
            </w:r>
          </w:p>
        </w:tc>
        <w:tc>
          <w:tcPr>
            <w:tcW w:w="2500" w:type="dxa"/>
            <w:vAlign w:val="bottom"/>
            <w:gridSpan w:val="8"/>
          </w:tcPr>
          <w:p>
            <w:pPr>
              <w:ind w:left="100"/>
              <w:spacing w:after="0" w:line="201" w:lineRule="exact"/>
              <w:rPr>
                <w:sz w:val="20"/>
                <w:szCs w:val="20"/>
                <w:color w:val="auto"/>
              </w:rPr>
            </w:pPr>
            <w:r>
              <w:rPr>
                <w:rFonts w:ascii="Arial" w:cs="Arial" w:eastAsia="Arial" w:hAnsi="Arial"/>
                <w:sz w:val="18"/>
                <w:szCs w:val="18"/>
                <w:color w:val="auto"/>
                <w:w w:val="99"/>
              </w:rPr>
              <w:t>Increased Costs, Illegality, etc</w:t>
            </w:r>
          </w:p>
        </w:tc>
        <w:tc>
          <w:tcPr>
            <w:tcW w:w="580" w:type="dxa"/>
            <w:vAlign w:val="bottom"/>
          </w:tcPr>
          <w:p>
            <w:pPr>
              <w:spacing w:after="0" w:line="201" w:lineRule="exact"/>
              <w:rPr>
                <w:sz w:val="20"/>
                <w:szCs w:val="20"/>
                <w:color w:val="auto"/>
              </w:rPr>
            </w:pPr>
            <w:r>
              <w:rPr>
                <w:rFonts w:ascii="Arial" w:cs="Arial" w:eastAsia="Arial" w:hAnsi="Arial"/>
                <w:sz w:val="18"/>
                <w:szCs w:val="18"/>
                <w:color w:val="auto"/>
              </w:rPr>
              <w:t>82</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2.12.</w:t>
            </w:r>
          </w:p>
        </w:tc>
        <w:tc>
          <w:tcPr>
            <w:tcW w:w="132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Compensation</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w w:val="99"/>
              </w:rPr>
              <w:t>85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2.13.</w:t>
            </w:r>
          </w:p>
        </w:tc>
        <w:tc>
          <w:tcPr>
            <w:tcW w:w="4120" w:type="dxa"/>
            <w:vAlign w:val="bottom"/>
            <w:gridSpan w:val="10"/>
          </w:tcPr>
          <w:p>
            <w:pPr>
              <w:ind w:left="120"/>
              <w:spacing w:after="0" w:line="201" w:lineRule="exact"/>
              <w:rPr>
                <w:sz w:val="20"/>
                <w:szCs w:val="20"/>
                <w:color w:val="auto"/>
              </w:rPr>
            </w:pPr>
            <w:r>
              <w:rPr>
                <w:rFonts w:ascii="Arial" w:cs="Arial" w:eastAsia="Arial" w:hAnsi="Arial"/>
                <w:sz w:val="18"/>
                <w:szCs w:val="18"/>
                <w:color w:val="auto"/>
                <w:w w:val="94"/>
              </w:rPr>
              <w:t>Matters Applicable to All Requests for Compensation</w:t>
            </w:r>
          </w:p>
        </w:tc>
        <w:tc>
          <w:tcPr>
            <w:tcW w:w="4840" w:type="dxa"/>
            <w:vAlign w:val="bottom"/>
            <w:gridSpan w:val="2"/>
          </w:tcPr>
          <w:p>
            <w:pPr>
              <w:jc w:val="right"/>
              <w:ind w:right="4428"/>
              <w:spacing w:after="0" w:line="201" w:lineRule="exact"/>
              <w:rPr>
                <w:sz w:val="20"/>
                <w:szCs w:val="20"/>
                <w:color w:val="auto"/>
              </w:rPr>
            </w:pPr>
            <w:r>
              <w:rPr>
                <w:rFonts w:ascii="Arial" w:cs="Arial" w:eastAsia="Arial" w:hAnsi="Arial"/>
                <w:sz w:val="18"/>
                <w:szCs w:val="18"/>
                <w:color w:val="auto"/>
              </w:rPr>
              <w:t>85</w:t>
            </w: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2.14.</w:t>
            </w:r>
          </w:p>
        </w:tc>
        <w:tc>
          <w:tcPr>
            <w:tcW w:w="250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Replacement of Lenders  86</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2.15.</w:t>
            </w:r>
          </w:p>
        </w:tc>
        <w:tc>
          <w:tcPr>
            <w:tcW w:w="2500" w:type="dxa"/>
            <w:vAlign w:val="bottom"/>
            <w:gridSpan w:val="8"/>
          </w:tcPr>
          <w:p>
            <w:pPr>
              <w:ind w:left="120"/>
              <w:spacing w:after="0" w:line="201" w:lineRule="exact"/>
              <w:rPr>
                <w:sz w:val="20"/>
                <w:szCs w:val="20"/>
                <w:color w:val="auto"/>
              </w:rPr>
            </w:pPr>
            <w:r>
              <w:rPr>
                <w:rFonts w:ascii="Arial" w:cs="Arial" w:eastAsia="Arial" w:hAnsi="Arial"/>
                <w:sz w:val="18"/>
                <w:szCs w:val="18"/>
                <w:color w:val="auto"/>
                <w:w w:val="98"/>
              </w:rPr>
              <w:t>Incremental Credit Extensions</w:t>
            </w:r>
          </w:p>
        </w:tc>
        <w:tc>
          <w:tcPr>
            <w:tcW w:w="580" w:type="dxa"/>
            <w:vAlign w:val="bottom"/>
          </w:tcPr>
          <w:p>
            <w:pPr>
              <w:jc w:val="right"/>
              <w:ind w:right="268"/>
              <w:spacing w:after="0" w:line="201" w:lineRule="exact"/>
              <w:rPr>
                <w:sz w:val="20"/>
                <w:szCs w:val="20"/>
                <w:color w:val="auto"/>
              </w:rPr>
            </w:pPr>
            <w:r>
              <w:rPr>
                <w:rFonts w:ascii="Arial" w:cs="Arial" w:eastAsia="Arial" w:hAnsi="Arial"/>
                <w:sz w:val="18"/>
                <w:szCs w:val="18"/>
                <w:color w:val="auto"/>
                <w:w w:val="99"/>
              </w:rPr>
              <w:t>87</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2.16.</w:t>
            </w:r>
          </w:p>
        </w:tc>
        <w:tc>
          <w:tcPr>
            <w:tcW w:w="2140" w:type="dxa"/>
            <w:vAlign w:val="bottom"/>
            <w:gridSpan w:val="7"/>
          </w:tcPr>
          <w:p>
            <w:pPr>
              <w:ind w:left="120"/>
              <w:spacing w:after="0" w:line="201" w:lineRule="exact"/>
              <w:rPr>
                <w:sz w:val="20"/>
                <w:szCs w:val="20"/>
                <w:color w:val="auto"/>
              </w:rPr>
            </w:pPr>
            <w:r>
              <w:rPr>
                <w:rFonts w:ascii="Arial" w:cs="Arial" w:eastAsia="Arial" w:hAnsi="Arial"/>
                <w:sz w:val="18"/>
                <w:szCs w:val="18"/>
                <w:color w:val="auto"/>
              </w:rPr>
              <w:t>Loan Modification Offers</w:t>
            </w:r>
          </w:p>
        </w:tc>
        <w:tc>
          <w:tcPr>
            <w:tcW w:w="360" w:type="dxa"/>
            <w:vAlign w:val="bottom"/>
          </w:tcPr>
          <w:p>
            <w:pPr>
              <w:jc w:val="right"/>
              <w:ind w:right="28"/>
              <w:spacing w:after="0" w:line="201" w:lineRule="exact"/>
              <w:rPr>
                <w:sz w:val="20"/>
                <w:szCs w:val="20"/>
                <w:color w:val="auto"/>
              </w:rPr>
            </w:pPr>
            <w:r>
              <w:rPr>
                <w:rFonts w:ascii="Arial" w:cs="Arial" w:eastAsia="Arial" w:hAnsi="Arial"/>
                <w:sz w:val="18"/>
                <w:szCs w:val="18"/>
                <w:color w:val="auto"/>
              </w:rPr>
              <w:t>90</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2.17.</w:t>
            </w:r>
          </w:p>
        </w:tc>
        <w:tc>
          <w:tcPr>
            <w:tcW w:w="1560" w:type="dxa"/>
            <w:vAlign w:val="bottom"/>
            <w:gridSpan w:val="5"/>
          </w:tcPr>
          <w:p>
            <w:pPr>
              <w:ind w:left="120"/>
              <w:spacing w:after="0" w:line="201" w:lineRule="exact"/>
              <w:rPr>
                <w:sz w:val="20"/>
                <w:szCs w:val="20"/>
                <w:color w:val="auto"/>
              </w:rPr>
            </w:pPr>
            <w:r>
              <w:rPr>
                <w:rFonts w:ascii="Arial" w:cs="Arial" w:eastAsia="Arial" w:hAnsi="Arial"/>
                <w:sz w:val="18"/>
                <w:szCs w:val="18"/>
                <w:color w:val="auto"/>
                <w:w w:val="99"/>
              </w:rPr>
              <w:t>Defaulting Lender</w:t>
            </w:r>
          </w:p>
        </w:tc>
        <w:tc>
          <w:tcPr>
            <w:tcW w:w="58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91</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2.18.</w:t>
            </w:r>
          </w:p>
        </w:tc>
        <w:tc>
          <w:tcPr>
            <w:tcW w:w="2140" w:type="dxa"/>
            <w:vAlign w:val="bottom"/>
            <w:gridSpan w:val="7"/>
          </w:tcPr>
          <w:p>
            <w:pPr>
              <w:ind w:left="120"/>
              <w:spacing w:after="0"/>
              <w:rPr>
                <w:sz w:val="20"/>
                <w:szCs w:val="20"/>
                <w:color w:val="auto"/>
              </w:rPr>
            </w:pPr>
            <w:r>
              <w:rPr>
                <w:rFonts w:ascii="Arial" w:cs="Arial" w:eastAsia="Arial" w:hAnsi="Arial"/>
                <w:sz w:val="18"/>
                <w:szCs w:val="18"/>
                <w:color w:val="auto"/>
              </w:rPr>
              <w:t>Refinancing Amendment</w:t>
            </w:r>
          </w:p>
        </w:tc>
        <w:tc>
          <w:tcPr>
            <w:tcW w:w="360" w:type="dxa"/>
            <w:vAlign w:val="bottom"/>
          </w:tcPr>
          <w:p>
            <w:pPr>
              <w:jc w:val="right"/>
              <w:ind w:right="68"/>
              <w:spacing w:after="0"/>
              <w:rPr>
                <w:sz w:val="20"/>
                <w:szCs w:val="20"/>
                <w:color w:val="auto"/>
              </w:rPr>
            </w:pPr>
            <w:r>
              <w:rPr>
                <w:rFonts w:ascii="Arial" w:cs="Arial" w:eastAsia="Arial" w:hAnsi="Arial"/>
                <w:sz w:val="18"/>
                <w:szCs w:val="18"/>
                <w:color w:val="auto"/>
                <w:w w:val="89"/>
              </w:rPr>
              <w:t>94</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01"/>
        </w:trPr>
        <w:tc>
          <w:tcPr>
            <w:tcW w:w="2920" w:type="dxa"/>
            <w:vAlign w:val="bottom"/>
            <w:gridSpan w:val="8"/>
          </w:tcPr>
          <w:p>
            <w:pPr>
              <w:spacing w:after="0"/>
              <w:rPr>
                <w:sz w:val="20"/>
                <w:szCs w:val="20"/>
                <w:color w:val="auto"/>
              </w:rPr>
            </w:pPr>
            <w:r>
              <w:rPr>
                <w:rFonts w:ascii="Arial" w:cs="Arial" w:eastAsia="Arial" w:hAnsi="Arial"/>
                <w:sz w:val="18"/>
                <w:szCs w:val="18"/>
                <w:color w:val="auto"/>
                <w:w w:val="98"/>
              </w:rPr>
              <w:t>SECTION 3.  LETTERS OF CREDIT</w:t>
            </w:r>
          </w:p>
        </w:tc>
        <w:tc>
          <w:tcPr>
            <w:tcW w:w="940" w:type="dxa"/>
            <w:vAlign w:val="bottom"/>
            <w:gridSpan w:val="2"/>
          </w:tcPr>
          <w:p>
            <w:pPr>
              <w:jc w:val="right"/>
              <w:ind w:right="488"/>
              <w:spacing w:after="0"/>
              <w:rPr>
                <w:sz w:val="20"/>
                <w:szCs w:val="20"/>
                <w:color w:val="auto"/>
              </w:rPr>
            </w:pPr>
            <w:r>
              <w:rPr>
                <w:rFonts w:ascii="Arial" w:cs="Arial" w:eastAsia="Arial" w:hAnsi="Arial"/>
                <w:sz w:val="18"/>
                <w:szCs w:val="18"/>
                <w:color w:val="auto"/>
              </w:rPr>
              <w:t>95</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3.1.</w:t>
            </w:r>
          </w:p>
        </w:tc>
        <w:tc>
          <w:tcPr>
            <w:tcW w:w="1560" w:type="dxa"/>
            <w:vAlign w:val="bottom"/>
            <w:gridSpan w:val="5"/>
          </w:tcPr>
          <w:p>
            <w:pPr>
              <w:ind w:left="120"/>
              <w:spacing w:after="0"/>
              <w:rPr>
                <w:sz w:val="20"/>
                <w:szCs w:val="20"/>
                <w:color w:val="auto"/>
              </w:rPr>
            </w:pPr>
            <w:r>
              <w:rPr>
                <w:rFonts w:ascii="Arial" w:cs="Arial" w:eastAsia="Arial" w:hAnsi="Arial"/>
                <w:sz w:val="18"/>
                <w:szCs w:val="18"/>
                <w:color w:val="auto"/>
              </w:rPr>
              <w:t>Letters of Credit.</w:t>
            </w:r>
          </w:p>
        </w:tc>
        <w:tc>
          <w:tcPr>
            <w:tcW w:w="58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95</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3.2.</w:t>
            </w:r>
          </w:p>
        </w:tc>
        <w:tc>
          <w:tcPr>
            <w:tcW w:w="4380" w:type="dxa"/>
            <w:vAlign w:val="bottom"/>
            <w:gridSpan w:val="11"/>
          </w:tcPr>
          <w:p>
            <w:pPr>
              <w:ind w:left="120"/>
              <w:spacing w:after="0" w:line="201" w:lineRule="exact"/>
              <w:rPr>
                <w:sz w:val="20"/>
                <w:szCs w:val="20"/>
                <w:color w:val="auto"/>
              </w:rPr>
            </w:pPr>
            <w:r>
              <w:rPr>
                <w:rFonts w:ascii="Arial" w:cs="Arial" w:eastAsia="Arial" w:hAnsi="Arial"/>
                <w:sz w:val="18"/>
                <w:szCs w:val="18"/>
                <w:color w:val="auto"/>
                <w:w w:val="95"/>
              </w:rPr>
              <w:t>Maximum Letter of Credit Outstandings; Final Maturities</w:t>
            </w:r>
          </w:p>
        </w:tc>
        <w:tc>
          <w:tcPr>
            <w:tcW w:w="4580" w:type="dxa"/>
            <w:vAlign w:val="bottom"/>
          </w:tcPr>
          <w:p>
            <w:pPr>
              <w:jc w:val="right"/>
              <w:ind w:right="4128"/>
              <w:spacing w:after="0" w:line="201" w:lineRule="exact"/>
              <w:rPr>
                <w:sz w:val="20"/>
                <w:szCs w:val="20"/>
                <w:color w:val="auto"/>
              </w:rPr>
            </w:pPr>
            <w:r>
              <w:rPr>
                <w:rFonts w:ascii="Arial" w:cs="Arial" w:eastAsia="Arial" w:hAnsi="Arial"/>
                <w:sz w:val="18"/>
                <w:szCs w:val="18"/>
                <w:color w:val="auto"/>
              </w:rPr>
              <w:t>96</w:t>
            </w: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3.3.</w:t>
            </w:r>
          </w:p>
        </w:tc>
        <w:tc>
          <w:tcPr>
            <w:tcW w:w="4120" w:type="dxa"/>
            <w:vAlign w:val="bottom"/>
            <w:gridSpan w:val="10"/>
          </w:tcPr>
          <w:p>
            <w:pPr>
              <w:ind w:left="120"/>
              <w:spacing w:after="0" w:line="201" w:lineRule="exact"/>
              <w:rPr>
                <w:sz w:val="20"/>
                <w:szCs w:val="20"/>
                <w:color w:val="auto"/>
              </w:rPr>
            </w:pPr>
            <w:r>
              <w:rPr>
                <w:rFonts w:ascii="Arial" w:cs="Arial" w:eastAsia="Arial" w:hAnsi="Arial"/>
                <w:sz w:val="18"/>
                <w:szCs w:val="18"/>
                <w:color w:val="auto"/>
                <w:w w:val="97"/>
              </w:rPr>
              <w:t>Letter of Credit Requests; Minimum Stated Amount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w w:val="99"/>
              </w:rPr>
              <w:t>97</w:t>
            </w: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3.4.</w:t>
            </w:r>
          </w:p>
        </w:tc>
        <w:tc>
          <w:tcPr>
            <w:tcW w:w="250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Letter of Credit Participations</w:t>
            </w:r>
          </w:p>
        </w:tc>
        <w:tc>
          <w:tcPr>
            <w:tcW w:w="580" w:type="dxa"/>
            <w:vAlign w:val="bottom"/>
          </w:tcPr>
          <w:p>
            <w:pPr>
              <w:spacing w:after="0" w:line="201" w:lineRule="exact"/>
              <w:rPr>
                <w:sz w:val="20"/>
                <w:szCs w:val="20"/>
                <w:color w:val="auto"/>
              </w:rPr>
            </w:pPr>
            <w:r>
              <w:rPr>
                <w:rFonts w:ascii="Arial" w:cs="Arial" w:eastAsia="Arial" w:hAnsi="Arial"/>
                <w:sz w:val="18"/>
                <w:szCs w:val="18"/>
                <w:color w:val="auto"/>
              </w:rPr>
              <w:t>98</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3.5.</w:t>
            </w:r>
          </w:p>
        </w:tc>
        <w:tc>
          <w:tcPr>
            <w:tcW w:w="4120" w:type="dxa"/>
            <w:vAlign w:val="bottom"/>
            <w:gridSpan w:val="10"/>
          </w:tcPr>
          <w:p>
            <w:pPr>
              <w:ind w:left="120"/>
              <w:spacing w:after="0" w:line="201" w:lineRule="exact"/>
              <w:rPr>
                <w:sz w:val="20"/>
                <w:szCs w:val="20"/>
                <w:color w:val="auto"/>
              </w:rPr>
            </w:pPr>
            <w:r>
              <w:rPr>
                <w:rFonts w:ascii="Arial" w:cs="Arial" w:eastAsia="Arial" w:hAnsi="Arial"/>
                <w:sz w:val="18"/>
                <w:szCs w:val="18"/>
                <w:color w:val="auto"/>
                <w:w w:val="99"/>
              </w:rPr>
              <w:t>Agreement to Repay Letter of Credit Drawings  99</w:t>
            </w: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3.6.</w:t>
            </w:r>
          </w:p>
        </w:tc>
        <w:tc>
          <w:tcPr>
            <w:tcW w:w="132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0"/>
              </w:rPr>
              <w:t>Increased Costs</w:t>
            </w:r>
          </w:p>
        </w:tc>
        <w:tc>
          <w:tcPr>
            <w:tcW w:w="820" w:type="dxa"/>
            <w:vAlign w:val="bottom"/>
            <w:gridSpan w:val="3"/>
          </w:tcPr>
          <w:p>
            <w:pPr>
              <w:jc w:val="right"/>
              <w:ind w:right="308"/>
              <w:spacing w:after="0" w:line="201"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3.7.</w:t>
            </w:r>
          </w:p>
        </w:tc>
        <w:tc>
          <w:tcPr>
            <w:tcW w:w="2500" w:type="dxa"/>
            <w:vAlign w:val="bottom"/>
            <w:gridSpan w:val="8"/>
          </w:tcPr>
          <w:p>
            <w:pPr>
              <w:ind w:left="120"/>
              <w:spacing w:after="0"/>
              <w:rPr>
                <w:sz w:val="20"/>
                <w:szCs w:val="20"/>
                <w:color w:val="auto"/>
              </w:rPr>
            </w:pPr>
            <w:r>
              <w:rPr>
                <w:rFonts w:ascii="Arial" w:cs="Arial" w:eastAsia="Arial" w:hAnsi="Arial"/>
                <w:sz w:val="18"/>
                <w:szCs w:val="18"/>
                <w:color w:val="auto"/>
              </w:rPr>
              <w:t>Applicability of ISP and UCP</w:t>
            </w:r>
          </w:p>
        </w:tc>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01"/>
        </w:trPr>
        <w:tc>
          <w:tcPr>
            <w:tcW w:w="106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8680" w:type="dxa"/>
            <w:vAlign w:val="bottom"/>
            <w:gridSpan w:val="11"/>
          </w:tcPr>
          <w:p>
            <w:pPr>
              <w:ind w:left="80"/>
              <w:spacing w:after="0"/>
              <w:rPr>
                <w:sz w:val="20"/>
                <w:szCs w:val="20"/>
                <w:color w:val="auto"/>
              </w:rPr>
            </w:pPr>
            <w:r>
              <w:rPr>
                <w:rFonts w:ascii="Arial" w:cs="Arial" w:eastAsia="Arial" w:hAnsi="Arial"/>
                <w:sz w:val="18"/>
                <w:szCs w:val="18"/>
                <w:color w:val="auto"/>
              </w:rPr>
              <w:t>COMMITMENT FEES; FEES; REDUCTIONS OF COMMITMENTS  102</w:t>
            </w: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4.1.</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Fees</w:t>
            </w:r>
          </w:p>
        </w:tc>
        <w:tc>
          <w:tcPr>
            <w:tcW w:w="720" w:type="dxa"/>
            <w:vAlign w:val="bottom"/>
            <w:gridSpan w:val="2"/>
          </w:tcPr>
          <w:p>
            <w:pPr>
              <w:jc w:val="right"/>
              <w:ind w:right="308"/>
              <w:spacing w:after="0"/>
              <w:rPr>
                <w:sz w:val="20"/>
                <w:szCs w:val="20"/>
                <w:color w:val="auto"/>
              </w:rPr>
            </w:pPr>
            <w:r>
              <w:rPr>
                <w:rFonts w:ascii="Arial" w:cs="Arial" w:eastAsia="Arial" w:hAnsi="Arial"/>
                <w:sz w:val="18"/>
                <w:szCs w:val="18"/>
                <w:color w:val="auto"/>
                <w:w w:val="99"/>
              </w:rPr>
              <w:t>102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4.2.</w:t>
            </w:r>
          </w:p>
        </w:tc>
        <w:tc>
          <w:tcPr>
            <w:tcW w:w="8960" w:type="dxa"/>
            <w:vAlign w:val="bottom"/>
            <w:gridSpan w:val="12"/>
          </w:tcPr>
          <w:p>
            <w:pPr>
              <w:ind w:left="120"/>
              <w:spacing w:after="0" w:line="201" w:lineRule="exact"/>
              <w:rPr>
                <w:sz w:val="20"/>
                <w:szCs w:val="20"/>
                <w:color w:val="auto"/>
              </w:rPr>
            </w:pPr>
            <w:r>
              <w:rPr>
                <w:rFonts w:ascii="Arial" w:cs="Arial" w:eastAsia="Arial" w:hAnsi="Arial"/>
                <w:sz w:val="18"/>
                <w:szCs w:val="18"/>
                <w:color w:val="auto"/>
              </w:rPr>
              <w:t>Voluntary Termination of Unutilized Revolving Loan Commitments.  103</w:t>
            </w: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4.3.</w:t>
            </w:r>
          </w:p>
        </w:tc>
        <w:tc>
          <w:tcPr>
            <w:tcW w:w="3080" w:type="dxa"/>
            <w:vAlign w:val="bottom"/>
            <w:gridSpan w:val="9"/>
          </w:tcPr>
          <w:p>
            <w:pPr>
              <w:ind w:left="120"/>
              <w:spacing w:after="0"/>
              <w:rPr>
                <w:sz w:val="20"/>
                <w:szCs w:val="20"/>
                <w:color w:val="auto"/>
              </w:rPr>
            </w:pPr>
            <w:r>
              <w:rPr>
                <w:rFonts w:ascii="Arial" w:cs="Arial" w:eastAsia="Arial" w:hAnsi="Arial"/>
                <w:sz w:val="18"/>
                <w:szCs w:val="18"/>
                <w:color w:val="auto"/>
                <w:w w:val="95"/>
              </w:rPr>
              <w:t>Mandatory Reduction of Commitments</w:t>
            </w:r>
          </w:p>
        </w:tc>
        <w:tc>
          <w:tcPr>
            <w:tcW w:w="1040" w:type="dxa"/>
            <w:vAlign w:val="bottom"/>
          </w:tcPr>
          <w:p>
            <w:pPr>
              <w:jc w:val="right"/>
              <w:ind w:right="548"/>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740"/>
          </w:cols>
          <w:pgMar w:left="1320" w:top="1326" w:right="839" w:bottom="1440" w:gutter="0" w:footer="0" w:header="0"/>
        </w:sectPr>
      </w:pPr>
    </w:p>
    <w:bookmarkStart w:id="80" w:name="page81"/>
    <w:bookmarkEnd w:id="80"/>
    <w:p>
      <w:pPr>
        <w:jc w:val="right"/>
        <w:ind w:right="499"/>
        <w:spacing w:after="0"/>
        <w:rPr>
          <w:sz w:val="20"/>
          <w:szCs w:val="20"/>
          <w:color w:val="auto"/>
        </w:rPr>
      </w:pPr>
      <w:r>
        <w:rPr>
          <w:rFonts w:ascii="Arial" w:cs="Arial" w:eastAsia="Arial" w:hAnsi="Arial"/>
          <w:sz w:val="18"/>
          <w:szCs w:val="18"/>
          <w:color w:val="auto"/>
        </w:rPr>
        <w:t>Page SECTION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9"/>
          </w:tcPr>
          <w:p>
            <w:pPr>
              <w:spacing w:after="0"/>
              <w:rPr>
                <w:sz w:val="20"/>
                <w:szCs w:val="20"/>
                <w:color w:val="auto"/>
              </w:rPr>
            </w:pPr>
            <w:r>
              <w:rPr>
                <w:rFonts w:ascii="Arial" w:cs="Arial" w:eastAsia="Arial" w:hAnsi="Arial"/>
                <w:sz w:val="18"/>
                <w:szCs w:val="18"/>
                <w:color w:val="auto"/>
              </w:rPr>
              <w:t>5.  PREPAYMENTS; PAYMENTS; TAXES</w:t>
            </w:r>
          </w:p>
        </w:tc>
        <w:tc>
          <w:tcPr>
            <w:tcW w:w="460" w:type="dxa"/>
            <w:vAlign w:val="bottom"/>
            <w:gridSpan w:val="2"/>
          </w:tcPr>
          <w:p>
            <w:pPr>
              <w:jc w:val="right"/>
              <w:ind w:right="88"/>
              <w:spacing w:after="0"/>
              <w:rPr>
                <w:sz w:val="20"/>
                <w:szCs w:val="20"/>
                <w:color w:val="auto"/>
              </w:rPr>
            </w:pPr>
            <w:r>
              <w:rPr>
                <w:rFonts w:ascii="Arial" w:cs="Arial" w:eastAsia="Arial" w:hAnsi="Arial"/>
                <w:sz w:val="18"/>
                <w:szCs w:val="18"/>
                <w:color w:val="auto"/>
                <w:w w:val="86"/>
              </w:rPr>
              <w:t>104</w:t>
            </w: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0"/>
        </w:trPr>
        <w:tc>
          <w:tcPr>
            <w:tcW w:w="780" w:type="dxa"/>
            <w:vAlign w:val="bottom"/>
          </w:tcPr>
          <w:p>
            <w:pPr>
              <w:ind w:left="300"/>
              <w:spacing w:after="0"/>
              <w:rPr>
                <w:sz w:val="20"/>
                <w:szCs w:val="20"/>
                <w:color w:val="auto"/>
              </w:rPr>
            </w:pPr>
            <w:r>
              <w:rPr>
                <w:rFonts w:ascii="Arial" w:cs="Arial" w:eastAsia="Arial" w:hAnsi="Arial"/>
                <w:sz w:val="18"/>
                <w:szCs w:val="18"/>
                <w:color w:val="auto"/>
              </w:rPr>
              <w:t>5.1.</w:t>
            </w:r>
          </w:p>
        </w:tc>
        <w:tc>
          <w:tcPr>
            <w:tcW w:w="2000" w:type="dxa"/>
            <w:vAlign w:val="bottom"/>
            <w:gridSpan w:val="6"/>
          </w:tcPr>
          <w:p>
            <w:pPr>
              <w:ind w:left="120"/>
              <w:spacing w:after="0"/>
              <w:rPr>
                <w:sz w:val="20"/>
                <w:szCs w:val="20"/>
                <w:color w:val="auto"/>
              </w:rPr>
            </w:pPr>
            <w:r>
              <w:rPr>
                <w:rFonts w:ascii="Arial" w:cs="Arial" w:eastAsia="Arial" w:hAnsi="Arial"/>
                <w:sz w:val="18"/>
                <w:szCs w:val="18"/>
                <w:color w:val="auto"/>
                <w:w w:val="99"/>
              </w:rPr>
              <w:t>Voluntary Prepayments</w:t>
            </w:r>
          </w:p>
        </w:tc>
        <w:tc>
          <w:tcPr>
            <w:tcW w:w="420" w:type="dxa"/>
            <w:vAlign w:val="bottom"/>
          </w:tcPr>
          <w:p>
            <w:pPr>
              <w:jc w:val="right"/>
              <w:ind w:right="28"/>
              <w:spacing w:after="0"/>
              <w:rPr>
                <w:sz w:val="20"/>
                <w:szCs w:val="20"/>
                <w:color w:val="auto"/>
              </w:rPr>
            </w:pPr>
            <w:r>
              <w:rPr>
                <w:rFonts w:ascii="Arial" w:cs="Arial" w:eastAsia="Arial" w:hAnsi="Arial"/>
                <w:sz w:val="18"/>
                <w:szCs w:val="18"/>
                <w:color w:val="auto"/>
                <w:w w:val="93"/>
              </w:rPr>
              <w:t>104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5.2.</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4"/>
              </w:rPr>
              <w:t>[Reserved]</w:t>
            </w:r>
          </w:p>
        </w:tc>
        <w:tc>
          <w:tcPr>
            <w:tcW w:w="74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5.3.</w:t>
            </w:r>
          </w:p>
        </w:tc>
        <w:tc>
          <w:tcPr>
            <w:tcW w:w="2880" w:type="dxa"/>
            <w:vAlign w:val="bottom"/>
            <w:gridSpan w:val="9"/>
          </w:tcPr>
          <w:p>
            <w:pPr>
              <w:ind w:left="120"/>
              <w:spacing w:after="0" w:line="201" w:lineRule="exact"/>
              <w:rPr>
                <w:sz w:val="20"/>
                <w:szCs w:val="20"/>
                <w:color w:val="auto"/>
              </w:rPr>
            </w:pPr>
            <w:r>
              <w:rPr>
                <w:rFonts w:ascii="Arial" w:cs="Arial" w:eastAsia="Arial" w:hAnsi="Arial"/>
                <w:sz w:val="18"/>
                <w:szCs w:val="18"/>
                <w:color w:val="auto"/>
                <w:w w:val="93"/>
              </w:rPr>
              <w:t>Repayment of Revolving Excess, etc</w:t>
            </w:r>
          </w:p>
        </w:tc>
        <w:tc>
          <w:tcPr>
            <w:tcW w:w="860" w:type="dxa"/>
            <w:vAlign w:val="bottom"/>
            <w:gridSpan w:val="2"/>
          </w:tcPr>
          <w:p>
            <w:pPr>
              <w:jc w:val="right"/>
              <w:ind w:right="348"/>
              <w:spacing w:after="0" w:line="201" w:lineRule="exact"/>
              <w:rPr>
                <w:sz w:val="20"/>
                <w:szCs w:val="20"/>
                <w:color w:val="auto"/>
              </w:rPr>
            </w:pPr>
            <w:r>
              <w:rPr>
                <w:rFonts w:ascii="Arial" w:cs="Arial" w:eastAsia="Arial" w:hAnsi="Arial"/>
                <w:sz w:val="18"/>
                <w:szCs w:val="18"/>
                <w:color w:val="auto"/>
              </w:rPr>
              <w:t>104</w:t>
            </w: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5.4.</w:t>
            </w:r>
          </w:p>
        </w:tc>
        <w:tc>
          <w:tcPr>
            <w:tcW w:w="2420" w:type="dxa"/>
            <w:vAlign w:val="bottom"/>
            <w:gridSpan w:val="7"/>
          </w:tcPr>
          <w:p>
            <w:pPr>
              <w:ind w:left="120"/>
              <w:spacing w:after="0" w:line="201" w:lineRule="exact"/>
              <w:rPr>
                <w:sz w:val="20"/>
                <w:szCs w:val="20"/>
                <w:color w:val="auto"/>
              </w:rPr>
            </w:pPr>
            <w:r>
              <w:rPr>
                <w:rFonts w:ascii="Arial" w:cs="Arial" w:eastAsia="Arial" w:hAnsi="Arial"/>
                <w:sz w:val="18"/>
                <w:szCs w:val="18"/>
                <w:color w:val="auto"/>
                <w:w w:val="94"/>
              </w:rPr>
              <w:t>Method and Place of Payment</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5.5.</w:t>
            </w:r>
          </w:p>
        </w:tc>
        <w:tc>
          <w:tcPr>
            <w:tcW w:w="1180" w:type="dxa"/>
            <w:vAlign w:val="bottom"/>
            <w:gridSpan w:val="4"/>
          </w:tcPr>
          <w:p>
            <w:pPr>
              <w:ind w:left="120"/>
              <w:spacing w:after="0"/>
              <w:rPr>
                <w:sz w:val="20"/>
                <w:szCs w:val="20"/>
                <w:color w:val="auto"/>
              </w:rPr>
            </w:pPr>
            <w:r>
              <w:rPr>
                <w:rFonts w:ascii="Arial" w:cs="Arial" w:eastAsia="Arial" w:hAnsi="Arial"/>
                <w:sz w:val="18"/>
                <w:szCs w:val="18"/>
                <w:color w:val="auto"/>
                <w:w w:val="91"/>
              </w:rPr>
              <w:t>Net Payments</w:t>
            </w:r>
          </w:p>
        </w:tc>
        <w:tc>
          <w:tcPr>
            <w:tcW w:w="520" w:type="dxa"/>
            <w:vAlign w:val="bottom"/>
          </w:tcPr>
          <w:p>
            <w:pPr>
              <w:jc w:val="right"/>
              <w:ind w:right="8"/>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01"/>
        </w:trPr>
        <w:tc>
          <w:tcPr>
            <w:tcW w:w="4520" w:type="dxa"/>
            <w:vAlign w:val="bottom"/>
            <w:gridSpan w:val="12"/>
          </w:tcPr>
          <w:p>
            <w:pPr>
              <w:spacing w:after="0"/>
              <w:rPr>
                <w:sz w:val="20"/>
                <w:szCs w:val="20"/>
                <w:color w:val="auto"/>
              </w:rPr>
            </w:pPr>
            <w:r>
              <w:rPr>
                <w:rFonts w:ascii="Arial" w:cs="Arial" w:eastAsia="Arial" w:hAnsi="Arial"/>
                <w:sz w:val="18"/>
                <w:szCs w:val="18"/>
                <w:color w:val="auto"/>
                <w:w w:val="98"/>
              </w:rPr>
              <w:t>SECTION 6.  REPRESENTATIONS AND WARRANTIES</w:t>
            </w:r>
          </w:p>
        </w:tc>
        <w:tc>
          <w:tcPr>
            <w:tcW w:w="1560" w:type="dxa"/>
            <w:vAlign w:val="bottom"/>
          </w:tcPr>
          <w:p>
            <w:pPr>
              <w:jc w:val="right"/>
              <w:ind w:right="1028"/>
              <w:spacing w:after="0"/>
              <w:rPr>
                <w:sz w:val="20"/>
                <w:szCs w:val="20"/>
                <w:color w:val="auto"/>
              </w:rPr>
            </w:pPr>
            <w:r>
              <w:rPr>
                <w:rFonts w:ascii="Arial" w:cs="Arial" w:eastAsia="Arial" w:hAnsi="Arial"/>
                <w:sz w:val="18"/>
                <w:szCs w:val="18"/>
                <w:color w:val="auto"/>
              </w:rPr>
              <w:t>108</w:t>
            </w: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6.1.</w:t>
            </w:r>
          </w:p>
        </w:tc>
        <w:tc>
          <w:tcPr>
            <w:tcW w:w="1700" w:type="dxa"/>
            <w:vAlign w:val="bottom"/>
            <w:gridSpan w:val="5"/>
          </w:tcPr>
          <w:p>
            <w:pPr>
              <w:ind w:left="120"/>
              <w:spacing w:after="0"/>
              <w:rPr>
                <w:sz w:val="20"/>
                <w:szCs w:val="20"/>
                <w:color w:val="auto"/>
              </w:rPr>
            </w:pPr>
            <w:r>
              <w:rPr>
                <w:rFonts w:ascii="Arial" w:cs="Arial" w:eastAsia="Arial" w:hAnsi="Arial"/>
                <w:sz w:val="18"/>
                <w:szCs w:val="18"/>
                <w:color w:val="auto"/>
              </w:rPr>
              <w:t>Financial Condition</w:t>
            </w:r>
          </w:p>
        </w:tc>
        <w:tc>
          <w:tcPr>
            <w:tcW w:w="720" w:type="dxa"/>
            <w:vAlign w:val="bottom"/>
            <w:gridSpan w:val="2"/>
          </w:tcPr>
          <w:p>
            <w:pPr>
              <w:jc w:val="right"/>
              <w:ind w:right="288"/>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6.2.</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0"/>
              </w:rPr>
              <w:t>No Change</w:t>
            </w:r>
          </w:p>
        </w:tc>
        <w:tc>
          <w:tcPr>
            <w:tcW w:w="740" w:type="dxa"/>
            <w:vAlign w:val="bottom"/>
            <w:gridSpan w:val="2"/>
          </w:tcPr>
          <w:p>
            <w:pPr>
              <w:jc w:val="right"/>
              <w:ind w:right="188"/>
              <w:spacing w:after="0" w:line="201"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6.3.</w:t>
            </w:r>
          </w:p>
        </w:tc>
        <w:tc>
          <w:tcPr>
            <w:tcW w:w="274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Existence; Compliance with Law</w:t>
            </w:r>
          </w:p>
        </w:tc>
        <w:tc>
          <w:tcPr>
            <w:tcW w:w="46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w w:val="86"/>
              </w:rPr>
              <w:t>109</w:t>
            </w: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6.4.</w:t>
            </w:r>
          </w:p>
        </w:tc>
        <w:tc>
          <w:tcPr>
            <w:tcW w:w="3740" w:type="dxa"/>
            <w:vAlign w:val="bottom"/>
            <w:gridSpan w:val="11"/>
          </w:tcPr>
          <w:p>
            <w:pPr>
              <w:ind w:left="120"/>
              <w:spacing w:after="0" w:line="201" w:lineRule="exact"/>
              <w:rPr>
                <w:sz w:val="20"/>
                <w:szCs w:val="20"/>
                <w:color w:val="auto"/>
              </w:rPr>
            </w:pPr>
            <w:r>
              <w:rPr>
                <w:rFonts w:ascii="Arial" w:cs="Arial" w:eastAsia="Arial" w:hAnsi="Arial"/>
                <w:sz w:val="18"/>
                <w:szCs w:val="18"/>
                <w:color w:val="auto"/>
                <w:w w:val="98"/>
              </w:rPr>
              <w:t>Power; Authorization; Enforceable Obligations</w:t>
            </w:r>
          </w:p>
        </w:tc>
        <w:tc>
          <w:tcPr>
            <w:tcW w:w="1560" w:type="dxa"/>
            <w:vAlign w:val="bottom"/>
          </w:tcPr>
          <w:p>
            <w:pPr>
              <w:jc w:val="right"/>
              <w:ind w:right="1148"/>
              <w:spacing w:after="0" w:line="201" w:lineRule="exact"/>
              <w:rPr>
                <w:sz w:val="20"/>
                <w:szCs w:val="20"/>
                <w:color w:val="auto"/>
              </w:rPr>
            </w:pPr>
            <w:r>
              <w:rPr>
                <w:rFonts w:ascii="Arial" w:cs="Arial" w:eastAsia="Arial" w:hAnsi="Arial"/>
                <w:sz w:val="18"/>
                <w:szCs w:val="18"/>
                <w:color w:val="auto"/>
                <w:w w:val="99"/>
              </w:rPr>
              <w:t>109</w:t>
            </w: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6.5.</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Consents</w:t>
            </w:r>
          </w:p>
        </w:tc>
        <w:tc>
          <w:tcPr>
            <w:tcW w:w="740" w:type="dxa"/>
            <w:vAlign w:val="bottom"/>
            <w:gridSpan w:val="2"/>
          </w:tcPr>
          <w:p>
            <w:pPr>
              <w:jc w:val="right"/>
              <w:ind w:right="348"/>
              <w:spacing w:after="0" w:line="201" w:lineRule="exact"/>
              <w:rPr>
                <w:sz w:val="20"/>
                <w:szCs w:val="20"/>
                <w:color w:val="auto"/>
              </w:rPr>
            </w:pPr>
            <w:r>
              <w:rPr>
                <w:rFonts w:ascii="Arial" w:cs="Arial" w:eastAsia="Arial" w:hAnsi="Arial"/>
                <w:sz w:val="18"/>
                <w:szCs w:val="18"/>
                <w:color w:val="auto"/>
                <w:w w:val="93"/>
              </w:rPr>
              <w:t>109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6.6.</w:t>
            </w:r>
          </w:p>
        </w:tc>
        <w:tc>
          <w:tcPr>
            <w:tcW w:w="118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8"/>
              </w:rPr>
              <w:t>No Legal Bar</w:t>
            </w:r>
          </w:p>
        </w:tc>
        <w:tc>
          <w:tcPr>
            <w:tcW w:w="520" w:type="dxa"/>
            <w:vAlign w:val="bottom"/>
          </w:tcPr>
          <w:p>
            <w:pPr>
              <w:jc w:val="right"/>
              <w:ind w:right="28"/>
              <w:spacing w:after="0" w:line="201" w:lineRule="exact"/>
              <w:rPr>
                <w:sz w:val="20"/>
                <w:szCs w:val="20"/>
                <w:color w:val="auto"/>
              </w:rPr>
            </w:pPr>
            <w:r>
              <w:rPr>
                <w:rFonts w:ascii="Arial" w:cs="Arial" w:eastAsia="Arial" w:hAnsi="Arial"/>
                <w:sz w:val="18"/>
                <w:szCs w:val="18"/>
                <w:color w:val="auto"/>
              </w:rPr>
              <w:t>109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6.7.</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Litigation</w:t>
            </w:r>
          </w:p>
        </w:tc>
        <w:tc>
          <w:tcPr>
            <w:tcW w:w="740" w:type="dxa"/>
            <w:vAlign w:val="bottom"/>
            <w:gridSpan w:val="2"/>
          </w:tcPr>
          <w:p>
            <w:pPr>
              <w:jc w:val="right"/>
              <w:ind w:right="308"/>
              <w:spacing w:after="0" w:line="201" w:lineRule="exact"/>
              <w:rPr>
                <w:sz w:val="20"/>
                <w:szCs w:val="20"/>
                <w:color w:val="auto"/>
              </w:rPr>
            </w:pPr>
            <w:r>
              <w:rPr>
                <w:rFonts w:ascii="Arial" w:cs="Arial" w:eastAsia="Arial" w:hAnsi="Arial"/>
                <w:sz w:val="18"/>
                <w:szCs w:val="18"/>
                <w:color w:val="auto"/>
              </w:rPr>
              <w:t>110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6.8.</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No Default</w:t>
            </w:r>
          </w:p>
        </w:tc>
        <w:tc>
          <w:tcPr>
            <w:tcW w:w="74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110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6.9.</w:t>
            </w:r>
          </w:p>
        </w:tc>
        <w:tc>
          <w:tcPr>
            <w:tcW w:w="2420" w:type="dxa"/>
            <w:vAlign w:val="bottom"/>
            <w:gridSpan w:val="7"/>
          </w:tcPr>
          <w:p>
            <w:pPr>
              <w:ind w:left="120"/>
              <w:spacing w:after="0" w:line="201" w:lineRule="exact"/>
              <w:rPr>
                <w:sz w:val="20"/>
                <w:szCs w:val="20"/>
                <w:color w:val="auto"/>
              </w:rPr>
            </w:pPr>
            <w:r>
              <w:rPr>
                <w:rFonts w:ascii="Arial" w:cs="Arial" w:eastAsia="Arial" w:hAnsi="Arial"/>
                <w:sz w:val="18"/>
                <w:szCs w:val="18"/>
                <w:color w:val="auto"/>
                <w:w w:val="98"/>
              </w:rPr>
              <w:t>Ownership of Property; Liens</w:t>
            </w:r>
          </w:p>
        </w:tc>
        <w:tc>
          <w:tcPr>
            <w:tcW w:w="46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rPr>
              <w:t>110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6.10.</w:t>
            </w:r>
          </w:p>
        </w:tc>
        <w:tc>
          <w:tcPr>
            <w:tcW w:w="1700" w:type="dxa"/>
            <w:vAlign w:val="bottom"/>
            <w:gridSpan w:val="5"/>
          </w:tcPr>
          <w:p>
            <w:pPr>
              <w:ind w:left="120"/>
              <w:spacing w:after="0" w:line="201" w:lineRule="exact"/>
              <w:rPr>
                <w:sz w:val="20"/>
                <w:szCs w:val="20"/>
                <w:color w:val="auto"/>
              </w:rPr>
            </w:pPr>
            <w:r>
              <w:rPr>
                <w:rFonts w:ascii="Arial" w:cs="Arial" w:eastAsia="Arial" w:hAnsi="Arial"/>
                <w:sz w:val="18"/>
                <w:szCs w:val="18"/>
                <w:color w:val="auto"/>
                <w:w w:val="98"/>
              </w:rPr>
              <w:t>Intellectual Property</w:t>
            </w:r>
          </w:p>
        </w:tc>
        <w:tc>
          <w:tcPr>
            <w:tcW w:w="720" w:type="dxa"/>
            <w:vAlign w:val="bottom"/>
            <w:gridSpan w:val="2"/>
          </w:tcPr>
          <w:p>
            <w:pPr>
              <w:jc w:val="right"/>
              <w:ind w:right="248"/>
              <w:spacing w:after="0" w:line="201" w:lineRule="exact"/>
              <w:rPr>
                <w:sz w:val="20"/>
                <w:szCs w:val="20"/>
                <w:color w:val="auto"/>
              </w:rPr>
            </w:pPr>
            <w:r>
              <w:rPr>
                <w:rFonts w:ascii="Arial" w:cs="Arial" w:eastAsia="Arial" w:hAnsi="Arial"/>
                <w:sz w:val="18"/>
                <w:szCs w:val="18"/>
                <w:color w:val="auto"/>
              </w:rPr>
              <w:t>110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6.11.</w:t>
            </w:r>
          </w:p>
        </w:tc>
        <w:tc>
          <w:tcPr>
            <w:tcW w:w="7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Taxes</w:t>
            </w:r>
          </w:p>
        </w:tc>
        <w:tc>
          <w:tcPr>
            <w:tcW w:w="48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w w:val="86"/>
              </w:rPr>
              <w:t>110</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6.12.</w:t>
            </w:r>
          </w:p>
        </w:tc>
        <w:tc>
          <w:tcPr>
            <w:tcW w:w="1700" w:type="dxa"/>
            <w:vAlign w:val="bottom"/>
            <w:gridSpan w:val="5"/>
          </w:tcPr>
          <w:p>
            <w:pPr>
              <w:ind w:left="120"/>
              <w:spacing w:after="0" w:line="201" w:lineRule="exact"/>
              <w:rPr>
                <w:sz w:val="20"/>
                <w:szCs w:val="20"/>
                <w:color w:val="auto"/>
              </w:rPr>
            </w:pPr>
            <w:r>
              <w:rPr>
                <w:rFonts w:ascii="Arial" w:cs="Arial" w:eastAsia="Arial" w:hAnsi="Arial"/>
                <w:sz w:val="18"/>
                <w:szCs w:val="18"/>
                <w:color w:val="auto"/>
                <w:w w:val="96"/>
              </w:rPr>
              <w:t>Federal Regulations</w:t>
            </w:r>
          </w:p>
        </w:tc>
        <w:tc>
          <w:tcPr>
            <w:tcW w:w="720" w:type="dxa"/>
            <w:vAlign w:val="bottom"/>
            <w:gridSpan w:val="2"/>
          </w:tcPr>
          <w:p>
            <w:pPr>
              <w:jc w:val="right"/>
              <w:ind w:right="288"/>
              <w:spacing w:after="0" w:line="201" w:lineRule="exact"/>
              <w:rPr>
                <w:sz w:val="20"/>
                <w:szCs w:val="20"/>
                <w:color w:val="auto"/>
              </w:rPr>
            </w:pPr>
            <w:r>
              <w:rPr>
                <w:rFonts w:ascii="Arial" w:cs="Arial" w:eastAsia="Arial" w:hAnsi="Arial"/>
                <w:sz w:val="18"/>
                <w:szCs w:val="18"/>
                <w:color w:val="auto"/>
              </w:rPr>
              <w:t>110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6.13.</w:t>
            </w:r>
          </w:p>
        </w:tc>
        <w:tc>
          <w:tcPr>
            <w:tcW w:w="118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3"/>
              </w:rPr>
              <w:t>Labor Matters</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110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6.14.</w:t>
            </w:r>
          </w:p>
        </w:tc>
        <w:tc>
          <w:tcPr>
            <w:tcW w:w="7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ERISA</w:t>
            </w:r>
          </w:p>
        </w:tc>
        <w:tc>
          <w:tcPr>
            <w:tcW w:w="48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rPr>
              <w:t>111</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6.15.</w:t>
            </w:r>
          </w:p>
        </w:tc>
        <w:tc>
          <w:tcPr>
            <w:tcW w:w="5300" w:type="dxa"/>
            <w:vAlign w:val="bottom"/>
            <w:gridSpan w:val="12"/>
          </w:tcPr>
          <w:p>
            <w:pPr>
              <w:ind w:left="120"/>
              <w:spacing w:after="0" w:line="201" w:lineRule="exact"/>
              <w:rPr>
                <w:sz w:val="20"/>
                <w:szCs w:val="20"/>
                <w:color w:val="auto"/>
              </w:rPr>
            </w:pPr>
            <w:r>
              <w:rPr>
                <w:rFonts w:ascii="Arial" w:cs="Arial" w:eastAsia="Arial" w:hAnsi="Arial"/>
                <w:sz w:val="18"/>
                <w:szCs w:val="18"/>
                <w:color w:val="auto"/>
              </w:rPr>
              <w:t>Investment Company Act; Other Regulations  112</w:t>
            </w: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6.16.</w:t>
            </w:r>
          </w:p>
        </w:tc>
        <w:tc>
          <w:tcPr>
            <w:tcW w:w="118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Subsidiaries</w:t>
            </w:r>
          </w:p>
        </w:tc>
        <w:tc>
          <w:tcPr>
            <w:tcW w:w="520" w:type="dxa"/>
            <w:vAlign w:val="bottom"/>
          </w:tcPr>
          <w:p>
            <w:pPr>
              <w:jc w:val="right"/>
              <w:ind w:right="148"/>
              <w:spacing w:after="0" w:line="201" w:lineRule="exact"/>
              <w:rPr>
                <w:sz w:val="20"/>
                <w:szCs w:val="20"/>
                <w:color w:val="auto"/>
              </w:rPr>
            </w:pPr>
            <w:r>
              <w:rPr>
                <w:rFonts w:ascii="Arial" w:cs="Arial" w:eastAsia="Arial" w:hAnsi="Arial"/>
                <w:sz w:val="18"/>
                <w:szCs w:val="18"/>
                <w:color w:val="auto"/>
                <w:w w:val="86"/>
              </w:rPr>
              <w:t>112</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6.17.</w:t>
            </w:r>
          </w:p>
        </w:tc>
        <w:tc>
          <w:tcPr>
            <w:tcW w:w="2000" w:type="dxa"/>
            <w:vAlign w:val="bottom"/>
            <w:gridSpan w:val="6"/>
          </w:tcPr>
          <w:p>
            <w:pPr>
              <w:ind w:left="120"/>
              <w:spacing w:after="0" w:line="201" w:lineRule="exact"/>
              <w:rPr>
                <w:sz w:val="20"/>
                <w:szCs w:val="20"/>
                <w:color w:val="auto"/>
              </w:rPr>
            </w:pPr>
            <w:r>
              <w:rPr>
                <w:rFonts w:ascii="Arial" w:cs="Arial" w:eastAsia="Arial" w:hAnsi="Arial"/>
                <w:sz w:val="18"/>
                <w:szCs w:val="18"/>
                <w:color w:val="auto"/>
              </w:rPr>
              <w:t>Environmental Matters</w:t>
            </w:r>
          </w:p>
        </w:tc>
        <w:tc>
          <w:tcPr>
            <w:tcW w:w="420" w:type="dxa"/>
            <w:vAlign w:val="bottom"/>
          </w:tcPr>
          <w:p>
            <w:pPr>
              <w:jc w:val="right"/>
              <w:ind w:right="68"/>
              <w:spacing w:after="0" w:line="201" w:lineRule="exact"/>
              <w:rPr>
                <w:sz w:val="20"/>
                <w:szCs w:val="20"/>
                <w:color w:val="auto"/>
              </w:rPr>
            </w:pPr>
            <w:r>
              <w:rPr>
                <w:rFonts w:ascii="Arial" w:cs="Arial" w:eastAsia="Arial" w:hAnsi="Arial"/>
                <w:sz w:val="18"/>
                <w:szCs w:val="18"/>
                <w:color w:val="auto"/>
                <w:w w:val="79"/>
              </w:rPr>
              <w:t>112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6.18.</w:t>
            </w:r>
          </w:p>
        </w:tc>
        <w:tc>
          <w:tcPr>
            <w:tcW w:w="2420" w:type="dxa"/>
            <w:vAlign w:val="bottom"/>
            <w:gridSpan w:val="7"/>
          </w:tcPr>
          <w:p>
            <w:pPr>
              <w:ind w:left="120"/>
              <w:spacing w:after="0" w:line="201" w:lineRule="exact"/>
              <w:rPr>
                <w:sz w:val="20"/>
                <w:szCs w:val="20"/>
                <w:color w:val="auto"/>
              </w:rPr>
            </w:pPr>
            <w:r>
              <w:rPr>
                <w:rFonts w:ascii="Arial" w:cs="Arial" w:eastAsia="Arial" w:hAnsi="Arial"/>
                <w:sz w:val="18"/>
                <w:szCs w:val="18"/>
                <w:color w:val="auto"/>
              </w:rPr>
              <w:t>Accuracy of Information, etc</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86"/>
              </w:rPr>
              <w:t>113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6.19.</w:t>
            </w:r>
          </w:p>
        </w:tc>
        <w:tc>
          <w:tcPr>
            <w:tcW w:w="1700" w:type="dxa"/>
            <w:vAlign w:val="bottom"/>
            <w:gridSpan w:val="5"/>
          </w:tcPr>
          <w:p>
            <w:pPr>
              <w:ind w:left="120"/>
              <w:spacing w:after="0" w:line="201" w:lineRule="exact"/>
              <w:rPr>
                <w:sz w:val="20"/>
                <w:szCs w:val="20"/>
                <w:color w:val="auto"/>
              </w:rPr>
            </w:pPr>
            <w:r>
              <w:rPr>
                <w:rFonts w:ascii="Arial" w:cs="Arial" w:eastAsia="Arial" w:hAnsi="Arial"/>
                <w:sz w:val="18"/>
                <w:szCs w:val="18"/>
                <w:color w:val="auto"/>
                <w:w w:val="96"/>
              </w:rPr>
              <w:t>Security Documents</w:t>
            </w:r>
          </w:p>
        </w:tc>
        <w:tc>
          <w:tcPr>
            <w:tcW w:w="720" w:type="dxa"/>
            <w:vAlign w:val="bottom"/>
            <w:gridSpan w:val="2"/>
          </w:tcPr>
          <w:p>
            <w:pPr>
              <w:jc w:val="right"/>
              <w:ind w:right="268"/>
              <w:spacing w:after="0" w:line="201" w:lineRule="exact"/>
              <w:rPr>
                <w:sz w:val="20"/>
                <w:szCs w:val="20"/>
                <w:color w:val="auto"/>
              </w:rPr>
            </w:pPr>
            <w:r>
              <w:rPr>
                <w:rFonts w:ascii="Arial" w:cs="Arial" w:eastAsia="Arial" w:hAnsi="Arial"/>
                <w:sz w:val="18"/>
                <w:szCs w:val="18"/>
                <w:color w:val="auto"/>
              </w:rPr>
              <w:t>113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6.20.</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Solvency</w:t>
            </w:r>
          </w:p>
        </w:tc>
        <w:tc>
          <w:tcPr>
            <w:tcW w:w="740" w:type="dxa"/>
            <w:vAlign w:val="bottom"/>
            <w:gridSpan w:val="2"/>
          </w:tcPr>
          <w:p>
            <w:pPr>
              <w:jc w:val="right"/>
              <w:ind w:right="348"/>
              <w:spacing w:after="0" w:line="201" w:lineRule="exact"/>
              <w:rPr>
                <w:sz w:val="20"/>
                <w:szCs w:val="20"/>
                <w:color w:val="auto"/>
              </w:rPr>
            </w:pPr>
            <w:r>
              <w:rPr>
                <w:rFonts w:ascii="Arial" w:cs="Arial" w:eastAsia="Arial" w:hAnsi="Arial"/>
                <w:sz w:val="18"/>
                <w:szCs w:val="18"/>
                <w:color w:val="auto"/>
                <w:w w:val="93"/>
              </w:rPr>
              <w:t>113</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6.21.</w:t>
            </w:r>
          </w:p>
        </w:tc>
        <w:tc>
          <w:tcPr>
            <w:tcW w:w="5300" w:type="dxa"/>
            <w:vAlign w:val="bottom"/>
            <w:gridSpan w:val="12"/>
          </w:tcPr>
          <w:p>
            <w:pPr>
              <w:ind w:left="120"/>
              <w:spacing w:after="0" w:line="201" w:lineRule="exact"/>
              <w:rPr>
                <w:sz w:val="20"/>
                <w:szCs w:val="20"/>
                <w:color w:val="auto"/>
              </w:rPr>
            </w:pPr>
            <w:r>
              <w:rPr>
                <w:rFonts w:ascii="Arial" w:cs="Arial" w:eastAsia="Arial" w:hAnsi="Arial"/>
                <w:sz w:val="18"/>
                <w:szCs w:val="18"/>
                <w:color w:val="auto"/>
                <w:w w:val="95"/>
              </w:rPr>
              <w:t>Patriot Act; FCPA; OFAC; Anti-Corruption Laws and Sanctions  114</w:t>
            </w: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6.22.</w:t>
            </w:r>
          </w:p>
        </w:tc>
        <w:tc>
          <w:tcPr>
            <w:tcW w:w="2420" w:type="dxa"/>
            <w:vAlign w:val="bottom"/>
            <w:gridSpan w:val="7"/>
          </w:tcPr>
          <w:p>
            <w:pPr>
              <w:ind w:left="120"/>
              <w:spacing w:after="0"/>
              <w:rPr>
                <w:sz w:val="20"/>
                <w:szCs w:val="20"/>
                <w:color w:val="auto"/>
              </w:rPr>
            </w:pPr>
            <w:r>
              <w:rPr>
                <w:rFonts w:ascii="Arial" w:cs="Arial" w:eastAsia="Arial" w:hAnsi="Arial"/>
                <w:sz w:val="18"/>
                <w:szCs w:val="18"/>
                <w:color w:val="auto"/>
                <w:w w:val="92"/>
              </w:rPr>
              <w:t>Status as 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01"/>
        </w:trPr>
        <w:tc>
          <w:tcPr>
            <w:tcW w:w="1040" w:type="dxa"/>
            <w:vAlign w:val="bottom"/>
            <w:gridSpan w:val="2"/>
          </w:tcPr>
          <w:p>
            <w:pPr>
              <w:spacing w:after="0"/>
              <w:rPr>
                <w:sz w:val="20"/>
                <w:szCs w:val="20"/>
                <w:color w:val="auto"/>
              </w:rPr>
            </w:pPr>
            <w:r>
              <w:rPr>
                <w:rFonts w:ascii="Arial" w:cs="Arial" w:eastAsia="Arial" w:hAnsi="Arial"/>
                <w:sz w:val="18"/>
                <w:szCs w:val="18"/>
                <w:color w:val="auto"/>
              </w:rPr>
              <w:t>SECTION 7.</w:t>
            </w:r>
          </w:p>
        </w:tc>
        <w:tc>
          <w:tcPr>
            <w:tcW w:w="2480" w:type="dxa"/>
            <w:vAlign w:val="bottom"/>
            <w:gridSpan w:val="7"/>
          </w:tcPr>
          <w:p>
            <w:pPr>
              <w:jc w:val="right"/>
              <w:ind w:right="48"/>
              <w:spacing w:after="0"/>
              <w:rPr>
                <w:sz w:val="20"/>
                <w:szCs w:val="20"/>
                <w:color w:val="auto"/>
              </w:rPr>
            </w:pPr>
            <w:r>
              <w:rPr>
                <w:rFonts w:ascii="Arial" w:cs="Arial" w:eastAsia="Arial" w:hAnsi="Arial"/>
                <w:sz w:val="18"/>
                <w:szCs w:val="18"/>
                <w:color w:val="auto"/>
              </w:rPr>
              <w:t>CONDITIONS PRECEDENT</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93"/>
              </w:rPr>
              <w:t>115</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7.1.</w:t>
            </w:r>
          </w:p>
        </w:tc>
        <w:tc>
          <w:tcPr>
            <w:tcW w:w="3200" w:type="dxa"/>
            <w:vAlign w:val="bottom"/>
            <w:gridSpan w:val="10"/>
          </w:tcPr>
          <w:p>
            <w:pPr>
              <w:ind w:left="120"/>
              <w:spacing w:after="0"/>
              <w:rPr>
                <w:sz w:val="20"/>
                <w:szCs w:val="20"/>
                <w:color w:val="auto"/>
              </w:rPr>
            </w:pPr>
            <w:r>
              <w:rPr>
                <w:rFonts w:ascii="Arial" w:cs="Arial" w:eastAsia="Arial" w:hAnsi="Arial"/>
                <w:sz w:val="18"/>
                <w:szCs w:val="18"/>
                <w:color w:val="auto"/>
                <w:w w:val="98"/>
              </w:rPr>
              <w:t>Conditions to Initial Extension of Credit</w:t>
            </w:r>
          </w:p>
        </w:tc>
        <w:tc>
          <w:tcPr>
            <w:tcW w:w="540" w:type="dxa"/>
            <w:vAlign w:val="bottom"/>
          </w:tcPr>
          <w:p>
            <w:pPr>
              <w:ind w:left="80"/>
              <w:spacing w:after="0"/>
              <w:rPr>
                <w:sz w:val="20"/>
                <w:szCs w:val="20"/>
                <w:color w:val="auto"/>
              </w:rPr>
            </w:pPr>
            <w:r>
              <w:rPr>
                <w:rFonts w:ascii="Arial" w:cs="Arial" w:eastAsia="Arial" w:hAnsi="Arial"/>
                <w:sz w:val="18"/>
                <w:szCs w:val="18"/>
                <w:color w:val="auto"/>
              </w:rPr>
              <w:t>115</w:t>
            </w:r>
          </w:p>
        </w:tc>
        <w:tc>
          <w:tcPr>
            <w:tcW w:w="1560" w:type="dxa"/>
            <w:vAlign w:val="bottom"/>
          </w:tcPr>
          <w:p>
            <w:pPr>
              <w:spacing w:after="0"/>
              <w:rPr>
                <w:sz w:val="24"/>
                <w:szCs w:val="24"/>
                <w:color w:val="auto"/>
              </w:rPr>
            </w:pP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7.2.</w:t>
            </w:r>
          </w:p>
        </w:tc>
        <w:tc>
          <w:tcPr>
            <w:tcW w:w="3200" w:type="dxa"/>
            <w:vAlign w:val="bottom"/>
            <w:gridSpan w:val="10"/>
          </w:tcPr>
          <w:p>
            <w:pPr>
              <w:ind w:left="120"/>
              <w:spacing w:after="0"/>
              <w:rPr>
                <w:sz w:val="20"/>
                <w:szCs w:val="20"/>
                <w:color w:val="auto"/>
              </w:rPr>
            </w:pPr>
            <w:r>
              <w:rPr>
                <w:rFonts w:ascii="Arial" w:cs="Arial" w:eastAsia="Arial" w:hAnsi="Arial"/>
                <w:sz w:val="18"/>
                <w:szCs w:val="18"/>
                <w:color w:val="auto"/>
                <w:w w:val="99"/>
              </w:rPr>
              <w:t>Conditions to Each Extension of Credit</w:t>
            </w:r>
          </w:p>
        </w:tc>
        <w:tc>
          <w:tcPr>
            <w:tcW w:w="540" w:type="dxa"/>
            <w:vAlign w:val="bottom"/>
          </w:tcPr>
          <w:p>
            <w:pPr>
              <w:jc w:val="right"/>
              <w:ind w:right="168"/>
              <w:spacing w:after="0"/>
              <w:rPr>
                <w:sz w:val="20"/>
                <w:szCs w:val="20"/>
                <w:color w:val="auto"/>
              </w:rPr>
            </w:pPr>
            <w:r>
              <w:rPr>
                <w:rFonts w:ascii="Arial" w:cs="Arial" w:eastAsia="Arial" w:hAnsi="Arial"/>
                <w:sz w:val="18"/>
                <w:szCs w:val="18"/>
                <w:color w:val="auto"/>
                <w:w w:val="86"/>
              </w:rPr>
              <w:t>116</w:t>
            </w:r>
          </w:p>
        </w:tc>
        <w:tc>
          <w:tcPr>
            <w:tcW w:w="1560" w:type="dxa"/>
            <w:vAlign w:val="bottom"/>
          </w:tcPr>
          <w:p>
            <w:pPr>
              <w:spacing w:after="0"/>
              <w:rPr>
                <w:sz w:val="20"/>
                <w:szCs w:val="20"/>
                <w:color w:val="auto"/>
              </w:rPr>
            </w:pPr>
          </w:p>
        </w:tc>
      </w:tr>
      <w:tr>
        <w:trPr>
          <w:trHeight w:val="401"/>
        </w:trPr>
        <w:tc>
          <w:tcPr>
            <w:tcW w:w="1040" w:type="dxa"/>
            <w:vAlign w:val="bottom"/>
            <w:gridSpan w:val="2"/>
          </w:tcPr>
          <w:p>
            <w:pPr>
              <w:spacing w:after="0"/>
              <w:rPr>
                <w:sz w:val="20"/>
                <w:szCs w:val="20"/>
                <w:color w:val="auto"/>
              </w:rPr>
            </w:pPr>
            <w:r>
              <w:rPr>
                <w:rFonts w:ascii="Arial" w:cs="Arial" w:eastAsia="Arial" w:hAnsi="Arial"/>
                <w:sz w:val="18"/>
                <w:szCs w:val="18"/>
                <w:color w:val="auto"/>
              </w:rPr>
              <w:t>SECTION 8.</w:t>
            </w:r>
          </w:p>
        </w:tc>
        <w:tc>
          <w:tcPr>
            <w:tcW w:w="2480" w:type="dxa"/>
            <w:vAlign w:val="bottom"/>
            <w:gridSpan w:val="7"/>
          </w:tcPr>
          <w:p>
            <w:pPr>
              <w:jc w:val="right"/>
              <w:spacing w:after="0"/>
              <w:rPr>
                <w:sz w:val="20"/>
                <w:szCs w:val="20"/>
                <w:color w:val="auto"/>
              </w:rPr>
            </w:pPr>
            <w:r>
              <w:rPr>
                <w:rFonts w:ascii="Arial" w:cs="Arial" w:eastAsia="Arial" w:hAnsi="Arial"/>
                <w:sz w:val="18"/>
                <w:szCs w:val="18"/>
                <w:color w:val="auto"/>
              </w:rPr>
              <w:t>AFFIRMATIVE COVENANTS</w:t>
            </w: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117</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8"/>
        </w:trPr>
        <w:tc>
          <w:tcPr>
            <w:tcW w:w="780" w:type="dxa"/>
            <w:vAlign w:val="bottom"/>
          </w:tcPr>
          <w:p>
            <w:pPr>
              <w:ind w:left="300"/>
              <w:spacing w:after="0"/>
              <w:rPr>
                <w:sz w:val="20"/>
                <w:szCs w:val="20"/>
                <w:color w:val="auto"/>
              </w:rPr>
            </w:pPr>
            <w:r>
              <w:rPr>
                <w:rFonts w:ascii="Arial" w:cs="Arial" w:eastAsia="Arial" w:hAnsi="Arial"/>
                <w:sz w:val="18"/>
                <w:szCs w:val="18"/>
                <w:color w:val="auto"/>
              </w:rPr>
              <w:t>8.1.</w:t>
            </w:r>
          </w:p>
        </w:tc>
        <w:tc>
          <w:tcPr>
            <w:tcW w:w="1700" w:type="dxa"/>
            <w:vAlign w:val="bottom"/>
            <w:gridSpan w:val="5"/>
          </w:tcPr>
          <w:p>
            <w:pPr>
              <w:ind w:left="120"/>
              <w:spacing w:after="0"/>
              <w:rPr>
                <w:sz w:val="20"/>
                <w:szCs w:val="20"/>
                <w:color w:val="auto"/>
              </w:rPr>
            </w:pPr>
            <w:r>
              <w:rPr>
                <w:rFonts w:ascii="Arial" w:cs="Arial" w:eastAsia="Arial" w:hAnsi="Arial"/>
                <w:sz w:val="18"/>
                <w:szCs w:val="18"/>
                <w:color w:val="auto"/>
                <w:w w:val="92"/>
              </w:rPr>
              <w:t>Financial Statements</w:t>
            </w: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8.2.</w:t>
            </w:r>
          </w:p>
        </w:tc>
        <w:tc>
          <w:tcPr>
            <w:tcW w:w="2420" w:type="dxa"/>
            <w:vAlign w:val="bottom"/>
            <w:gridSpan w:val="7"/>
          </w:tcPr>
          <w:p>
            <w:pPr>
              <w:ind w:left="120"/>
              <w:spacing w:after="0" w:line="201" w:lineRule="exact"/>
              <w:rPr>
                <w:sz w:val="20"/>
                <w:szCs w:val="20"/>
                <w:color w:val="auto"/>
              </w:rPr>
            </w:pPr>
            <w:r>
              <w:rPr>
                <w:rFonts w:ascii="Arial" w:cs="Arial" w:eastAsia="Arial" w:hAnsi="Arial"/>
                <w:sz w:val="18"/>
                <w:szCs w:val="18"/>
                <w:color w:val="auto"/>
                <w:w w:val="94"/>
              </w:rPr>
              <w:t>Certificates; Other Information</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118</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8.3.</w:t>
            </w:r>
          </w:p>
        </w:tc>
        <w:tc>
          <w:tcPr>
            <w:tcW w:w="2000" w:type="dxa"/>
            <w:vAlign w:val="bottom"/>
            <w:gridSpan w:val="6"/>
          </w:tcPr>
          <w:p>
            <w:pPr>
              <w:ind w:left="120"/>
              <w:spacing w:after="0" w:line="201" w:lineRule="exact"/>
              <w:rPr>
                <w:sz w:val="20"/>
                <w:szCs w:val="20"/>
                <w:color w:val="auto"/>
              </w:rPr>
            </w:pPr>
            <w:r>
              <w:rPr>
                <w:rFonts w:ascii="Arial" w:cs="Arial" w:eastAsia="Arial" w:hAnsi="Arial"/>
                <w:sz w:val="18"/>
                <w:szCs w:val="18"/>
                <w:color w:val="auto"/>
              </w:rPr>
              <w:t>Payment of Taxes  119</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8.4.</w:t>
            </w:r>
          </w:p>
        </w:tc>
        <w:tc>
          <w:tcPr>
            <w:tcW w:w="3200" w:type="dxa"/>
            <w:vAlign w:val="bottom"/>
            <w:gridSpan w:val="10"/>
          </w:tcPr>
          <w:p>
            <w:pPr>
              <w:ind w:left="120"/>
              <w:spacing w:after="0" w:line="201" w:lineRule="exact"/>
              <w:rPr>
                <w:sz w:val="20"/>
                <w:szCs w:val="20"/>
                <w:color w:val="auto"/>
              </w:rPr>
            </w:pPr>
            <w:r>
              <w:rPr>
                <w:rFonts w:ascii="Arial" w:cs="Arial" w:eastAsia="Arial" w:hAnsi="Arial"/>
                <w:sz w:val="18"/>
                <w:szCs w:val="18"/>
                <w:color w:val="auto"/>
                <w:w w:val="98"/>
              </w:rPr>
              <w:t>Maintenance of Existence; Compliance</w:t>
            </w:r>
          </w:p>
        </w:tc>
        <w:tc>
          <w:tcPr>
            <w:tcW w:w="540" w:type="dxa"/>
            <w:vAlign w:val="bottom"/>
          </w:tcPr>
          <w:p>
            <w:pPr>
              <w:jc w:val="right"/>
              <w:ind w:right="168"/>
              <w:spacing w:after="0" w:line="201" w:lineRule="exact"/>
              <w:rPr>
                <w:sz w:val="20"/>
                <w:szCs w:val="20"/>
                <w:color w:val="auto"/>
              </w:rPr>
            </w:pPr>
            <w:r>
              <w:rPr>
                <w:rFonts w:ascii="Arial" w:cs="Arial" w:eastAsia="Arial" w:hAnsi="Arial"/>
                <w:sz w:val="18"/>
                <w:szCs w:val="18"/>
                <w:color w:val="auto"/>
                <w:w w:val="86"/>
              </w:rPr>
              <w:t>119</w:t>
            </w: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8.5.</w:t>
            </w:r>
          </w:p>
        </w:tc>
        <w:tc>
          <w:tcPr>
            <w:tcW w:w="2880" w:type="dxa"/>
            <w:vAlign w:val="bottom"/>
            <w:gridSpan w:val="9"/>
          </w:tcPr>
          <w:p>
            <w:pPr>
              <w:ind w:left="120"/>
              <w:spacing w:after="0" w:line="201" w:lineRule="exact"/>
              <w:rPr>
                <w:sz w:val="20"/>
                <w:szCs w:val="20"/>
                <w:color w:val="auto"/>
              </w:rPr>
            </w:pPr>
            <w:r>
              <w:rPr>
                <w:rFonts w:ascii="Arial" w:cs="Arial" w:eastAsia="Arial" w:hAnsi="Arial"/>
                <w:sz w:val="18"/>
                <w:szCs w:val="18"/>
                <w:color w:val="auto"/>
                <w:w w:val="96"/>
              </w:rPr>
              <w:t>Maintenance of Property; Insurance</w:t>
            </w:r>
          </w:p>
        </w:tc>
        <w:tc>
          <w:tcPr>
            <w:tcW w:w="860" w:type="dxa"/>
            <w:vAlign w:val="bottom"/>
            <w:gridSpan w:val="2"/>
          </w:tcPr>
          <w:p>
            <w:pPr>
              <w:jc w:val="right"/>
              <w:ind w:right="428"/>
              <w:spacing w:after="0" w:line="201" w:lineRule="exact"/>
              <w:rPr>
                <w:sz w:val="20"/>
                <w:szCs w:val="20"/>
                <w:color w:val="auto"/>
              </w:rPr>
            </w:pPr>
            <w:r>
              <w:rPr>
                <w:rFonts w:ascii="Arial" w:cs="Arial" w:eastAsia="Arial" w:hAnsi="Arial"/>
                <w:sz w:val="18"/>
                <w:szCs w:val="18"/>
                <w:color w:val="auto"/>
              </w:rPr>
              <w:t>120</w:t>
            </w: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8.6.</w:t>
            </w:r>
          </w:p>
        </w:tc>
        <w:tc>
          <w:tcPr>
            <w:tcW w:w="5300" w:type="dxa"/>
            <w:vAlign w:val="bottom"/>
            <w:gridSpan w:val="12"/>
          </w:tcPr>
          <w:p>
            <w:pPr>
              <w:ind w:left="120"/>
              <w:spacing w:after="0" w:line="201" w:lineRule="exact"/>
              <w:rPr>
                <w:sz w:val="20"/>
                <w:szCs w:val="20"/>
                <w:color w:val="auto"/>
              </w:rPr>
            </w:pPr>
            <w:r>
              <w:rPr>
                <w:rFonts w:ascii="Arial" w:cs="Arial" w:eastAsia="Arial" w:hAnsi="Arial"/>
                <w:sz w:val="18"/>
                <w:szCs w:val="18"/>
                <w:color w:val="auto"/>
              </w:rPr>
              <w:t>Inspection of Property; Books and Records; Discussions  120</w:t>
            </w: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8.7.</w:t>
            </w:r>
          </w:p>
        </w:tc>
        <w:tc>
          <w:tcPr>
            <w:tcW w:w="7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Notices</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120</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8.8.</w:t>
            </w:r>
          </w:p>
        </w:tc>
        <w:tc>
          <w:tcPr>
            <w:tcW w:w="2000" w:type="dxa"/>
            <w:vAlign w:val="bottom"/>
            <w:gridSpan w:val="6"/>
          </w:tcPr>
          <w:p>
            <w:pPr>
              <w:ind w:left="120"/>
              <w:spacing w:after="0" w:line="201" w:lineRule="exact"/>
              <w:rPr>
                <w:sz w:val="20"/>
                <w:szCs w:val="20"/>
                <w:color w:val="auto"/>
              </w:rPr>
            </w:pPr>
            <w:r>
              <w:rPr>
                <w:rFonts w:ascii="Arial" w:cs="Arial" w:eastAsia="Arial" w:hAnsi="Arial"/>
                <w:sz w:val="18"/>
                <w:szCs w:val="18"/>
                <w:color w:val="auto"/>
                <w:w w:val="95"/>
              </w:rPr>
              <w:t>Additional Collateral, etc</w:t>
            </w:r>
          </w:p>
        </w:tc>
        <w:tc>
          <w:tcPr>
            <w:tcW w:w="74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120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8.9.</w:t>
            </w:r>
          </w:p>
        </w:tc>
        <w:tc>
          <w:tcPr>
            <w:tcW w:w="9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4"/>
              </w:rPr>
              <w:t>[Reserved]</w:t>
            </w:r>
          </w:p>
        </w:tc>
        <w:tc>
          <w:tcPr>
            <w:tcW w:w="74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122</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8.10.</w:t>
            </w:r>
          </w:p>
        </w:tc>
        <w:tc>
          <w:tcPr>
            <w:tcW w:w="1700" w:type="dxa"/>
            <w:vAlign w:val="bottom"/>
            <w:gridSpan w:val="5"/>
          </w:tcPr>
          <w:p>
            <w:pPr>
              <w:ind w:left="120"/>
              <w:spacing w:after="0" w:line="201" w:lineRule="exact"/>
              <w:rPr>
                <w:sz w:val="20"/>
                <w:szCs w:val="20"/>
                <w:color w:val="auto"/>
              </w:rPr>
            </w:pPr>
            <w:r>
              <w:rPr>
                <w:rFonts w:ascii="Arial" w:cs="Arial" w:eastAsia="Arial" w:hAnsi="Arial"/>
                <w:sz w:val="18"/>
                <w:szCs w:val="18"/>
                <w:color w:val="auto"/>
                <w:w w:val="99"/>
              </w:rPr>
              <w:t>Further Assurances</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122</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780" w:type="dxa"/>
            <w:vAlign w:val="bottom"/>
          </w:tcPr>
          <w:p>
            <w:pPr>
              <w:ind w:left="300"/>
              <w:spacing w:after="0"/>
              <w:rPr>
                <w:sz w:val="20"/>
                <w:szCs w:val="20"/>
                <w:color w:val="auto"/>
              </w:rPr>
            </w:pPr>
            <w:r>
              <w:rPr>
                <w:rFonts w:ascii="Arial" w:cs="Arial" w:eastAsia="Arial" w:hAnsi="Arial"/>
                <w:sz w:val="18"/>
                <w:szCs w:val="18"/>
                <w:color w:val="auto"/>
              </w:rPr>
              <w:t>8.11.</w:t>
            </w:r>
          </w:p>
        </w:tc>
        <w:tc>
          <w:tcPr>
            <w:tcW w:w="3200" w:type="dxa"/>
            <w:vAlign w:val="bottom"/>
            <w:gridSpan w:val="10"/>
          </w:tcPr>
          <w:p>
            <w:pPr>
              <w:ind w:left="100"/>
              <w:spacing w:after="0"/>
              <w:rPr>
                <w:sz w:val="20"/>
                <w:szCs w:val="20"/>
                <w:color w:val="auto"/>
              </w:rPr>
            </w:pPr>
            <w:r>
              <w:rPr>
                <w:rFonts w:ascii="Arial" w:cs="Arial" w:eastAsia="Arial" w:hAnsi="Arial"/>
                <w:sz w:val="18"/>
                <w:szCs w:val="18"/>
                <w:color w:val="auto"/>
                <w:w w:val="96"/>
              </w:rPr>
              <w:t>Designation of Unrestricted Subsidiaries</w:t>
            </w:r>
          </w:p>
        </w:tc>
        <w:tc>
          <w:tcPr>
            <w:tcW w:w="540" w:type="dxa"/>
            <w:vAlign w:val="bottom"/>
          </w:tcPr>
          <w:p>
            <w:pPr>
              <w:ind w:left="80"/>
              <w:spacing w:after="0"/>
              <w:rPr>
                <w:sz w:val="20"/>
                <w:szCs w:val="20"/>
                <w:color w:val="auto"/>
              </w:rPr>
            </w:pPr>
            <w:r>
              <w:rPr>
                <w:rFonts w:ascii="Arial" w:cs="Arial" w:eastAsia="Arial" w:hAnsi="Arial"/>
                <w:sz w:val="18"/>
                <w:szCs w:val="18"/>
                <w:color w:val="auto"/>
              </w:rPr>
              <w:t>122</w:t>
            </w:r>
          </w:p>
        </w:tc>
        <w:tc>
          <w:tcPr>
            <w:tcW w:w="1560" w:type="dxa"/>
            <w:vAlign w:val="bottom"/>
          </w:tcPr>
          <w:p>
            <w:pPr>
              <w:spacing w:after="0"/>
              <w:rPr>
                <w:sz w:val="20"/>
                <w:szCs w:val="20"/>
                <w:color w:val="auto"/>
              </w:rPr>
            </w:pPr>
          </w:p>
        </w:tc>
      </w:tr>
    </w:tbl>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139"/>
          </w:cols>
          <w:pgMar w:left="1320" w:top="1076" w:right="1440" w:bottom="1440" w:gutter="0" w:footer="0" w:header="0"/>
        </w:sectPr>
      </w:pPr>
    </w:p>
    <w:bookmarkStart w:id="81" w:name="page82"/>
    <w:bookmarkEnd w:id="81"/>
    <w:p>
      <w:pPr>
        <w:jc w:val="right"/>
        <w:ind w:right="1319"/>
        <w:spacing w:after="0"/>
        <w:rPr>
          <w:sz w:val="20"/>
          <w:szCs w:val="20"/>
          <w:color w:val="auto"/>
        </w:rPr>
      </w:pPr>
      <w:r>
        <w:rPr>
          <w:rFonts w:ascii="Arial" w:cs="Arial" w:eastAsia="Arial" w:hAnsi="Arial"/>
          <w:sz w:val="18"/>
          <w:szCs w:val="18"/>
          <w:color w:val="auto"/>
        </w:rPr>
        <w:t>Page</w:t>
      </w:r>
    </w:p>
    <w:p>
      <w:pPr>
        <w:spacing w:after="0" w:line="75"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820" w:type="dxa"/>
            <w:vAlign w:val="bottom"/>
          </w:tcPr>
          <w:p>
            <w:pPr>
              <w:ind w:left="300"/>
              <w:spacing w:after="0"/>
              <w:rPr>
                <w:sz w:val="20"/>
                <w:szCs w:val="20"/>
                <w:color w:val="auto"/>
              </w:rPr>
            </w:pPr>
            <w:r>
              <w:rPr>
                <w:rFonts w:ascii="Arial" w:cs="Arial" w:eastAsia="Arial" w:hAnsi="Arial"/>
                <w:sz w:val="18"/>
                <w:szCs w:val="18"/>
                <w:color w:val="auto"/>
              </w:rPr>
              <w:t>8.12.</w:t>
            </w:r>
          </w:p>
        </w:tc>
        <w:tc>
          <w:tcPr>
            <w:tcW w:w="1700" w:type="dxa"/>
            <w:vAlign w:val="bottom"/>
            <w:gridSpan w:val="5"/>
          </w:tcPr>
          <w:p>
            <w:pPr>
              <w:ind w:left="80"/>
              <w:spacing w:after="0"/>
              <w:rPr>
                <w:sz w:val="20"/>
                <w:szCs w:val="20"/>
                <w:color w:val="auto"/>
              </w:rPr>
            </w:pPr>
            <w:r>
              <w:rPr>
                <w:rFonts w:ascii="Arial" w:cs="Arial" w:eastAsia="Arial" w:hAnsi="Arial"/>
                <w:sz w:val="18"/>
                <w:szCs w:val="18"/>
                <w:color w:val="auto"/>
                <w:w w:val="95"/>
              </w:rPr>
              <w:t>Post-Closing Matters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8.13.</w:t>
            </w:r>
          </w:p>
        </w:tc>
        <w:tc>
          <w:tcPr>
            <w:tcW w:w="640" w:type="dxa"/>
            <w:vAlign w:val="bottom"/>
          </w:tcPr>
          <w:p>
            <w:pPr>
              <w:ind w:left="80"/>
              <w:spacing w:after="0" w:line="201" w:lineRule="exact"/>
              <w:rPr>
                <w:sz w:val="20"/>
                <w:szCs w:val="20"/>
                <w:color w:val="auto"/>
              </w:rPr>
            </w:pPr>
            <w:r>
              <w:rPr>
                <w:rFonts w:ascii="Arial" w:cs="Arial" w:eastAsia="Arial" w:hAnsi="Arial"/>
                <w:sz w:val="18"/>
                <w:szCs w:val="18"/>
                <w:color w:val="auto"/>
                <w:w w:val="99"/>
              </w:rPr>
              <w:t>ERISA</w:t>
            </w:r>
          </w:p>
        </w:tc>
        <w:tc>
          <w:tcPr>
            <w:tcW w:w="62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122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8.14.</w:t>
            </w:r>
          </w:p>
        </w:tc>
        <w:tc>
          <w:tcPr>
            <w:tcW w:w="144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Use of Proceeds</w:t>
            </w:r>
          </w:p>
        </w:tc>
        <w:tc>
          <w:tcPr>
            <w:tcW w:w="40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w w:val="93"/>
              </w:rPr>
              <w:t>123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8.15.</w:t>
            </w:r>
          </w:p>
        </w:tc>
        <w:tc>
          <w:tcPr>
            <w:tcW w:w="2140" w:type="dxa"/>
            <w:vAlign w:val="bottom"/>
            <w:gridSpan w:val="7"/>
          </w:tcPr>
          <w:p>
            <w:pPr>
              <w:ind w:left="80"/>
              <w:spacing w:after="0" w:line="201" w:lineRule="exact"/>
              <w:rPr>
                <w:sz w:val="20"/>
                <w:szCs w:val="20"/>
                <w:color w:val="auto"/>
              </w:rPr>
            </w:pPr>
            <w:r>
              <w:rPr>
                <w:rFonts w:ascii="Arial" w:cs="Arial" w:eastAsia="Arial" w:hAnsi="Arial"/>
                <w:sz w:val="18"/>
                <w:szCs w:val="18"/>
                <w:color w:val="auto"/>
                <w:w w:val="95"/>
              </w:rPr>
              <w:t>Transactions with Affiliates</w:t>
            </w:r>
          </w:p>
        </w:tc>
        <w:tc>
          <w:tcPr>
            <w:tcW w:w="660" w:type="dxa"/>
            <w:vAlign w:val="bottom"/>
            <w:gridSpan w:val="2"/>
          </w:tcPr>
          <w:p>
            <w:pPr>
              <w:jc w:val="right"/>
              <w:ind w:right="128"/>
              <w:spacing w:after="0" w:line="201" w:lineRule="exact"/>
              <w:rPr>
                <w:sz w:val="20"/>
                <w:szCs w:val="20"/>
                <w:color w:val="auto"/>
              </w:rPr>
            </w:pPr>
            <w:r>
              <w:rPr>
                <w:rFonts w:ascii="Arial" w:cs="Arial" w:eastAsia="Arial" w:hAnsi="Arial"/>
                <w:sz w:val="18"/>
                <w:szCs w:val="18"/>
                <w:color w:val="auto"/>
              </w:rPr>
              <w:t>123</w:t>
            </w: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rPr>
              <w:t>8.16.</w:t>
            </w:r>
          </w:p>
        </w:tc>
        <w:tc>
          <w:tcPr>
            <w:tcW w:w="1440" w:type="dxa"/>
            <w:vAlign w:val="bottom"/>
            <w:gridSpan w:val="4"/>
          </w:tcPr>
          <w:p>
            <w:pPr>
              <w:ind w:left="80"/>
              <w:spacing w:after="0"/>
              <w:rPr>
                <w:sz w:val="20"/>
                <w:szCs w:val="20"/>
                <w:color w:val="auto"/>
              </w:rPr>
            </w:pPr>
            <w:r>
              <w:rPr>
                <w:rFonts w:ascii="Arial" w:cs="Arial" w:eastAsia="Arial" w:hAnsi="Arial"/>
                <w:sz w:val="18"/>
                <w:szCs w:val="18"/>
                <w:color w:val="auto"/>
              </w:rPr>
              <w:t>Anti-Corruption</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w w:val="93"/>
              </w:rPr>
              <w:t>125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01"/>
        </w:trPr>
        <w:tc>
          <w:tcPr>
            <w:tcW w:w="3340" w:type="dxa"/>
            <w:vAlign w:val="bottom"/>
            <w:gridSpan w:val="9"/>
          </w:tcPr>
          <w:p>
            <w:pPr>
              <w:spacing w:after="0"/>
              <w:rPr>
                <w:sz w:val="20"/>
                <w:szCs w:val="20"/>
                <w:color w:val="auto"/>
              </w:rPr>
            </w:pPr>
            <w:r>
              <w:rPr>
                <w:rFonts w:ascii="Arial" w:cs="Arial" w:eastAsia="Arial" w:hAnsi="Arial"/>
                <w:sz w:val="18"/>
                <w:szCs w:val="18"/>
                <w:color w:val="auto"/>
              </w:rPr>
              <w:t>SECTION 9.  NEGATIVE COVENANTS</w:t>
            </w:r>
          </w:p>
        </w:tc>
        <w:tc>
          <w:tcPr>
            <w:tcW w:w="1060" w:type="dxa"/>
            <w:vAlign w:val="bottom"/>
            <w:gridSpan w:val="2"/>
          </w:tcPr>
          <w:p>
            <w:pPr>
              <w:jc w:val="right"/>
              <w:ind w:right="628"/>
              <w:spacing w:after="0"/>
              <w:rPr>
                <w:sz w:val="20"/>
                <w:szCs w:val="20"/>
                <w:color w:val="auto"/>
              </w:rPr>
            </w:pPr>
            <w:r>
              <w:rPr>
                <w:rFonts w:ascii="Arial" w:cs="Arial" w:eastAsia="Arial" w:hAnsi="Arial"/>
                <w:sz w:val="18"/>
                <w:szCs w:val="18"/>
                <w:color w:val="auto"/>
              </w:rPr>
              <w:t>126</w:t>
            </w:r>
          </w:p>
        </w:tc>
        <w:tc>
          <w:tcPr>
            <w:tcW w:w="2520" w:type="dxa"/>
            <w:vAlign w:val="bottom"/>
          </w:tcPr>
          <w:p>
            <w:pPr>
              <w:spacing w:after="0"/>
              <w:rPr>
                <w:sz w:val="24"/>
                <w:szCs w:val="24"/>
                <w:color w:val="auto"/>
              </w:rPr>
            </w:pPr>
          </w:p>
        </w:tc>
      </w:tr>
      <w:tr>
        <w:trPr>
          <w:trHeight w:val="368"/>
        </w:trPr>
        <w:tc>
          <w:tcPr>
            <w:tcW w:w="820" w:type="dxa"/>
            <w:vAlign w:val="bottom"/>
          </w:tcPr>
          <w:p>
            <w:pPr>
              <w:ind w:left="300"/>
              <w:spacing w:after="0"/>
              <w:rPr>
                <w:sz w:val="20"/>
                <w:szCs w:val="20"/>
                <w:color w:val="auto"/>
              </w:rPr>
            </w:pPr>
            <w:r>
              <w:rPr>
                <w:rFonts w:ascii="Arial" w:cs="Arial" w:eastAsia="Arial" w:hAnsi="Arial"/>
                <w:sz w:val="18"/>
                <w:szCs w:val="18"/>
                <w:color w:val="auto"/>
              </w:rPr>
              <w:t>9.1.</w:t>
            </w:r>
          </w:p>
        </w:tc>
        <w:tc>
          <w:tcPr>
            <w:tcW w:w="1700" w:type="dxa"/>
            <w:vAlign w:val="bottom"/>
            <w:gridSpan w:val="5"/>
          </w:tcPr>
          <w:p>
            <w:pPr>
              <w:ind w:left="80"/>
              <w:spacing w:after="0"/>
              <w:rPr>
                <w:sz w:val="20"/>
                <w:szCs w:val="20"/>
                <w:color w:val="auto"/>
              </w:rPr>
            </w:pPr>
            <w:r>
              <w:rPr>
                <w:rFonts w:ascii="Arial" w:cs="Arial" w:eastAsia="Arial" w:hAnsi="Arial"/>
                <w:sz w:val="18"/>
                <w:szCs w:val="18"/>
                <w:color w:val="auto"/>
              </w:rPr>
              <w:t>Financial Covenant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w w:val="86"/>
              </w:rPr>
              <w:t>126</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9.2.</w:t>
            </w:r>
          </w:p>
        </w:tc>
        <w:tc>
          <w:tcPr>
            <w:tcW w:w="2800" w:type="dxa"/>
            <w:vAlign w:val="bottom"/>
            <w:gridSpan w:val="9"/>
          </w:tcPr>
          <w:p>
            <w:pPr>
              <w:ind w:left="80"/>
              <w:spacing w:after="0" w:line="201" w:lineRule="exact"/>
              <w:rPr>
                <w:sz w:val="20"/>
                <w:szCs w:val="20"/>
                <w:color w:val="auto"/>
              </w:rPr>
            </w:pPr>
            <w:r>
              <w:rPr>
                <w:rFonts w:ascii="Arial" w:cs="Arial" w:eastAsia="Arial" w:hAnsi="Arial"/>
                <w:sz w:val="18"/>
                <w:szCs w:val="18"/>
                <w:color w:val="auto"/>
                <w:w w:val="95"/>
              </w:rPr>
              <w:t>Limitations on Restricted Payments</w:t>
            </w:r>
          </w:p>
        </w:tc>
        <w:tc>
          <w:tcPr>
            <w:tcW w:w="780" w:type="dxa"/>
            <w:vAlign w:val="bottom"/>
          </w:tcPr>
          <w:p>
            <w:pPr>
              <w:jc w:val="right"/>
              <w:ind w:right="308"/>
              <w:spacing w:after="0" w:line="201" w:lineRule="exact"/>
              <w:rPr>
                <w:sz w:val="20"/>
                <w:szCs w:val="20"/>
                <w:color w:val="auto"/>
              </w:rPr>
            </w:pPr>
            <w:r>
              <w:rPr>
                <w:rFonts w:ascii="Arial" w:cs="Arial" w:eastAsia="Arial" w:hAnsi="Arial"/>
                <w:sz w:val="18"/>
                <w:szCs w:val="18"/>
                <w:color w:val="auto"/>
              </w:rPr>
              <w:t>126</w:t>
            </w: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9.3.</w:t>
            </w:r>
          </w:p>
        </w:tc>
        <w:tc>
          <w:tcPr>
            <w:tcW w:w="6100" w:type="dxa"/>
            <w:vAlign w:val="bottom"/>
            <w:gridSpan w:val="11"/>
          </w:tcPr>
          <w:p>
            <w:pPr>
              <w:ind w:left="80"/>
              <w:spacing w:after="0" w:line="201" w:lineRule="exact"/>
              <w:rPr>
                <w:sz w:val="20"/>
                <w:szCs w:val="20"/>
                <w:color w:val="auto"/>
              </w:rPr>
            </w:pPr>
            <w:r>
              <w:rPr>
                <w:rFonts w:ascii="Arial" w:cs="Arial" w:eastAsia="Arial" w:hAnsi="Arial"/>
                <w:sz w:val="18"/>
                <w:szCs w:val="18"/>
                <w:color w:val="auto"/>
                <w:w w:val="94"/>
              </w:rPr>
              <w:t>Dividend and Other Payment Restrictions Affecting Restricted Subsidiaries  134</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9.4.</w:t>
            </w:r>
          </w:p>
        </w:tc>
        <w:tc>
          <w:tcPr>
            <w:tcW w:w="6100" w:type="dxa"/>
            <w:vAlign w:val="bottom"/>
            <w:gridSpan w:val="11"/>
          </w:tcPr>
          <w:p>
            <w:pPr>
              <w:ind w:left="80"/>
              <w:spacing w:after="0" w:line="201" w:lineRule="exact"/>
              <w:rPr>
                <w:sz w:val="20"/>
                <w:szCs w:val="20"/>
                <w:color w:val="auto"/>
              </w:rPr>
            </w:pPr>
            <w:r>
              <w:rPr>
                <w:rFonts w:ascii="Arial" w:cs="Arial" w:eastAsia="Arial" w:hAnsi="Arial"/>
                <w:sz w:val="18"/>
                <w:szCs w:val="18"/>
                <w:color w:val="auto"/>
                <w:w w:val="93"/>
              </w:rPr>
              <w:t>Limitations on the Incurrence of Indebtedness and Issuance of Disqualified Stock</w:t>
            </w:r>
          </w:p>
        </w:tc>
      </w:tr>
      <w:tr>
        <w:trPr>
          <w:trHeight w:val="201"/>
        </w:trPr>
        <w:tc>
          <w:tcPr>
            <w:tcW w:w="820" w:type="dxa"/>
            <w:vAlign w:val="bottom"/>
          </w:tcPr>
          <w:p>
            <w:pPr>
              <w:spacing w:after="0"/>
              <w:rPr>
                <w:sz w:val="17"/>
                <w:szCs w:val="17"/>
                <w:color w:val="auto"/>
              </w:rPr>
            </w:pPr>
          </w:p>
        </w:tc>
        <w:tc>
          <w:tcPr>
            <w:tcW w:w="144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91"/>
              </w:rPr>
              <w:t>or Preferred Stock</w:t>
            </w:r>
          </w:p>
        </w:tc>
        <w:tc>
          <w:tcPr>
            <w:tcW w:w="700" w:type="dxa"/>
            <w:vAlign w:val="bottom"/>
            <w:gridSpan w:val="3"/>
          </w:tcPr>
          <w:p>
            <w:pPr>
              <w:jc w:val="right"/>
              <w:ind w:right="148"/>
              <w:spacing w:after="0" w:line="201" w:lineRule="exact"/>
              <w:rPr>
                <w:sz w:val="20"/>
                <w:szCs w:val="20"/>
                <w:color w:val="auto"/>
              </w:rPr>
            </w:pPr>
            <w:r>
              <w:rPr>
                <w:rFonts w:ascii="Arial" w:cs="Arial" w:eastAsia="Arial" w:hAnsi="Arial"/>
                <w:sz w:val="18"/>
                <w:szCs w:val="18"/>
                <w:color w:val="auto"/>
              </w:rPr>
              <w:t>136</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9.5.</w:t>
            </w:r>
          </w:p>
        </w:tc>
        <w:tc>
          <w:tcPr>
            <w:tcW w:w="9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0"/>
              </w:rPr>
              <w:t>Asset Sales</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9.6.</w:t>
            </w:r>
          </w:p>
        </w:tc>
        <w:tc>
          <w:tcPr>
            <w:tcW w:w="9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8"/>
              </w:rPr>
              <w:t>[Reserved]</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9.7.</w:t>
            </w:r>
          </w:p>
        </w:tc>
        <w:tc>
          <w:tcPr>
            <w:tcW w:w="640" w:type="dxa"/>
            <w:vAlign w:val="bottom"/>
          </w:tcPr>
          <w:p>
            <w:pPr>
              <w:ind w:left="80"/>
              <w:spacing w:after="0" w:line="201" w:lineRule="exact"/>
              <w:rPr>
                <w:sz w:val="20"/>
                <w:szCs w:val="20"/>
                <w:color w:val="auto"/>
              </w:rPr>
            </w:pPr>
            <w:r>
              <w:rPr>
                <w:rFonts w:ascii="Arial" w:cs="Arial" w:eastAsia="Arial" w:hAnsi="Arial"/>
                <w:sz w:val="18"/>
                <w:szCs w:val="18"/>
                <w:color w:val="auto"/>
              </w:rPr>
              <w:t>Liens</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99"/>
              </w:rPr>
              <w:t>145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9.8.</w:t>
            </w:r>
          </w:p>
        </w:tc>
        <w:tc>
          <w:tcPr>
            <w:tcW w:w="1840" w:type="dxa"/>
            <w:vAlign w:val="bottom"/>
            <w:gridSpan w:val="6"/>
          </w:tcPr>
          <w:p>
            <w:pPr>
              <w:ind w:left="80"/>
              <w:spacing w:after="0" w:line="201" w:lineRule="exact"/>
              <w:rPr>
                <w:sz w:val="20"/>
                <w:szCs w:val="20"/>
                <w:color w:val="auto"/>
              </w:rPr>
            </w:pPr>
            <w:r>
              <w:rPr>
                <w:rFonts w:ascii="Arial" w:cs="Arial" w:eastAsia="Arial" w:hAnsi="Arial"/>
                <w:sz w:val="18"/>
                <w:szCs w:val="18"/>
                <w:color w:val="auto"/>
                <w:w w:val="95"/>
              </w:rPr>
              <w:t>Fundamental Changes</w:t>
            </w:r>
          </w:p>
        </w:tc>
        <w:tc>
          <w:tcPr>
            <w:tcW w:w="680" w:type="dxa"/>
            <w:vAlign w:val="bottom"/>
            <w:gridSpan w:val="2"/>
          </w:tcPr>
          <w:p>
            <w:pPr>
              <w:jc w:val="right"/>
              <w:ind w:right="248"/>
              <w:spacing w:after="0" w:line="201" w:lineRule="exact"/>
              <w:rPr>
                <w:sz w:val="20"/>
                <w:szCs w:val="20"/>
                <w:color w:val="auto"/>
              </w:rPr>
            </w:pPr>
            <w:r>
              <w:rPr>
                <w:rFonts w:ascii="Arial" w:cs="Arial" w:eastAsia="Arial" w:hAnsi="Arial"/>
                <w:sz w:val="18"/>
                <w:szCs w:val="18"/>
                <w:color w:val="auto"/>
              </w:rPr>
              <w:t>145</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9.9.</w:t>
            </w:r>
          </w:p>
        </w:tc>
        <w:tc>
          <w:tcPr>
            <w:tcW w:w="2800" w:type="dxa"/>
            <w:vAlign w:val="bottom"/>
            <w:gridSpan w:val="9"/>
          </w:tcPr>
          <w:p>
            <w:pPr>
              <w:ind w:left="80"/>
              <w:spacing w:after="0" w:line="201" w:lineRule="exact"/>
              <w:rPr>
                <w:sz w:val="20"/>
                <w:szCs w:val="20"/>
                <w:color w:val="auto"/>
              </w:rPr>
            </w:pPr>
            <w:r>
              <w:rPr>
                <w:rFonts w:ascii="Arial" w:cs="Arial" w:eastAsia="Arial" w:hAnsi="Arial"/>
                <w:sz w:val="18"/>
                <w:szCs w:val="18"/>
                <w:color w:val="auto"/>
                <w:w w:val="95"/>
              </w:rPr>
              <w:t>Modifications of Certain Documents</w:t>
            </w:r>
          </w:p>
        </w:tc>
        <w:tc>
          <w:tcPr>
            <w:tcW w:w="780" w:type="dxa"/>
            <w:vAlign w:val="bottom"/>
          </w:tcPr>
          <w:p>
            <w:pPr>
              <w:jc w:val="right"/>
              <w:ind w:right="248"/>
              <w:spacing w:after="0" w:line="201" w:lineRule="exact"/>
              <w:rPr>
                <w:sz w:val="20"/>
                <w:szCs w:val="20"/>
                <w:color w:val="auto"/>
              </w:rPr>
            </w:pPr>
            <w:r>
              <w:rPr>
                <w:rFonts w:ascii="Arial" w:cs="Arial" w:eastAsia="Arial" w:hAnsi="Arial"/>
                <w:sz w:val="18"/>
                <w:szCs w:val="18"/>
                <w:color w:val="auto"/>
              </w:rPr>
              <w:t>147</w:t>
            </w: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9.10.</w:t>
            </w:r>
          </w:p>
        </w:tc>
        <w:tc>
          <w:tcPr>
            <w:tcW w:w="9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8"/>
              </w:rPr>
              <w:t>[Reserved]</w:t>
            </w:r>
          </w:p>
        </w:tc>
        <w:tc>
          <w:tcPr>
            <w:tcW w:w="48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rPr>
              <w:t>147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9.11.</w:t>
            </w:r>
          </w:p>
        </w:tc>
        <w:tc>
          <w:tcPr>
            <w:tcW w:w="2140" w:type="dxa"/>
            <w:vAlign w:val="bottom"/>
            <w:gridSpan w:val="7"/>
          </w:tcPr>
          <w:p>
            <w:pPr>
              <w:ind w:left="80"/>
              <w:spacing w:after="0" w:line="201" w:lineRule="exact"/>
              <w:rPr>
                <w:sz w:val="20"/>
                <w:szCs w:val="20"/>
                <w:color w:val="auto"/>
              </w:rPr>
            </w:pPr>
            <w:r>
              <w:rPr>
                <w:rFonts w:ascii="Arial" w:cs="Arial" w:eastAsia="Arial" w:hAnsi="Arial"/>
                <w:sz w:val="18"/>
                <w:szCs w:val="18"/>
                <w:color w:val="auto"/>
                <w:w w:val="97"/>
              </w:rPr>
              <w:t>Changes in Fiscal Periods</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w w:val="93"/>
              </w:rPr>
              <w:t>147</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9.12.</w:t>
            </w:r>
          </w:p>
        </w:tc>
        <w:tc>
          <w:tcPr>
            <w:tcW w:w="2520" w:type="dxa"/>
            <w:vAlign w:val="bottom"/>
            <w:gridSpan w:val="8"/>
          </w:tcPr>
          <w:p>
            <w:pPr>
              <w:ind w:left="80"/>
              <w:spacing w:after="0" w:line="201" w:lineRule="exact"/>
              <w:rPr>
                <w:sz w:val="20"/>
                <w:szCs w:val="20"/>
                <w:color w:val="auto"/>
              </w:rPr>
            </w:pPr>
            <w:r>
              <w:rPr>
                <w:rFonts w:ascii="Arial" w:cs="Arial" w:eastAsia="Arial" w:hAnsi="Arial"/>
                <w:sz w:val="18"/>
                <w:szCs w:val="18"/>
                <w:color w:val="auto"/>
                <w:w w:val="99"/>
              </w:rPr>
              <w:t>Negative Pledge Clauses  147</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rPr>
              <w:t>9.13.</w:t>
            </w:r>
          </w:p>
        </w:tc>
        <w:tc>
          <w:tcPr>
            <w:tcW w:w="1440" w:type="dxa"/>
            <w:vAlign w:val="bottom"/>
            <w:gridSpan w:val="4"/>
          </w:tcPr>
          <w:p>
            <w:pPr>
              <w:ind w:left="80"/>
              <w:spacing w:after="0"/>
              <w:rPr>
                <w:sz w:val="20"/>
                <w:szCs w:val="20"/>
                <w:color w:val="auto"/>
              </w:rPr>
            </w:pPr>
            <w:r>
              <w:rPr>
                <w:rFonts w:ascii="Arial" w:cs="Arial" w:eastAsia="Arial" w:hAnsi="Arial"/>
                <w:sz w:val="18"/>
                <w:szCs w:val="18"/>
                <w:color w:val="auto"/>
                <w:w w:val="91"/>
              </w:rPr>
              <w:t>Lines of Business.</w:t>
            </w:r>
          </w:p>
        </w:tc>
        <w:tc>
          <w:tcPr>
            <w:tcW w:w="700" w:type="dxa"/>
            <w:vAlign w:val="bottom"/>
            <w:gridSpan w:val="3"/>
          </w:tcPr>
          <w:p>
            <w:pPr>
              <w:jc w:val="right"/>
              <w:ind w:right="168"/>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01"/>
        </w:trPr>
        <w:tc>
          <w:tcPr>
            <w:tcW w:w="2260" w:type="dxa"/>
            <w:vAlign w:val="bottom"/>
            <w:gridSpan w:val="5"/>
          </w:tcPr>
          <w:p>
            <w:pPr>
              <w:spacing w:after="0"/>
              <w:rPr>
                <w:sz w:val="20"/>
                <w:szCs w:val="20"/>
                <w:color w:val="auto"/>
              </w:rPr>
            </w:pPr>
            <w:r>
              <w:rPr>
                <w:rFonts w:ascii="Arial" w:cs="Arial" w:eastAsia="Arial" w:hAnsi="Arial"/>
                <w:sz w:val="18"/>
                <w:szCs w:val="18"/>
                <w:color w:val="auto"/>
                <w:w w:val="98"/>
              </w:rPr>
              <w:t>SECTION 10. GUARANTEE</w:t>
            </w:r>
          </w:p>
        </w:tc>
        <w:tc>
          <w:tcPr>
            <w:tcW w:w="700" w:type="dxa"/>
            <w:vAlign w:val="bottom"/>
            <w:gridSpan w:val="3"/>
          </w:tcPr>
          <w:p>
            <w:pPr>
              <w:jc w:val="right"/>
              <w:ind w:right="188"/>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8"/>
        </w:trPr>
        <w:tc>
          <w:tcPr>
            <w:tcW w:w="820" w:type="dxa"/>
            <w:vAlign w:val="bottom"/>
          </w:tcPr>
          <w:p>
            <w:pPr>
              <w:ind w:left="300"/>
              <w:spacing w:after="0"/>
              <w:rPr>
                <w:sz w:val="20"/>
                <w:szCs w:val="20"/>
                <w:color w:val="auto"/>
              </w:rPr>
            </w:pPr>
            <w:r>
              <w:rPr>
                <w:rFonts w:ascii="Arial" w:cs="Arial" w:eastAsia="Arial" w:hAnsi="Arial"/>
                <w:sz w:val="18"/>
                <w:szCs w:val="18"/>
                <w:color w:val="auto"/>
              </w:rPr>
              <w:t>10.1.</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5"/>
              </w:rPr>
              <w:t>The Guarantee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10.2.</w:t>
            </w:r>
          </w:p>
        </w:tc>
        <w:tc>
          <w:tcPr>
            <w:tcW w:w="2140" w:type="dxa"/>
            <w:vAlign w:val="bottom"/>
            <w:gridSpan w:val="7"/>
          </w:tcPr>
          <w:p>
            <w:pPr>
              <w:ind w:left="80"/>
              <w:spacing w:after="0" w:line="201" w:lineRule="exact"/>
              <w:rPr>
                <w:sz w:val="20"/>
                <w:szCs w:val="20"/>
                <w:color w:val="auto"/>
              </w:rPr>
            </w:pPr>
            <w:r>
              <w:rPr>
                <w:rFonts w:ascii="Arial" w:cs="Arial" w:eastAsia="Arial" w:hAnsi="Arial"/>
                <w:sz w:val="18"/>
                <w:szCs w:val="18"/>
                <w:color w:val="auto"/>
                <w:w w:val="99"/>
              </w:rPr>
              <w:t>Obligations Unconditional</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148</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10.3.</w:t>
            </w:r>
          </w:p>
        </w:tc>
        <w:tc>
          <w:tcPr>
            <w:tcW w:w="126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9"/>
              </w:rPr>
              <w:t>Reinstatement</w:t>
            </w:r>
          </w:p>
        </w:tc>
        <w:tc>
          <w:tcPr>
            <w:tcW w:w="44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w w:val="99"/>
              </w:rPr>
              <w:t>149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10.4.</w:t>
            </w:r>
          </w:p>
        </w:tc>
        <w:tc>
          <w:tcPr>
            <w:tcW w:w="144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No Subrogation.</w:t>
            </w:r>
          </w:p>
        </w:tc>
        <w:tc>
          <w:tcPr>
            <w:tcW w:w="40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9"/>
              </w:rPr>
              <w:t>149</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10.5.</w:t>
            </w:r>
          </w:p>
        </w:tc>
        <w:tc>
          <w:tcPr>
            <w:tcW w:w="9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Remedies</w:t>
            </w:r>
          </w:p>
        </w:tc>
        <w:tc>
          <w:tcPr>
            <w:tcW w:w="48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w w:val="93"/>
              </w:rPr>
              <w:t>150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10.6.</w:t>
            </w:r>
          </w:p>
        </w:tc>
        <w:tc>
          <w:tcPr>
            <w:tcW w:w="1700" w:type="dxa"/>
            <w:vAlign w:val="bottom"/>
            <w:gridSpan w:val="5"/>
          </w:tcPr>
          <w:p>
            <w:pPr>
              <w:ind w:left="80"/>
              <w:spacing w:after="0" w:line="201" w:lineRule="exact"/>
              <w:rPr>
                <w:sz w:val="20"/>
                <w:szCs w:val="20"/>
                <w:color w:val="auto"/>
              </w:rPr>
            </w:pPr>
            <w:r>
              <w:rPr>
                <w:rFonts w:ascii="Arial" w:cs="Arial" w:eastAsia="Arial" w:hAnsi="Arial"/>
                <w:sz w:val="18"/>
                <w:szCs w:val="18"/>
                <w:color w:val="auto"/>
                <w:w w:val="90"/>
              </w:rPr>
              <w:t>Continuing Guarantee</w:t>
            </w:r>
          </w:p>
        </w:tc>
        <w:tc>
          <w:tcPr>
            <w:tcW w:w="140" w:type="dxa"/>
            <w:vAlign w:val="bottom"/>
          </w:tcPr>
          <w:p>
            <w:pPr>
              <w:spacing w:after="0"/>
              <w:rPr>
                <w:sz w:val="17"/>
                <w:szCs w:val="17"/>
                <w:color w:val="auto"/>
              </w:rPr>
            </w:pPr>
          </w:p>
        </w:tc>
        <w:tc>
          <w:tcPr>
            <w:tcW w:w="680" w:type="dxa"/>
            <w:vAlign w:val="bottom"/>
            <w:gridSpan w:val="2"/>
          </w:tcPr>
          <w:p>
            <w:pPr>
              <w:jc w:val="right"/>
              <w:ind w:right="268"/>
              <w:spacing w:after="0" w:line="201" w:lineRule="exact"/>
              <w:rPr>
                <w:sz w:val="20"/>
                <w:szCs w:val="20"/>
                <w:color w:val="auto"/>
              </w:rPr>
            </w:pPr>
            <w:r>
              <w:rPr>
                <w:rFonts w:ascii="Arial" w:cs="Arial" w:eastAsia="Arial" w:hAnsi="Arial"/>
                <w:sz w:val="18"/>
                <w:szCs w:val="18"/>
                <w:color w:val="auto"/>
                <w:w w:val="99"/>
              </w:rPr>
              <w:t>150</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10.7.</w:t>
            </w:r>
          </w:p>
        </w:tc>
        <w:tc>
          <w:tcPr>
            <w:tcW w:w="3580" w:type="dxa"/>
            <w:vAlign w:val="bottom"/>
            <w:gridSpan w:val="10"/>
          </w:tcPr>
          <w:p>
            <w:pPr>
              <w:ind w:left="80"/>
              <w:spacing w:after="0" w:line="201" w:lineRule="exact"/>
              <w:rPr>
                <w:sz w:val="20"/>
                <w:szCs w:val="20"/>
                <w:color w:val="auto"/>
              </w:rPr>
            </w:pPr>
            <w:r>
              <w:rPr>
                <w:rFonts w:ascii="Arial" w:cs="Arial" w:eastAsia="Arial" w:hAnsi="Arial"/>
                <w:sz w:val="18"/>
                <w:szCs w:val="18"/>
                <w:color w:val="auto"/>
                <w:w w:val="95"/>
              </w:rPr>
              <w:t>General Limitation on Guaranteed Obligations</w:t>
            </w:r>
          </w:p>
        </w:tc>
        <w:tc>
          <w:tcPr>
            <w:tcW w:w="2520" w:type="dxa"/>
            <w:vAlign w:val="bottom"/>
          </w:tcPr>
          <w:p>
            <w:pPr>
              <w:jc w:val="right"/>
              <w:ind w:right="2048"/>
              <w:spacing w:after="0" w:line="201" w:lineRule="exact"/>
              <w:rPr>
                <w:sz w:val="20"/>
                <w:szCs w:val="20"/>
                <w:color w:val="auto"/>
              </w:rPr>
            </w:pPr>
            <w:r>
              <w:rPr>
                <w:rFonts w:ascii="Arial" w:cs="Arial" w:eastAsia="Arial" w:hAnsi="Arial"/>
                <w:sz w:val="18"/>
                <w:szCs w:val="18"/>
                <w:color w:val="auto"/>
              </w:rPr>
              <w:t>150</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10.8.</w:t>
            </w:r>
          </w:p>
        </w:tc>
        <w:tc>
          <w:tcPr>
            <w:tcW w:w="2800" w:type="dxa"/>
            <w:vAlign w:val="bottom"/>
            <w:gridSpan w:val="9"/>
          </w:tcPr>
          <w:p>
            <w:pPr>
              <w:ind w:left="80"/>
              <w:spacing w:after="0" w:line="201" w:lineRule="exact"/>
              <w:rPr>
                <w:sz w:val="20"/>
                <w:szCs w:val="20"/>
                <w:color w:val="auto"/>
              </w:rPr>
            </w:pPr>
            <w:r>
              <w:rPr>
                <w:rFonts w:ascii="Arial" w:cs="Arial" w:eastAsia="Arial" w:hAnsi="Arial"/>
                <w:sz w:val="18"/>
                <w:szCs w:val="18"/>
                <w:color w:val="auto"/>
                <w:w w:val="94"/>
              </w:rPr>
              <w:t>Release of Guarantors and Pledges</w:t>
            </w:r>
          </w:p>
        </w:tc>
        <w:tc>
          <w:tcPr>
            <w:tcW w:w="780" w:type="dxa"/>
            <w:vAlign w:val="bottom"/>
          </w:tcPr>
          <w:p>
            <w:pPr>
              <w:jc w:val="right"/>
              <w:ind w:right="388"/>
              <w:spacing w:after="0" w:line="201" w:lineRule="exact"/>
              <w:rPr>
                <w:sz w:val="20"/>
                <w:szCs w:val="20"/>
                <w:color w:val="auto"/>
              </w:rPr>
            </w:pPr>
            <w:r>
              <w:rPr>
                <w:rFonts w:ascii="Arial" w:cs="Arial" w:eastAsia="Arial" w:hAnsi="Arial"/>
                <w:sz w:val="18"/>
                <w:szCs w:val="18"/>
                <w:color w:val="auto"/>
                <w:w w:val="93"/>
              </w:rPr>
              <w:t>150</w:t>
            </w: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10.9.</w:t>
            </w:r>
          </w:p>
        </w:tc>
        <w:tc>
          <w:tcPr>
            <w:tcW w:w="1700" w:type="dxa"/>
            <w:vAlign w:val="bottom"/>
            <w:gridSpan w:val="5"/>
          </w:tcPr>
          <w:p>
            <w:pPr>
              <w:ind w:left="80"/>
              <w:spacing w:after="0" w:line="201" w:lineRule="exact"/>
              <w:rPr>
                <w:sz w:val="20"/>
                <w:szCs w:val="20"/>
                <w:color w:val="auto"/>
              </w:rPr>
            </w:pPr>
            <w:r>
              <w:rPr>
                <w:rFonts w:ascii="Arial" w:cs="Arial" w:eastAsia="Arial" w:hAnsi="Arial"/>
                <w:sz w:val="18"/>
                <w:szCs w:val="18"/>
                <w:color w:val="auto"/>
                <w:w w:val="97"/>
              </w:rPr>
              <w:t>Right of Contribution</w:t>
            </w:r>
          </w:p>
        </w:tc>
        <w:tc>
          <w:tcPr>
            <w:tcW w:w="14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6"/>
              </w:rPr>
              <w:t>150</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w w:val="99"/>
              </w:rPr>
              <w:t>10.10.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Keepwell</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151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01"/>
        </w:trPr>
        <w:tc>
          <w:tcPr>
            <w:tcW w:w="2960" w:type="dxa"/>
            <w:vAlign w:val="bottom"/>
            <w:gridSpan w:val="8"/>
          </w:tcPr>
          <w:p>
            <w:pPr>
              <w:spacing w:after="0"/>
              <w:rPr>
                <w:sz w:val="20"/>
                <w:szCs w:val="20"/>
                <w:color w:val="auto"/>
              </w:rPr>
            </w:pPr>
            <w:r>
              <w:rPr>
                <w:rFonts w:ascii="Arial" w:cs="Arial" w:eastAsia="Arial" w:hAnsi="Arial"/>
                <w:sz w:val="18"/>
                <w:szCs w:val="18"/>
                <w:color w:val="auto"/>
                <w:w w:val="96"/>
              </w:rPr>
              <w:t>SECTION 11. EVENTS OF DEFAULT</w:t>
            </w:r>
          </w:p>
        </w:tc>
        <w:tc>
          <w:tcPr>
            <w:tcW w:w="660" w:type="dxa"/>
            <w:vAlign w:val="bottom"/>
            <w:gridSpan w:val="2"/>
          </w:tcPr>
          <w:p>
            <w:pPr>
              <w:jc w:val="right"/>
              <w:ind w:right="148"/>
              <w:spacing w:after="0"/>
              <w:rPr>
                <w:sz w:val="20"/>
                <w:szCs w:val="20"/>
                <w:color w:val="auto"/>
              </w:rPr>
            </w:pPr>
            <w:r>
              <w:rPr>
                <w:rFonts w:ascii="Arial" w:cs="Arial" w:eastAsia="Arial" w:hAnsi="Arial"/>
                <w:sz w:val="18"/>
                <w:szCs w:val="18"/>
                <w:color w:val="auto"/>
              </w:rPr>
              <w:t>151</w:t>
            </w: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8"/>
        </w:trPr>
        <w:tc>
          <w:tcPr>
            <w:tcW w:w="820" w:type="dxa"/>
            <w:vAlign w:val="bottom"/>
          </w:tcPr>
          <w:p>
            <w:pPr>
              <w:ind w:left="300"/>
              <w:spacing w:after="0"/>
              <w:rPr>
                <w:sz w:val="20"/>
                <w:szCs w:val="20"/>
                <w:color w:val="auto"/>
              </w:rPr>
            </w:pPr>
            <w:r>
              <w:rPr>
                <w:rFonts w:ascii="Arial" w:cs="Arial" w:eastAsia="Arial" w:hAnsi="Arial"/>
                <w:sz w:val="18"/>
                <w:szCs w:val="18"/>
                <w:color w:val="auto"/>
              </w:rPr>
              <w:t>11.1.</w:t>
            </w:r>
          </w:p>
        </w:tc>
        <w:tc>
          <w:tcPr>
            <w:tcW w:w="1440" w:type="dxa"/>
            <w:vAlign w:val="bottom"/>
            <w:gridSpan w:val="4"/>
          </w:tcPr>
          <w:p>
            <w:pPr>
              <w:ind w:left="60"/>
              <w:spacing w:after="0"/>
              <w:rPr>
                <w:sz w:val="20"/>
                <w:szCs w:val="20"/>
                <w:color w:val="auto"/>
              </w:rPr>
            </w:pPr>
            <w:r>
              <w:rPr>
                <w:rFonts w:ascii="Arial" w:cs="Arial" w:eastAsia="Arial" w:hAnsi="Arial"/>
                <w:sz w:val="18"/>
                <w:szCs w:val="18"/>
                <w:color w:val="auto"/>
                <w:w w:val="99"/>
              </w:rPr>
              <w:t>Events of Default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11.2.</w:t>
            </w:r>
          </w:p>
        </w:tc>
        <w:tc>
          <w:tcPr>
            <w:tcW w:w="2140" w:type="dxa"/>
            <w:vAlign w:val="bottom"/>
            <w:gridSpan w:val="7"/>
          </w:tcPr>
          <w:p>
            <w:pPr>
              <w:ind w:left="60"/>
              <w:spacing w:after="0" w:line="201" w:lineRule="exact"/>
              <w:rPr>
                <w:sz w:val="20"/>
                <w:szCs w:val="20"/>
                <w:color w:val="auto"/>
              </w:rPr>
            </w:pPr>
            <w:r>
              <w:rPr>
                <w:rFonts w:ascii="Arial" w:cs="Arial" w:eastAsia="Arial" w:hAnsi="Arial"/>
                <w:sz w:val="18"/>
                <w:szCs w:val="18"/>
                <w:color w:val="auto"/>
              </w:rPr>
              <w:t>Action in Event of Default</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11.3.</w:t>
            </w:r>
          </w:p>
        </w:tc>
        <w:tc>
          <w:tcPr>
            <w:tcW w:w="126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Right to Cure</w:t>
            </w:r>
          </w:p>
        </w:tc>
        <w:tc>
          <w:tcPr>
            <w:tcW w:w="44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w w:val="79"/>
              </w:rPr>
              <w:t>155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rPr>
              <w:t>11.4.</w:t>
            </w:r>
          </w:p>
        </w:tc>
        <w:tc>
          <w:tcPr>
            <w:tcW w:w="1840" w:type="dxa"/>
            <w:vAlign w:val="bottom"/>
            <w:gridSpan w:val="6"/>
          </w:tcPr>
          <w:p>
            <w:pPr>
              <w:ind w:left="60"/>
              <w:spacing w:after="0"/>
              <w:rPr>
                <w:sz w:val="20"/>
                <w:szCs w:val="20"/>
                <w:color w:val="auto"/>
              </w:rPr>
            </w:pPr>
            <w:r>
              <w:rPr>
                <w:rFonts w:ascii="Arial" w:cs="Arial" w:eastAsia="Arial" w:hAnsi="Arial"/>
                <w:sz w:val="18"/>
                <w:szCs w:val="18"/>
                <w:color w:val="auto"/>
                <w:w w:val="93"/>
              </w:rPr>
              <w:t>Application of Proceeds</w:t>
            </w:r>
          </w:p>
        </w:tc>
        <w:tc>
          <w:tcPr>
            <w:tcW w:w="680" w:type="dxa"/>
            <w:vAlign w:val="bottom"/>
            <w:gridSpan w:val="2"/>
          </w:tcPr>
          <w:p>
            <w:pPr>
              <w:jc w:val="right"/>
              <w:ind w:right="128"/>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01"/>
        </w:trPr>
        <w:tc>
          <w:tcPr>
            <w:tcW w:w="3340" w:type="dxa"/>
            <w:vAlign w:val="bottom"/>
            <w:gridSpan w:val="9"/>
          </w:tcPr>
          <w:p>
            <w:pPr>
              <w:spacing w:after="0"/>
              <w:rPr>
                <w:sz w:val="20"/>
                <w:szCs w:val="20"/>
                <w:color w:val="auto"/>
              </w:rPr>
            </w:pPr>
            <w:r>
              <w:rPr>
                <w:rFonts w:ascii="Arial" w:cs="Arial" w:eastAsia="Arial" w:hAnsi="Arial"/>
                <w:sz w:val="18"/>
                <w:szCs w:val="18"/>
                <w:color w:val="auto"/>
                <w:w w:val="99"/>
              </w:rPr>
              <w:t>SECTION 12. ADMINISTRATIVE AGENT</w:t>
            </w:r>
          </w:p>
        </w:tc>
        <w:tc>
          <w:tcPr>
            <w:tcW w:w="1060" w:type="dxa"/>
            <w:vAlign w:val="bottom"/>
            <w:gridSpan w:val="2"/>
          </w:tcPr>
          <w:p>
            <w:pPr>
              <w:jc w:val="right"/>
              <w:ind w:right="528"/>
              <w:spacing w:after="0"/>
              <w:rPr>
                <w:sz w:val="20"/>
                <w:szCs w:val="20"/>
                <w:color w:val="auto"/>
              </w:rPr>
            </w:pPr>
            <w:r>
              <w:rPr>
                <w:rFonts w:ascii="Arial" w:cs="Arial" w:eastAsia="Arial" w:hAnsi="Arial"/>
                <w:sz w:val="18"/>
                <w:szCs w:val="18"/>
                <w:color w:val="auto"/>
              </w:rPr>
              <w:t>157</w:t>
            </w:r>
          </w:p>
        </w:tc>
        <w:tc>
          <w:tcPr>
            <w:tcW w:w="2520" w:type="dxa"/>
            <w:vAlign w:val="bottom"/>
          </w:tcPr>
          <w:p>
            <w:pPr>
              <w:spacing w:after="0"/>
              <w:rPr>
                <w:sz w:val="24"/>
                <w:szCs w:val="24"/>
                <w:color w:val="auto"/>
              </w:rPr>
            </w:pPr>
          </w:p>
        </w:tc>
      </w:tr>
      <w:tr>
        <w:trPr>
          <w:trHeight w:val="368"/>
        </w:trPr>
        <w:tc>
          <w:tcPr>
            <w:tcW w:w="820" w:type="dxa"/>
            <w:vAlign w:val="bottom"/>
          </w:tcPr>
          <w:p>
            <w:pPr>
              <w:ind w:left="300"/>
              <w:spacing w:after="0"/>
              <w:rPr>
                <w:sz w:val="20"/>
                <w:szCs w:val="20"/>
                <w:color w:val="auto"/>
              </w:rPr>
            </w:pPr>
            <w:r>
              <w:rPr>
                <w:rFonts w:ascii="Arial" w:cs="Arial" w:eastAsia="Arial" w:hAnsi="Arial"/>
                <w:sz w:val="18"/>
                <w:szCs w:val="18"/>
                <w:color w:val="auto"/>
              </w:rPr>
              <w:t>12.1.</w:t>
            </w:r>
          </w:p>
        </w:tc>
        <w:tc>
          <w:tcPr>
            <w:tcW w:w="2520" w:type="dxa"/>
            <w:vAlign w:val="bottom"/>
            <w:gridSpan w:val="8"/>
          </w:tcPr>
          <w:p>
            <w:pPr>
              <w:ind w:left="80"/>
              <w:spacing w:after="0"/>
              <w:rPr>
                <w:sz w:val="20"/>
                <w:szCs w:val="20"/>
                <w:color w:val="auto"/>
              </w:rPr>
            </w:pPr>
            <w:r>
              <w:rPr>
                <w:rFonts w:ascii="Arial" w:cs="Arial" w:eastAsia="Arial" w:hAnsi="Arial"/>
                <w:sz w:val="18"/>
                <w:szCs w:val="18"/>
                <w:color w:val="auto"/>
              </w:rPr>
              <w:t>Appointment; Nature of Duties</w:t>
            </w:r>
          </w:p>
        </w:tc>
        <w:tc>
          <w:tcPr>
            <w:tcW w:w="1060" w:type="dxa"/>
            <w:vAlign w:val="bottom"/>
            <w:gridSpan w:val="2"/>
          </w:tcPr>
          <w:p>
            <w:pPr>
              <w:jc w:val="right"/>
              <w:ind w:right="668"/>
              <w:spacing w:after="0"/>
              <w:rPr>
                <w:sz w:val="20"/>
                <w:szCs w:val="20"/>
                <w:color w:val="auto"/>
              </w:rPr>
            </w:pPr>
            <w:r>
              <w:rPr>
                <w:rFonts w:ascii="Arial" w:cs="Arial" w:eastAsia="Arial" w:hAnsi="Arial"/>
                <w:sz w:val="18"/>
                <w:szCs w:val="18"/>
                <w:color w:val="auto"/>
                <w:w w:val="93"/>
              </w:rPr>
              <w:t>157</w:t>
            </w:r>
          </w:p>
        </w:tc>
        <w:tc>
          <w:tcPr>
            <w:tcW w:w="2520" w:type="dxa"/>
            <w:vAlign w:val="bottom"/>
          </w:tcPr>
          <w:p>
            <w:pPr>
              <w:spacing w:after="0"/>
              <w:rPr>
                <w:sz w:val="24"/>
                <w:szCs w:val="24"/>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12.2.</w:t>
            </w:r>
          </w:p>
        </w:tc>
        <w:tc>
          <w:tcPr>
            <w:tcW w:w="1840" w:type="dxa"/>
            <w:vAlign w:val="bottom"/>
            <w:gridSpan w:val="6"/>
          </w:tcPr>
          <w:p>
            <w:pPr>
              <w:ind w:left="80"/>
              <w:spacing w:after="0" w:line="201" w:lineRule="exact"/>
              <w:rPr>
                <w:sz w:val="20"/>
                <w:szCs w:val="20"/>
                <w:color w:val="auto"/>
              </w:rPr>
            </w:pPr>
            <w:r>
              <w:rPr>
                <w:rFonts w:ascii="Arial" w:cs="Arial" w:eastAsia="Arial" w:hAnsi="Arial"/>
                <w:sz w:val="18"/>
                <w:szCs w:val="18"/>
                <w:color w:val="auto"/>
                <w:w w:val="95"/>
              </w:rPr>
              <w:t>Exculpatory Provisions</w:t>
            </w:r>
          </w:p>
        </w:tc>
        <w:tc>
          <w:tcPr>
            <w:tcW w:w="680" w:type="dxa"/>
            <w:vAlign w:val="bottom"/>
            <w:gridSpan w:val="2"/>
          </w:tcPr>
          <w:p>
            <w:pPr>
              <w:jc w:val="right"/>
              <w:ind w:right="168"/>
              <w:spacing w:after="0" w:line="201" w:lineRule="exact"/>
              <w:rPr>
                <w:sz w:val="20"/>
                <w:szCs w:val="20"/>
                <w:color w:val="auto"/>
              </w:rPr>
            </w:pPr>
            <w:r>
              <w:rPr>
                <w:rFonts w:ascii="Arial" w:cs="Arial" w:eastAsia="Arial" w:hAnsi="Arial"/>
                <w:sz w:val="18"/>
                <w:szCs w:val="18"/>
                <w:color w:val="auto"/>
              </w:rPr>
              <w:t>158</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12.3.</w:t>
            </w:r>
          </w:p>
        </w:tc>
        <w:tc>
          <w:tcPr>
            <w:tcW w:w="3580" w:type="dxa"/>
            <w:vAlign w:val="bottom"/>
            <w:gridSpan w:val="10"/>
          </w:tcPr>
          <w:p>
            <w:pPr>
              <w:ind w:left="80"/>
              <w:spacing w:after="0" w:line="201" w:lineRule="exact"/>
              <w:rPr>
                <w:sz w:val="20"/>
                <w:szCs w:val="20"/>
                <w:color w:val="auto"/>
              </w:rPr>
            </w:pPr>
            <w:r>
              <w:rPr>
                <w:rFonts w:ascii="Arial" w:cs="Arial" w:eastAsia="Arial" w:hAnsi="Arial"/>
                <w:sz w:val="18"/>
                <w:szCs w:val="18"/>
                <w:color w:val="auto"/>
                <w:w w:val="97"/>
              </w:rPr>
              <w:t>Lack of Reliance on the Administrative Agent</w:t>
            </w:r>
          </w:p>
        </w:tc>
        <w:tc>
          <w:tcPr>
            <w:tcW w:w="2520" w:type="dxa"/>
            <w:vAlign w:val="bottom"/>
          </w:tcPr>
          <w:p>
            <w:pPr>
              <w:jc w:val="right"/>
              <w:ind w:right="2068"/>
              <w:spacing w:after="0" w:line="201" w:lineRule="exact"/>
              <w:rPr>
                <w:sz w:val="20"/>
                <w:szCs w:val="20"/>
                <w:color w:val="auto"/>
              </w:rPr>
            </w:pPr>
            <w:r>
              <w:rPr>
                <w:rFonts w:ascii="Arial" w:cs="Arial" w:eastAsia="Arial" w:hAnsi="Arial"/>
                <w:sz w:val="18"/>
                <w:szCs w:val="18"/>
                <w:color w:val="auto"/>
              </w:rPr>
              <w:t>159</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12.4.</w:t>
            </w:r>
          </w:p>
        </w:tc>
        <w:tc>
          <w:tcPr>
            <w:tcW w:w="6100" w:type="dxa"/>
            <w:vAlign w:val="bottom"/>
            <w:gridSpan w:val="11"/>
          </w:tcPr>
          <w:p>
            <w:pPr>
              <w:ind w:left="80"/>
              <w:spacing w:after="0" w:line="201" w:lineRule="exact"/>
              <w:rPr>
                <w:sz w:val="20"/>
                <w:szCs w:val="20"/>
                <w:color w:val="auto"/>
              </w:rPr>
            </w:pPr>
            <w:r>
              <w:rPr>
                <w:rFonts w:ascii="Arial" w:cs="Arial" w:eastAsia="Arial" w:hAnsi="Arial"/>
                <w:sz w:val="18"/>
                <w:szCs w:val="18"/>
                <w:color w:val="auto"/>
              </w:rPr>
              <w:t>Certain Rights of the Administrative Agent  159</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12.5.</w:t>
            </w:r>
          </w:p>
        </w:tc>
        <w:tc>
          <w:tcPr>
            <w:tcW w:w="126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Reliance  160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rPr>
              <w:t>12.6.</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5"/>
              </w:rPr>
              <w:t>Indemnification</w:t>
            </w:r>
          </w:p>
        </w:tc>
        <w:tc>
          <w:tcPr>
            <w:tcW w:w="180" w:type="dxa"/>
            <w:vAlign w:val="bottom"/>
          </w:tcPr>
          <w:p>
            <w:pPr>
              <w:spacing w:after="0"/>
              <w:rPr>
                <w:sz w:val="20"/>
                <w:szCs w:val="20"/>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w w:val="79"/>
              </w:rPr>
              <w:t>160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231140" cy="182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31140" cy="1828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99"/>
          </w:cols>
          <w:pgMar w:left="360" w:top="1025" w:right="1440" w:bottom="1440" w:gutter="0" w:footer="0" w:header="0"/>
        </w:sectPr>
      </w:pPr>
    </w:p>
    <w:bookmarkStart w:id="82" w:name="page83"/>
    <w:bookmarkEnd w:id="82"/>
    <w:p>
      <w:pPr>
        <w:jc w:val="right"/>
        <w:ind w:right="1319"/>
        <w:spacing w:after="0"/>
        <w:rPr>
          <w:sz w:val="20"/>
          <w:szCs w:val="20"/>
          <w:color w:val="auto"/>
        </w:rPr>
      </w:pPr>
      <w:r>
        <w:rPr>
          <w:rFonts w:ascii="Arial" w:cs="Arial" w:eastAsia="Arial" w:hAnsi="Arial"/>
          <w:sz w:val="18"/>
          <w:szCs w:val="18"/>
          <w:color w:val="auto"/>
        </w:rPr>
        <w:t>Page</w:t>
      </w:r>
    </w:p>
    <w:p>
      <w:pPr>
        <w:spacing w:after="0" w:line="75"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820" w:type="dxa"/>
            <w:vAlign w:val="bottom"/>
          </w:tcPr>
          <w:p>
            <w:pPr>
              <w:ind w:left="300"/>
              <w:spacing w:after="0"/>
              <w:rPr>
                <w:sz w:val="20"/>
                <w:szCs w:val="20"/>
                <w:color w:val="auto"/>
              </w:rPr>
            </w:pPr>
            <w:r>
              <w:rPr>
                <w:rFonts w:ascii="Arial" w:cs="Arial" w:eastAsia="Arial" w:hAnsi="Arial"/>
                <w:sz w:val="18"/>
                <w:szCs w:val="18"/>
                <w:color w:val="auto"/>
              </w:rPr>
              <w:t>12.7.</w:t>
            </w:r>
          </w:p>
        </w:tc>
        <w:tc>
          <w:tcPr>
            <w:tcW w:w="3980" w:type="dxa"/>
            <w:vAlign w:val="bottom"/>
            <w:gridSpan w:val="8"/>
          </w:tcPr>
          <w:p>
            <w:pPr>
              <w:ind w:left="80"/>
              <w:spacing w:after="0"/>
              <w:rPr>
                <w:sz w:val="20"/>
                <w:szCs w:val="20"/>
                <w:color w:val="auto"/>
              </w:rPr>
            </w:pPr>
            <w:r>
              <w:rPr>
                <w:rFonts w:ascii="Arial" w:cs="Arial" w:eastAsia="Arial" w:hAnsi="Arial"/>
                <w:sz w:val="18"/>
                <w:szCs w:val="18"/>
                <w:color w:val="auto"/>
                <w:w w:val="96"/>
              </w:rPr>
              <w:t>The Administrative Agent in Its Individual Capacity</w:t>
            </w:r>
          </w:p>
        </w:tc>
        <w:tc>
          <w:tcPr>
            <w:tcW w:w="840" w:type="dxa"/>
            <w:vAlign w:val="bottom"/>
          </w:tcPr>
          <w:p>
            <w:pPr>
              <w:jc w:val="right"/>
              <w:ind w:right="348"/>
              <w:spacing w:after="0"/>
              <w:rPr>
                <w:sz w:val="20"/>
                <w:szCs w:val="20"/>
                <w:color w:val="auto"/>
              </w:rPr>
            </w:pPr>
            <w:r>
              <w:rPr>
                <w:rFonts w:ascii="Arial" w:cs="Arial" w:eastAsia="Arial" w:hAnsi="Arial"/>
                <w:sz w:val="18"/>
                <w:szCs w:val="18"/>
                <w:color w:val="auto"/>
              </w:rPr>
              <w:t>160</w:t>
            </w: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12.8.</w:t>
            </w:r>
          </w:p>
        </w:tc>
        <w:tc>
          <w:tcPr>
            <w:tcW w:w="760" w:type="dxa"/>
            <w:vAlign w:val="bottom"/>
          </w:tcPr>
          <w:p>
            <w:pPr>
              <w:ind w:left="80"/>
              <w:spacing w:after="0" w:line="201" w:lineRule="exact"/>
              <w:rPr>
                <w:sz w:val="20"/>
                <w:szCs w:val="20"/>
                <w:color w:val="auto"/>
              </w:rPr>
            </w:pPr>
            <w:r>
              <w:rPr>
                <w:rFonts w:ascii="Arial" w:cs="Arial" w:eastAsia="Arial" w:hAnsi="Arial"/>
                <w:sz w:val="18"/>
                <w:szCs w:val="18"/>
                <w:color w:val="auto"/>
              </w:rPr>
              <w:t>Holders</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160</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12.9.</w:t>
            </w:r>
          </w:p>
        </w:tc>
        <w:tc>
          <w:tcPr>
            <w:tcW w:w="4820" w:type="dxa"/>
            <w:vAlign w:val="bottom"/>
            <w:gridSpan w:val="9"/>
          </w:tcPr>
          <w:p>
            <w:pPr>
              <w:ind w:left="80"/>
              <w:spacing w:after="0" w:line="201" w:lineRule="exact"/>
              <w:rPr>
                <w:sz w:val="20"/>
                <w:szCs w:val="20"/>
                <w:color w:val="auto"/>
              </w:rPr>
            </w:pPr>
            <w:r>
              <w:rPr>
                <w:rFonts w:ascii="Arial" w:cs="Arial" w:eastAsia="Arial" w:hAnsi="Arial"/>
                <w:sz w:val="18"/>
                <w:szCs w:val="18"/>
                <w:color w:val="auto"/>
                <w:w w:val="96"/>
              </w:rPr>
              <w:t>Resignation by the Administrative Agent or an Issuing Lender</w:t>
            </w:r>
          </w:p>
        </w:tc>
        <w:tc>
          <w:tcPr>
            <w:tcW w:w="1120" w:type="dxa"/>
            <w:vAlign w:val="bottom"/>
          </w:tcPr>
          <w:p>
            <w:pPr>
              <w:jc w:val="right"/>
              <w:ind w:right="728"/>
              <w:spacing w:after="0" w:line="201" w:lineRule="exact"/>
              <w:rPr>
                <w:sz w:val="20"/>
                <w:szCs w:val="20"/>
                <w:color w:val="auto"/>
              </w:rPr>
            </w:pPr>
            <w:r>
              <w:rPr>
                <w:rFonts w:ascii="Arial" w:cs="Arial" w:eastAsia="Arial" w:hAnsi="Arial"/>
                <w:sz w:val="18"/>
                <w:szCs w:val="18"/>
                <w:color w:val="auto"/>
                <w:w w:val="93"/>
              </w:rPr>
              <w:t>161</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12.10.</w:t>
            </w:r>
          </w:p>
        </w:tc>
        <w:tc>
          <w:tcPr>
            <w:tcW w:w="158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Collateral Matters</w:t>
            </w:r>
          </w:p>
        </w:tc>
        <w:tc>
          <w:tcPr>
            <w:tcW w:w="40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w w:val="93"/>
              </w:rPr>
              <w:t>163</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12.11.</w:t>
            </w:r>
          </w:p>
        </w:tc>
        <w:tc>
          <w:tcPr>
            <w:tcW w:w="10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[Reserved]</w:t>
            </w:r>
          </w:p>
        </w:tc>
        <w:tc>
          <w:tcPr>
            <w:tcW w:w="54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w w:val="93"/>
              </w:rPr>
              <w:t>166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12.12.</w:t>
            </w:r>
          </w:p>
        </w:tc>
        <w:tc>
          <w:tcPr>
            <w:tcW w:w="19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Delivery of Information</w:t>
            </w:r>
          </w:p>
        </w:tc>
        <w:tc>
          <w:tcPr>
            <w:tcW w:w="740" w:type="dxa"/>
            <w:vAlign w:val="bottom"/>
          </w:tcPr>
          <w:p>
            <w:pPr>
              <w:jc w:val="right"/>
              <w:ind w:right="328"/>
              <w:spacing w:after="0" w:line="201" w:lineRule="exact"/>
              <w:rPr>
                <w:sz w:val="20"/>
                <w:szCs w:val="20"/>
                <w:color w:val="auto"/>
              </w:rPr>
            </w:pPr>
            <w:r>
              <w:rPr>
                <w:rFonts w:ascii="Arial" w:cs="Arial" w:eastAsia="Arial" w:hAnsi="Arial"/>
                <w:sz w:val="18"/>
                <w:szCs w:val="18"/>
                <w:color w:val="auto"/>
                <w:w w:val="99"/>
              </w:rPr>
              <w:t>166</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12.13.</w:t>
            </w:r>
          </w:p>
        </w:tc>
        <w:tc>
          <w:tcPr>
            <w:tcW w:w="158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99"/>
              </w:rPr>
              <w:t>Withholding Taxes</w:t>
            </w:r>
          </w:p>
        </w:tc>
        <w:tc>
          <w:tcPr>
            <w:tcW w:w="60" w:type="dxa"/>
            <w:vAlign w:val="bottom"/>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w w:val="93"/>
              </w:rPr>
              <w:t>166</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12.14.</w:t>
            </w:r>
          </w:p>
        </w:tc>
        <w:tc>
          <w:tcPr>
            <w:tcW w:w="1980" w:type="dxa"/>
            <w:vAlign w:val="bottom"/>
            <w:gridSpan w:val="6"/>
          </w:tcPr>
          <w:p>
            <w:pPr>
              <w:ind w:left="80"/>
              <w:spacing w:after="0" w:line="201" w:lineRule="exact"/>
              <w:rPr>
                <w:sz w:val="20"/>
                <w:szCs w:val="20"/>
                <w:color w:val="auto"/>
              </w:rPr>
            </w:pPr>
            <w:r>
              <w:rPr>
                <w:rFonts w:ascii="Arial" w:cs="Arial" w:eastAsia="Arial" w:hAnsi="Arial"/>
                <w:sz w:val="18"/>
                <w:szCs w:val="18"/>
                <w:color w:val="auto"/>
                <w:w w:val="99"/>
              </w:rPr>
              <w:t>Intercreditor Agreement</w:t>
            </w:r>
          </w:p>
        </w:tc>
        <w:tc>
          <w:tcPr>
            <w:tcW w:w="740" w:type="dxa"/>
            <w:vAlign w:val="bottom"/>
          </w:tcPr>
          <w:p>
            <w:pPr>
              <w:jc w:val="right"/>
              <w:ind w:right="308"/>
              <w:spacing w:after="0" w:line="201" w:lineRule="exact"/>
              <w:rPr>
                <w:sz w:val="20"/>
                <w:szCs w:val="20"/>
                <w:color w:val="auto"/>
              </w:rPr>
            </w:pPr>
            <w:r>
              <w:rPr>
                <w:rFonts w:ascii="Arial" w:cs="Arial" w:eastAsia="Arial" w:hAnsi="Arial"/>
                <w:sz w:val="18"/>
                <w:szCs w:val="18"/>
                <w:color w:val="auto"/>
              </w:rPr>
              <w:t>166</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12.15.</w:t>
            </w:r>
          </w:p>
        </w:tc>
        <w:tc>
          <w:tcPr>
            <w:tcW w:w="4820" w:type="dxa"/>
            <w:vAlign w:val="bottom"/>
            <w:gridSpan w:val="9"/>
          </w:tcPr>
          <w:p>
            <w:pPr>
              <w:ind w:left="80"/>
              <w:spacing w:after="0" w:line="201" w:lineRule="exact"/>
              <w:rPr>
                <w:sz w:val="20"/>
                <w:szCs w:val="20"/>
                <w:color w:val="auto"/>
              </w:rPr>
            </w:pPr>
            <w:r>
              <w:rPr>
                <w:rFonts w:ascii="Arial" w:cs="Arial" w:eastAsia="Arial" w:hAnsi="Arial"/>
                <w:sz w:val="18"/>
                <w:szCs w:val="18"/>
                <w:color w:val="auto"/>
                <w:w w:val="96"/>
              </w:rPr>
              <w:t>Administrative Agent May File Proofs of Claim; Credit Bidding</w:t>
            </w:r>
          </w:p>
        </w:tc>
        <w:tc>
          <w:tcPr>
            <w:tcW w:w="1120" w:type="dxa"/>
            <w:vAlign w:val="bottom"/>
          </w:tcPr>
          <w:p>
            <w:pPr>
              <w:jc w:val="right"/>
              <w:ind w:right="588"/>
              <w:spacing w:after="0" w:line="201" w:lineRule="exact"/>
              <w:rPr>
                <w:sz w:val="20"/>
                <w:szCs w:val="20"/>
                <w:color w:val="auto"/>
              </w:rPr>
            </w:pPr>
            <w:r>
              <w:rPr>
                <w:rFonts w:ascii="Arial" w:cs="Arial" w:eastAsia="Arial" w:hAnsi="Arial"/>
                <w:sz w:val="18"/>
                <w:szCs w:val="18"/>
                <w:color w:val="auto"/>
              </w:rPr>
              <w:t>167</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12.16.</w:t>
            </w:r>
          </w:p>
        </w:tc>
        <w:tc>
          <w:tcPr>
            <w:tcW w:w="19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Certain ERISA Matters</w:t>
            </w:r>
          </w:p>
        </w:tc>
        <w:tc>
          <w:tcPr>
            <w:tcW w:w="740" w:type="dxa"/>
            <w:vAlign w:val="bottom"/>
          </w:tcPr>
          <w:p>
            <w:pPr>
              <w:jc w:val="right"/>
              <w:ind w:right="368"/>
              <w:spacing w:after="0" w:line="201" w:lineRule="exact"/>
              <w:rPr>
                <w:sz w:val="20"/>
                <w:szCs w:val="20"/>
                <w:color w:val="auto"/>
              </w:rPr>
            </w:pPr>
            <w:r>
              <w:rPr>
                <w:rFonts w:ascii="Arial" w:cs="Arial" w:eastAsia="Arial" w:hAnsi="Arial"/>
                <w:sz w:val="18"/>
                <w:szCs w:val="18"/>
                <w:color w:val="auto"/>
                <w:w w:val="86"/>
              </w:rPr>
              <w:t>168</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w w:val="99"/>
              </w:rPr>
              <w:t>12.17.</w:t>
            </w:r>
          </w:p>
        </w:tc>
        <w:tc>
          <w:tcPr>
            <w:tcW w:w="1640" w:type="dxa"/>
            <w:vAlign w:val="bottom"/>
            <w:gridSpan w:val="5"/>
          </w:tcPr>
          <w:p>
            <w:pPr>
              <w:ind w:left="80"/>
              <w:spacing w:after="0"/>
              <w:rPr>
                <w:sz w:val="20"/>
                <w:szCs w:val="20"/>
                <w:color w:val="auto"/>
              </w:rPr>
            </w:pPr>
            <w:r>
              <w:rPr>
                <w:rFonts w:ascii="Arial" w:cs="Arial" w:eastAsia="Arial" w:hAnsi="Arial"/>
                <w:sz w:val="18"/>
                <w:szCs w:val="18"/>
                <w:color w:val="auto"/>
                <w:w w:val="91"/>
              </w:rPr>
              <w:t>Erroneous Payments</w:t>
            </w: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169</w:t>
            </w: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1"/>
        </w:trPr>
        <w:tc>
          <w:tcPr>
            <w:tcW w:w="2800" w:type="dxa"/>
            <w:vAlign w:val="bottom"/>
            <w:gridSpan w:val="7"/>
          </w:tcPr>
          <w:p>
            <w:pPr>
              <w:spacing w:after="0"/>
              <w:rPr>
                <w:sz w:val="20"/>
                <w:szCs w:val="20"/>
                <w:color w:val="auto"/>
              </w:rPr>
            </w:pPr>
            <w:r>
              <w:rPr>
                <w:rFonts w:ascii="Arial" w:cs="Arial" w:eastAsia="Arial" w:hAnsi="Arial"/>
                <w:sz w:val="18"/>
                <w:szCs w:val="18"/>
                <w:color w:val="auto"/>
              </w:rPr>
              <w:t>SECTION 13. MISCELLANEOUS</w:t>
            </w:r>
          </w:p>
        </w:tc>
        <w:tc>
          <w:tcPr>
            <w:tcW w:w="740" w:type="dxa"/>
            <w:vAlign w:val="bottom"/>
          </w:tcPr>
          <w:p>
            <w:pPr>
              <w:jc w:val="right"/>
              <w:ind w:right="348"/>
              <w:spacing w:after="0"/>
              <w:rPr>
                <w:sz w:val="20"/>
                <w:szCs w:val="20"/>
                <w:color w:val="auto"/>
              </w:rPr>
            </w:pPr>
            <w:r>
              <w:rPr>
                <w:rFonts w:ascii="Arial" w:cs="Arial" w:eastAsia="Arial" w:hAnsi="Arial"/>
                <w:sz w:val="18"/>
                <w:szCs w:val="18"/>
                <w:color w:val="auto"/>
                <w:w w:val="93"/>
              </w:rPr>
              <w:t>170</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8"/>
        </w:trPr>
        <w:tc>
          <w:tcPr>
            <w:tcW w:w="820" w:type="dxa"/>
            <w:vAlign w:val="bottom"/>
          </w:tcPr>
          <w:p>
            <w:pPr>
              <w:ind w:left="300"/>
              <w:spacing w:after="0"/>
              <w:rPr>
                <w:sz w:val="20"/>
                <w:szCs w:val="20"/>
                <w:color w:val="auto"/>
              </w:rPr>
            </w:pPr>
            <w:r>
              <w:rPr>
                <w:rFonts w:ascii="Arial" w:cs="Arial" w:eastAsia="Arial" w:hAnsi="Arial"/>
                <w:sz w:val="18"/>
                <w:szCs w:val="18"/>
                <w:color w:val="auto"/>
              </w:rPr>
              <w:t>13.1.</w:t>
            </w:r>
          </w:p>
        </w:tc>
        <w:tc>
          <w:tcPr>
            <w:tcW w:w="1980" w:type="dxa"/>
            <w:vAlign w:val="bottom"/>
            <w:gridSpan w:val="6"/>
          </w:tcPr>
          <w:p>
            <w:pPr>
              <w:ind w:left="80"/>
              <w:spacing w:after="0"/>
              <w:rPr>
                <w:sz w:val="20"/>
                <w:szCs w:val="20"/>
                <w:color w:val="auto"/>
              </w:rPr>
            </w:pPr>
            <w:r>
              <w:rPr>
                <w:rFonts w:ascii="Arial" w:cs="Arial" w:eastAsia="Arial" w:hAnsi="Arial"/>
                <w:sz w:val="18"/>
                <w:szCs w:val="18"/>
                <w:color w:val="auto"/>
                <w:w w:val="89"/>
              </w:rPr>
              <w:t>Payment of Expenses, etc</w:t>
            </w:r>
          </w:p>
        </w:tc>
        <w:tc>
          <w:tcPr>
            <w:tcW w:w="740" w:type="dxa"/>
            <w:vAlign w:val="bottom"/>
          </w:tcPr>
          <w:p>
            <w:pPr>
              <w:jc w:val="right"/>
              <w:ind w:right="208"/>
              <w:spacing w:after="0"/>
              <w:rPr>
                <w:sz w:val="20"/>
                <w:szCs w:val="20"/>
                <w:color w:val="auto"/>
              </w:rPr>
            </w:pPr>
            <w:r>
              <w:rPr>
                <w:rFonts w:ascii="Arial" w:cs="Arial" w:eastAsia="Arial" w:hAnsi="Arial"/>
                <w:sz w:val="18"/>
                <w:szCs w:val="18"/>
                <w:color w:val="auto"/>
              </w:rPr>
              <w:t>170</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13.2.</w:t>
            </w:r>
          </w:p>
        </w:tc>
        <w:tc>
          <w:tcPr>
            <w:tcW w:w="120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6"/>
              </w:rPr>
              <w:t>Right of Setoff</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172</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13.3.</w:t>
            </w:r>
          </w:p>
        </w:tc>
        <w:tc>
          <w:tcPr>
            <w:tcW w:w="760" w:type="dxa"/>
            <w:vAlign w:val="bottom"/>
          </w:tcPr>
          <w:p>
            <w:pPr>
              <w:ind w:left="80"/>
              <w:spacing w:after="0" w:line="201" w:lineRule="exact"/>
              <w:rPr>
                <w:sz w:val="20"/>
                <w:szCs w:val="20"/>
                <w:color w:val="auto"/>
              </w:rPr>
            </w:pPr>
            <w:r>
              <w:rPr>
                <w:rFonts w:ascii="Arial" w:cs="Arial" w:eastAsia="Arial" w:hAnsi="Arial"/>
                <w:sz w:val="18"/>
                <w:szCs w:val="18"/>
                <w:color w:val="auto"/>
              </w:rPr>
              <w:t>Notices</w:t>
            </w:r>
          </w:p>
        </w:tc>
        <w:tc>
          <w:tcPr>
            <w:tcW w:w="44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rPr>
              <w:t>173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13.4.</w:t>
            </w:r>
          </w:p>
        </w:tc>
        <w:tc>
          <w:tcPr>
            <w:tcW w:w="3980" w:type="dxa"/>
            <w:vAlign w:val="bottom"/>
            <w:gridSpan w:val="8"/>
          </w:tcPr>
          <w:p>
            <w:pPr>
              <w:ind w:left="80"/>
              <w:spacing w:after="0" w:line="201" w:lineRule="exact"/>
              <w:rPr>
                <w:sz w:val="20"/>
                <w:szCs w:val="20"/>
                <w:color w:val="auto"/>
              </w:rPr>
            </w:pPr>
            <w:r>
              <w:rPr>
                <w:rFonts w:ascii="Arial" w:cs="Arial" w:eastAsia="Arial" w:hAnsi="Arial"/>
                <w:sz w:val="18"/>
                <w:szCs w:val="18"/>
                <w:color w:val="auto"/>
                <w:w w:val="96"/>
              </w:rPr>
              <w:t>Benefit of Agreement; Assignments; Participations</w:t>
            </w:r>
          </w:p>
        </w:tc>
        <w:tc>
          <w:tcPr>
            <w:tcW w:w="840" w:type="dxa"/>
            <w:vAlign w:val="bottom"/>
          </w:tcPr>
          <w:p>
            <w:pPr>
              <w:jc w:val="right"/>
              <w:ind w:right="428"/>
              <w:spacing w:after="0" w:line="201" w:lineRule="exact"/>
              <w:rPr>
                <w:sz w:val="20"/>
                <w:szCs w:val="20"/>
                <w:color w:val="auto"/>
              </w:rPr>
            </w:pPr>
            <w:r>
              <w:rPr>
                <w:rFonts w:ascii="Arial" w:cs="Arial" w:eastAsia="Arial" w:hAnsi="Arial"/>
                <w:sz w:val="18"/>
                <w:szCs w:val="18"/>
                <w:color w:val="auto"/>
                <w:w w:val="99"/>
              </w:rPr>
              <w:t>175</w:t>
            </w: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13.5.</w:t>
            </w:r>
          </w:p>
        </w:tc>
        <w:tc>
          <w:tcPr>
            <w:tcW w:w="2720" w:type="dxa"/>
            <w:vAlign w:val="bottom"/>
            <w:gridSpan w:val="7"/>
          </w:tcPr>
          <w:p>
            <w:pPr>
              <w:ind w:left="80"/>
              <w:spacing w:after="0" w:line="201" w:lineRule="exact"/>
              <w:rPr>
                <w:sz w:val="20"/>
                <w:szCs w:val="20"/>
                <w:color w:val="auto"/>
              </w:rPr>
            </w:pPr>
            <w:r>
              <w:rPr>
                <w:rFonts w:ascii="Arial" w:cs="Arial" w:eastAsia="Arial" w:hAnsi="Arial"/>
                <w:sz w:val="18"/>
                <w:szCs w:val="18"/>
                <w:color w:val="auto"/>
                <w:w w:val="96"/>
              </w:rPr>
              <w:t>No Waiver; Remedies Cumulative</w:t>
            </w:r>
          </w:p>
        </w:tc>
        <w:tc>
          <w:tcPr>
            <w:tcW w:w="1260" w:type="dxa"/>
            <w:vAlign w:val="bottom"/>
          </w:tcPr>
          <w:p>
            <w:pPr>
              <w:jc w:val="right"/>
              <w:ind w:right="828"/>
              <w:spacing w:after="0" w:line="201" w:lineRule="exact"/>
              <w:rPr>
                <w:sz w:val="20"/>
                <w:szCs w:val="20"/>
                <w:color w:val="auto"/>
              </w:rPr>
            </w:pPr>
            <w:r>
              <w:rPr>
                <w:rFonts w:ascii="Arial" w:cs="Arial" w:eastAsia="Arial" w:hAnsi="Arial"/>
                <w:sz w:val="18"/>
                <w:szCs w:val="18"/>
                <w:color w:val="auto"/>
              </w:rPr>
              <w:t>178</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13.6.</w:t>
            </w:r>
          </w:p>
        </w:tc>
        <w:tc>
          <w:tcPr>
            <w:tcW w:w="158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94"/>
              </w:rPr>
              <w:t>Payments Pro Rata</w:t>
            </w:r>
          </w:p>
        </w:tc>
        <w:tc>
          <w:tcPr>
            <w:tcW w:w="60" w:type="dxa"/>
            <w:vAlign w:val="bottom"/>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w w:val="93"/>
              </w:rPr>
              <w:t>178</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13.7.</w:t>
            </w:r>
          </w:p>
        </w:tc>
        <w:tc>
          <w:tcPr>
            <w:tcW w:w="3980" w:type="dxa"/>
            <w:vAlign w:val="bottom"/>
            <w:gridSpan w:val="8"/>
          </w:tcPr>
          <w:p>
            <w:pPr>
              <w:ind w:left="80"/>
              <w:spacing w:after="0" w:line="201" w:lineRule="exact"/>
              <w:rPr>
                <w:sz w:val="20"/>
                <w:szCs w:val="20"/>
                <w:color w:val="auto"/>
              </w:rPr>
            </w:pPr>
            <w:r>
              <w:rPr>
                <w:rFonts w:ascii="Arial" w:cs="Arial" w:eastAsia="Arial" w:hAnsi="Arial"/>
                <w:sz w:val="18"/>
                <w:szCs w:val="18"/>
                <w:color w:val="auto"/>
                <w:w w:val="94"/>
              </w:rPr>
              <w:t>Acknowledgement Regarding any Supported QFCs</w:t>
            </w:r>
          </w:p>
        </w:tc>
        <w:tc>
          <w:tcPr>
            <w:tcW w:w="840" w:type="dxa"/>
            <w:vAlign w:val="bottom"/>
          </w:tcPr>
          <w:p>
            <w:pPr>
              <w:jc w:val="right"/>
              <w:ind w:right="408"/>
              <w:spacing w:after="0" w:line="201" w:lineRule="exact"/>
              <w:rPr>
                <w:sz w:val="20"/>
                <w:szCs w:val="20"/>
                <w:color w:val="auto"/>
              </w:rPr>
            </w:pPr>
            <w:r>
              <w:rPr>
                <w:rFonts w:ascii="Arial" w:cs="Arial" w:eastAsia="Arial" w:hAnsi="Arial"/>
                <w:sz w:val="18"/>
                <w:szCs w:val="18"/>
                <w:color w:val="auto"/>
              </w:rPr>
              <w:t>179</w:t>
            </w: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13.8.</w:t>
            </w:r>
          </w:p>
        </w:tc>
        <w:tc>
          <w:tcPr>
            <w:tcW w:w="5940" w:type="dxa"/>
            <w:vAlign w:val="bottom"/>
            <w:gridSpan w:val="10"/>
          </w:tcPr>
          <w:p>
            <w:pPr>
              <w:ind w:left="80"/>
              <w:spacing w:after="0" w:line="201" w:lineRule="exact"/>
              <w:rPr>
                <w:sz w:val="20"/>
                <w:szCs w:val="20"/>
                <w:color w:val="auto"/>
              </w:rPr>
            </w:pPr>
            <w:r>
              <w:rPr>
                <w:rFonts w:ascii="Arial" w:cs="Arial" w:eastAsia="Arial" w:hAnsi="Arial"/>
                <w:sz w:val="18"/>
                <w:szCs w:val="18"/>
                <w:color w:val="auto"/>
                <w:w w:val="98"/>
              </w:rPr>
              <w:t>GOVERNING LAW; SUBMISSION TO JURISDICTION; VENUE; WAIVER</w:t>
            </w:r>
          </w:p>
        </w:tc>
      </w:tr>
      <w:tr>
        <w:trPr>
          <w:trHeight w:val="201"/>
        </w:trPr>
        <w:tc>
          <w:tcPr>
            <w:tcW w:w="820" w:type="dxa"/>
            <w:vAlign w:val="bottom"/>
          </w:tcPr>
          <w:p>
            <w:pPr>
              <w:spacing w:after="0"/>
              <w:rPr>
                <w:sz w:val="17"/>
                <w:szCs w:val="17"/>
                <w:color w:val="auto"/>
              </w:rPr>
            </w:pPr>
          </w:p>
        </w:tc>
        <w:tc>
          <w:tcPr>
            <w:tcW w:w="158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OF JURY TRIAL</w:t>
            </w:r>
          </w:p>
        </w:tc>
        <w:tc>
          <w:tcPr>
            <w:tcW w:w="40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w w:val="86"/>
              </w:rPr>
              <w:t>180</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rPr>
              <w:t>13.9.</w:t>
            </w:r>
          </w:p>
        </w:tc>
        <w:tc>
          <w:tcPr>
            <w:tcW w:w="10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0"/>
              </w:rPr>
              <w:t>Counterparts</w:t>
            </w:r>
          </w:p>
        </w:tc>
        <w:tc>
          <w:tcPr>
            <w:tcW w:w="160" w:type="dxa"/>
            <w:vAlign w:val="bottom"/>
          </w:tcPr>
          <w:p>
            <w:pPr>
              <w:spacing w:after="0"/>
              <w:rPr>
                <w:sz w:val="17"/>
                <w:szCs w:val="17"/>
                <w:color w:val="auto"/>
              </w:rPr>
            </w:pPr>
          </w:p>
        </w:tc>
        <w:tc>
          <w:tcPr>
            <w:tcW w:w="380" w:type="dxa"/>
            <w:vAlign w:val="bottom"/>
          </w:tcPr>
          <w:p>
            <w:pPr>
              <w:jc w:val="right"/>
              <w:ind w:right="8"/>
              <w:spacing w:after="0" w:line="201" w:lineRule="exact"/>
              <w:rPr>
                <w:sz w:val="20"/>
                <w:szCs w:val="20"/>
                <w:color w:val="auto"/>
              </w:rPr>
            </w:pPr>
            <w:r>
              <w:rPr>
                <w:rFonts w:ascii="Arial" w:cs="Arial" w:eastAsia="Arial" w:hAnsi="Arial"/>
                <w:sz w:val="18"/>
                <w:szCs w:val="18"/>
                <w:color w:val="auto"/>
                <w:w w:val="86"/>
              </w:rPr>
              <w:t>181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13.10.</w:t>
            </w:r>
          </w:p>
        </w:tc>
        <w:tc>
          <w:tcPr>
            <w:tcW w:w="120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Effectiveness</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w w:val="99"/>
              </w:rPr>
              <w:t>181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13.11.</w:t>
            </w:r>
          </w:p>
        </w:tc>
        <w:tc>
          <w:tcPr>
            <w:tcW w:w="2720" w:type="dxa"/>
            <w:vAlign w:val="bottom"/>
            <w:gridSpan w:val="7"/>
          </w:tcPr>
          <w:p>
            <w:pPr>
              <w:ind w:left="80"/>
              <w:spacing w:after="0" w:line="201" w:lineRule="exact"/>
              <w:rPr>
                <w:sz w:val="20"/>
                <w:szCs w:val="20"/>
                <w:color w:val="auto"/>
              </w:rPr>
            </w:pPr>
            <w:r>
              <w:rPr>
                <w:rFonts w:ascii="Arial" w:cs="Arial" w:eastAsia="Arial" w:hAnsi="Arial"/>
                <w:sz w:val="18"/>
                <w:szCs w:val="18"/>
                <w:color w:val="auto"/>
              </w:rPr>
              <w:t>Headings Descriptive  181</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13.12.</w:t>
            </w:r>
          </w:p>
        </w:tc>
        <w:tc>
          <w:tcPr>
            <w:tcW w:w="2720" w:type="dxa"/>
            <w:vAlign w:val="bottom"/>
            <w:gridSpan w:val="7"/>
          </w:tcPr>
          <w:p>
            <w:pPr>
              <w:ind w:left="80"/>
              <w:spacing w:after="0" w:line="201" w:lineRule="exact"/>
              <w:rPr>
                <w:sz w:val="20"/>
                <w:szCs w:val="20"/>
                <w:color w:val="auto"/>
              </w:rPr>
            </w:pPr>
            <w:r>
              <w:rPr>
                <w:rFonts w:ascii="Arial" w:cs="Arial" w:eastAsia="Arial" w:hAnsi="Arial"/>
                <w:sz w:val="18"/>
                <w:szCs w:val="18"/>
                <w:color w:val="auto"/>
              </w:rPr>
              <w:t>Amendment or Waiver; etc  181</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13.13.</w:t>
            </w:r>
          </w:p>
        </w:tc>
        <w:tc>
          <w:tcPr>
            <w:tcW w:w="760" w:type="dxa"/>
            <w:vAlign w:val="bottom"/>
          </w:tcPr>
          <w:p>
            <w:pPr>
              <w:ind w:left="80"/>
              <w:spacing w:after="0" w:line="201" w:lineRule="exact"/>
              <w:rPr>
                <w:sz w:val="20"/>
                <w:szCs w:val="20"/>
                <w:color w:val="auto"/>
              </w:rPr>
            </w:pPr>
            <w:r>
              <w:rPr>
                <w:rFonts w:ascii="Arial" w:cs="Arial" w:eastAsia="Arial" w:hAnsi="Arial"/>
                <w:sz w:val="18"/>
                <w:szCs w:val="18"/>
                <w:color w:val="auto"/>
              </w:rPr>
              <w:t>Survival</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13.14.</w:t>
            </w:r>
          </w:p>
        </w:tc>
        <w:tc>
          <w:tcPr>
            <w:tcW w:w="158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Domicile of Loans</w:t>
            </w:r>
          </w:p>
        </w:tc>
        <w:tc>
          <w:tcPr>
            <w:tcW w:w="60" w:type="dxa"/>
            <w:vAlign w:val="bottom"/>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w w:val="86"/>
              </w:rPr>
              <w:t>184</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13.15.</w:t>
            </w:r>
          </w:p>
        </w:tc>
        <w:tc>
          <w:tcPr>
            <w:tcW w:w="760" w:type="dxa"/>
            <w:vAlign w:val="bottom"/>
          </w:tcPr>
          <w:p>
            <w:pPr>
              <w:ind w:left="80"/>
              <w:spacing w:after="0" w:line="201" w:lineRule="exact"/>
              <w:rPr>
                <w:sz w:val="20"/>
                <w:szCs w:val="20"/>
                <w:color w:val="auto"/>
              </w:rPr>
            </w:pPr>
            <w:r>
              <w:rPr>
                <w:rFonts w:ascii="Arial" w:cs="Arial" w:eastAsia="Arial" w:hAnsi="Arial"/>
                <w:sz w:val="18"/>
                <w:szCs w:val="18"/>
                <w:color w:val="auto"/>
                <w:w w:val="98"/>
              </w:rPr>
              <w:t>Register</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13.16.</w:t>
            </w:r>
          </w:p>
        </w:tc>
        <w:tc>
          <w:tcPr>
            <w:tcW w:w="120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7"/>
              </w:rPr>
              <w:t>Confidentiality</w:t>
            </w:r>
          </w:p>
        </w:tc>
        <w:tc>
          <w:tcPr>
            <w:tcW w:w="780" w:type="dxa"/>
            <w:vAlign w:val="bottom"/>
            <w:gridSpan w:val="3"/>
          </w:tcPr>
          <w:p>
            <w:pPr>
              <w:jc w:val="right"/>
              <w:ind w:right="228"/>
              <w:spacing w:after="0" w:line="201" w:lineRule="exact"/>
              <w:rPr>
                <w:sz w:val="20"/>
                <w:szCs w:val="20"/>
                <w:color w:val="auto"/>
              </w:rPr>
            </w:pPr>
            <w:r>
              <w:rPr>
                <w:rFonts w:ascii="Arial" w:cs="Arial" w:eastAsia="Arial" w:hAnsi="Arial"/>
                <w:sz w:val="18"/>
                <w:szCs w:val="18"/>
                <w:color w:val="auto"/>
              </w:rPr>
              <w:t>185</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13.17.</w:t>
            </w:r>
          </w:p>
        </w:tc>
        <w:tc>
          <w:tcPr>
            <w:tcW w:w="3980" w:type="dxa"/>
            <w:vAlign w:val="bottom"/>
            <w:gridSpan w:val="8"/>
          </w:tcPr>
          <w:p>
            <w:pPr>
              <w:ind w:left="80"/>
              <w:spacing w:after="0" w:line="201" w:lineRule="exact"/>
              <w:rPr>
                <w:sz w:val="20"/>
                <w:szCs w:val="20"/>
                <w:color w:val="auto"/>
              </w:rPr>
            </w:pPr>
            <w:r>
              <w:rPr>
                <w:rFonts w:ascii="Arial" w:cs="Arial" w:eastAsia="Arial" w:hAnsi="Arial"/>
                <w:sz w:val="18"/>
                <w:szCs w:val="18"/>
                <w:color w:val="auto"/>
                <w:w w:val="98"/>
              </w:rPr>
              <w:t>Patriot Act; Beneficial Ownership Regulation  186</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13.18.</w:t>
            </w:r>
          </w:p>
        </w:tc>
        <w:tc>
          <w:tcPr>
            <w:tcW w:w="19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Interest Rate Limitation</w:t>
            </w:r>
          </w:p>
        </w:tc>
        <w:tc>
          <w:tcPr>
            <w:tcW w:w="740" w:type="dxa"/>
            <w:vAlign w:val="bottom"/>
          </w:tcPr>
          <w:p>
            <w:pPr>
              <w:jc w:val="right"/>
              <w:ind w:right="328"/>
              <w:spacing w:after="0" w:line="201" w:lineRule="exact"/>
              <w:rPr>
                <w:sz w:val="20"/>
                <w:szCs w:val="20"/>
                <w:color w:val="auto"/>
              </w:rPr>
            </w:pPr>
            <w:r>
              <w:rPr>
                <w:rFonts w:ascii="Arial" w:cs="Arial" w:eastAsia="Arial" w:hAnsi="Arial"/>
                <w:sz w:val="18"/>
                <w:szCs w:val="18"/>
                <w:color w:val="auto"/>
                <w:w w:val="99"/>
              </w:rPr>
              <w:t>186</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13.19.</w:t>
            </w:r>
          </w:p>
        </w:tc>
        <w:tc>
          <w:tcPr>
            <w:tcW w:w="158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94"/>
              </w:rPr>
              <w:t>Judgment Currency</w:t>
            </w:r>
          </w:p>
        </w:tc>
        <w:tc>
          <w:tcPr>
            <w:tcW w:w="60" w:type="dxa"/>
            <w:vAlign w:val="bottom"/>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186</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13.20.</w:t>
            </w:r>
          </w:p>
        </w:tc>
        <w:tc>
          <w:tcPr>
            <w:tcW w:w="5940" w:type="dxa"/>
            <w:vAlign w:val="bottom"/>
            <w:gridSpan w:val="10"/>
          </w:tcPr>
          <w:p>
            <w:pPr>
              <w:ind w:left="80"/>
              <w:spacing w:after="0" w:line="201" w:lineRule="exact"/>
              <w:rPr>
                <w:sz w:val="20"/>
                <w:szCs w:val="20"/>
                <w:color w:val="auto"/>
              </w:rPr>
            </w:pPr>
            <w:r>
              <w:rPr>
                <w:rFonts w:ascii="Arial" w:cs="Arial" w:eastAsia="Arial" w:hAnsi="Arial"/>
                <w:sz w:val="18"/>
                <w:szCs w:val="18"/>
                <w:color w:val="auto"/>
                <w:w w:val="97"/>
              </w:rPr>
              <w:t>Acknowledgement and Consent to Bail-In of EEA Financial Institutions  187</w:t>
            </w: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13.21.</w:t>
            </w:r>
          </w:p>
        </w:tc>
        <w:tc>
          <w:tcPr>
            <w:tcW w:w="1640" w:type="dxa"/>
            <w:vAlign w:val="bottom"/>
            <w:gridSpan w:val="5"/>
          </w:tcPr>
          <w:p>
            <w:pPr>
              <w:ind w:left="80"/>
              <w:spacing w:after="0" w:line="201" w:lineRule="exact"/>
              <w:rPr>
                <w:sz w:val="20"/>
                <w:szCs w:val="20"/>
                <w:color w:val="auto"/>
              </w:rPr>
            </w:pPr>
            <w:r>
              <w:rPr>
                <w:rFonts w:ascii="Arial" w:cs="Arial" w:eastAsia="Arial" w:hAnsi="Arial"/>
                <w:sz w:val="18"/>
                <w:szCs w:val="18"/>
                <w:color w:val="auto"/>
                <w:w w:val="94"/>
              </w:rPr>
              <w:t>Electronic Execution</w:t>
            </w:r>
          </w:p>
        </w:tc>
        <w:tc>
          <w:tcPr>
            <w:tcW w:w="1080" w:type="dxa"/>
            <w:vAlign w:val="bottom"/>
            <w:gridSpan w:val="2"/>
          </w:tcPr>
          <w:p>
            <w:pPr>
              <w:jc w:val="right"/>
              <w:ind w:right="548"/>
              <w:spacing w:after="0" w:line="201" w:lineRule="exact"/>
              <w:rPr>
                <w:sz w:val="20"/>
                <w:szCs w:val="20"/>
                <w:color w:val="auto"/>
              </w:rPr>
            </w:pPr>
            <w:r>
              <w:rPr>
                <w:rFonts w:ascii="Arial" w:cs="Arial" w:eastAsia="Arial" w:hAnsi="Arial"/>
                <w:sz w:val="18"/>
                <w:szCs w:val="18"/>
                <w:color w:val="auto"/>
              </w:rPr>
              <w:t>187</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13.22.</w:t>
            </w:r>
          </w:p>
        </w:tc>
        <w:tc>
          <w:tcPr>
            <w:tcW w:w="3980" w:type="dxa"/>
            <w:vAlign w:val="bottom"/>
            <w:gridSpan w:val="8"/>
          </w:tcPr>
          <w:p>
            <w:pPr>
              <w:ind w:left="80"/>
              <w:spacing w:after="0" w:line="201" w:lineRule="exact"/>
              <w:rPr>
                <w:sz w:val="20"/>
                <w:szCs w:val="20"/>
                <w:color w:val="auto"/>
              </w:rPr>
            </w:pPr>
            <w:r>
              <w:rPr>
                <w:rFonts w:ascii="Arial" w:cs="Arial" w:eastAsia="Arial" w:hAnsi="Arial"/>
                <w:sz w:val="18"/>
                <w:szCs w:val="18"/>
                <w:color w:val="auto"/>
              </w:rPr>
              <w:t>No Advisory or Fiduciary Responsibility  188</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13.23.</w:t>
            </w:r>
          </w:p>
        </w:tc>
        <w:tc>
          <w:tcPr>
            <w:tcW w:w="10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Severability</w:t>
            </w:r>
          </w:p>
        </w:tc>
        <w:tc>
          <w:tcPr>
            <w:tcW w:w="54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188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13.24.</w:t>
            </w:r>
          </w:p>
        </w:tc>
        <w:tc>
          <w:tcPr>
            <w:tcW w:w="10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Integration</w:t>
            </w:r>
          </w:p>
        </w:tc>
        <w:tc>
          <w:tcPr>
            <w:tcW w:w="54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w w:val="93"/>
              </w:rPr>
              <w:t>188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820" w:type="dxa"/>
            <w:vAlign w:val="bottom"/>
          </w:tcPr>
          <w:p>
            <w:pPr>
              <w:ind w:left="300"/>
              <w:spacing w:after="0" w:line="201" w:lineRule="exact"/>
              <w:rPr>
                <w:sz w:val="20"/>
                <w:szCs w:val="20"/>
                <w:color w:val="auto"/>
              </w:rPr>
            </w:pPr>
            <w:r>
              <w:rPr>
                <w:rFonts w:ascii="Arial" w:cs="Arial" w:eastAsia="Arial" w:hAnsi="Arial"/>
                <w:sz w:val="18"/>
                <w:szCs w:val="18"/>
                <w:color w:val="auto"/>
                <w:w w:val="99"/>
              </w:rPr>
              <w:t>13.25.</w:t>
            </w:r>
          </w:p>
        </w:tc>
        <w:tc>
          <w:tcPr>
            <w:tcW w:w="2720" w:type="dxa"/>
            <w:vAlign w:val="bottom"/>
            <w:gridSpan w:val="7"/>
          </w:tcPr>
          <w:p>
            <w:pPr>
              <w:ind w:left="80"/>
              <w:spacing w:after="0" w:line="201" w:lineRule="exact"/>
              <w:rPr>
                <w:sz w:val="20"/>
                <w:szCs w:val="20"/>
                <w:color w:val="auto"/>
              </w:rPr>
            </w:pPr>
            <w:r>
              <w:rPr>
                <w:rFonts w:ascii="Arial" w:cs="Arial" w:eastAsia="Arial" w:hAnsi="Arial"/>
                <w:sz w:val="18"/>
                <w:szCs w:val="18"/>
                <w:color w:val="auto"/>
                <w:w w:val="95"/>
              </w:rPr>
              <w:t>Financing Statement Authorization</w:t>
            </w:r>
          </w:p>
        </w:tc>
        <w:tc>
          <w:tcPr>
            <w:tcW w:w="1260" w:type="dxa"/>
            <w:vAlign w:val="bottom"/>
          </w:tcPr>
          <w:p>
            <w:pPr>
              <w:jc w:val="right"/>
              <w:ind w:right="768"/>
              <w:spacing w:after="0" w:line="201" w:lineRule="exact"/>
              <w:rPr>
                <w:sz w:val="20"/>
                <w:szCs w:val="20"/>
                <w:color w:val="auto"/>
              </w:rPr>
            </w:pPr>
            <w:r>
              <w:rPr>
                <w:rFonts w:ascii="Arial" w:cs="Arial" w:eastAsia="Arial" w:hAnsi="Arial"/>
                <w:sz w:val="18"/>
                <w:szCs w:val="18"/>
                <w:color w:val="auto"/>
              </w:rPr>
              <w:t>188</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820" w:type="dxa"/>
            <w:vAlign w:val="bottom"/>
          </w:tcPr>
          <w:p>
            <w:pPr>
              <w:ind w:left="300"/>
              <w:spacing w:after="0"/>
              <w:rPr>
                <w:sz w:val="20"/>
                <w:szCs w:val="20"/>
                <w:color w:val="auto"/>
              </w:rPr>
            </w:pPr>
            <w:r>
              <w:rPr>
                <w:rFonts w:ascii="Arial" w:cs="Arial" w:eastAsia="Arial" w:hAnsi="Arial"/>
                <w:sz w:val="18"/>
                <w:szCs w:val="18"/>
                <w:color w:val="auto"/>
                <w:w w:val="99"/>
              </w:rPr>
              <w:t>13.26.</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w w:val="99"/>
              </w:rPr>
              <w:t>Co-Borrowers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20" w:type="dxa"/>
            <w:vAlign w:val="bottom"/>
          </w:tcPr>
          <w:p>
            <w:pPr>
              <w:ind w:left="300"/>
              <w:spacing w:after="0"/>
              <w:rPr>
                <w:sz w:val="20"/>
                <w:szCs w:val="20"/>
                <w:color w:val="auto"/>
              </w:rPr>
            </w:pPr>
            <w:r>
              <w:rPr>
                <w:rFonts w:ascii="Arial" w:cs="Arial" w:eastAsia="Arial" w:hAnsi="Arial"/>
                <w:sz w:val="18"/>
                <w:szCs w:val="18"/>
                <w:color w:val="auto"/>
                <w:w w:val="99"/>
              </w:rPr>
              <w:t>13.27.</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rPr>
              <w:t>Reaffirmation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231140" cy="182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31140" cy="1828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99"/>
          </w:cols>
          <w:pgMar w:left="360" w:top="1025"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3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6"/>
          <w:szCs w:val="16"/>
          <w:color w:val="auto"/>
        </w:rPr>
        <w:t>Lenders and Commitments</w:t>
      </w:r>
    </w:p>
    <w:p>
      <w:pPr>
        <w:spacing w:after="0" w:line="3" w:lineRule="exact"/>
        <w:rPr>
          <w:sz w:val="20"/>
          <w:szCs w:val="20"/>
          <w:color w:val="auto"/>
        </w:rPr>
      </w:pPr>
    </w:p>
    <w:p>
      <w:pPr>
        <w:spacing w:after="0"/>
        <w:tabs>
          <w:tab w:leader="none" w:pos="1120" w:val="left"/>
          <w:tab w:leader="none" w:pos="4020" w:val="left"/>
        </w:tabs>
        <w:rPr>
          <w:sz w:val="20"/>
          <w:szCs w:val="20"/>
          <w:color w:val="auto"/>
        </w:rPr>
      </w:pPr>
      <w:r>
        <w:rPr>
          <w:rFonts w:ascii="Arial" w:cs="Arial" w:eastAsia="Arial" w:hAnsi="Arial"/>
          <w:sz w:val="18"/>
          <w:szCs w:val="18"/>
          <w:color w:val="auto"/>
        </w:rPr>
        <w:t>Schedule 1.1</w:t>
        <w:tab/>
        <w:t>Disqualified Lenders Schedule 1.1(f)</w:t>
      </w:r>
      <w:r>
        <w:rPr>
          <w:sz w:val="20"/>
          <w:szCs w:val="20"/>
          <w:color w:val="auto"/>
        </w:rPr>
        <w:tab/>
      </w:r>
      <w:r>
        <w:rPr>
          <w:rFonts w:ascii="Arial" w:cs="Arial" w:eastAsia="Arial" w:hAnsi="Arial"/>
          <w:sz w:val="17"/>
          <w:szCs w:val="17"/>
          <w:color w:val="auto"/>
        </w:rPr>
        <w:t>Existing</w:t>
      </w:r>
    </w:p>
    <w:p>
      <w:pPr>
        <w:spacing w:after="0"/>
        <w:tabs>
          <w:tab w:leader="none" w:pos="2260" w:val="left"/>
        </w:tabs>
        <w:rPr>
          <w:sz w:val="20"/>
          <w:szCs w:val="20"/>
          <w:color w:val="auto"/>
        </w:rPr>
      </w:pPr>
      <w:r>
        <w:rPr>
          <w:rFonts w:ascii="Arial" w:cs="Arial" w:eastAsia="Arial" w:hAnsi="Arial"/>
          <w:sz w:val="18"/>
          <w:szCs w:val="18"/>
          <w:color w:val="auto"/>
        </w:rPr>
        <w:t>Investments Schedule 1.1(g)</w:t>
      </w:r>
      <w:r>
        <w:rPr>
          <w:sz w:val="20"/>
          <w:szCs w:val="20"/>
          <w:color w:val="auto"/>
        </w:rPr>
        <w:tab/>
      </w:r>
      <w:r>
        <w:rPr>
          <w:rFonts w:ascii="Arial" w:cs="Arial" w:eastAsia="Arial" w:hAnsi="Arial"/>
          <w:sz w:val="16"/>
          <w:szCs w:val="16"/>
          <w:color w:val="auto"/>
        </w:rPr>
        <w:t>Existing Liens Schedule</w:t>
      </w:r>
    </w:p>
    <w:p>
      <w:pPr>
        <w:spacing w:after="0"/>
        <w:tabs>
          <w:tab w:leader="none" w:pos="480" w:val="left"/>
          <w:tab w:leader="none" w:pos="2860" w:val="left"/>
        </w:tabs>
        <w:rPr>
          <w:sz w:val="20"/>
          <w:szCs w:val="20"/>
          <w:color w:val="auto"/>
        </w:rPr>
      </w:pPr>
      <w:r>
        <w:rPr>
          <w:rFonts w:ascii="Arial" w:cs="Arial" w:eastAsia="Arial" w:hAnsi="Arial"/>
          <w:sz w:val="18"/>
          <w:szCs w:val="18"/>
          <w:color w:val="auto"/>
        </w:rPr>
        <w:t>6.16</w:t>
        <w:tab/>
        <w:t>Subsidiaries Schedule 6.19(a)</w:t>
      </w:r>
      <w:r>
        <w:rPr>
          <w:sz w:val="20"/>
          <w:szCs w:val="20"/>
          <w:color w:val="auto"/>
        </w:rPr>
        <w:tab/>
      </w:r>
      <w:r>
        <w:rPr>
          <w:rFonts w:ascii="Arial" w:cs="Arial" w:eastAsia="Arial" w:hAnsi="Arial"/>
          <w:sz w:val="16"/>
          <w:szCs w:val="16"/>
          <w:color w:val="auto"/>
        </w:rPr>
        <w:t>Security Documents Schedule</w:t>
      </w:r>
    </w:p>
    <w:tbl>
      <w:tblPr>
        <w:tblLayout w:type="fixed"/>
        <w:tblInd w:w="0" w:type="dxa"/>
        <w:tblCellMar>
          <w:top w:w="0" w:type="dxa"/>
          <w:left w:w="0" w:type="dxa"/>
          <w:bottom w:w="0" w:type="dxa"/>
          <w:right w:w="0" w:type="dxa"/>
        </w:tblCellMar>
      </w:tblPr>
      <w:tr>
        <w:trPr>
          <w:trHeight w:val="185"/>
        </w:trPr>
        <w:tc>
          <w:tcPr>
            <w:tcW w:w="4580" w:type="dxa"/>
            <w:vAlign w:val="bottom"/>
            <w:gridSpan w:val="4"/>
          </w:tcPr>
          <w:p>
            <w:pPr>
              <w:spacing w:after="0" w:line="185" w:lineRule="exact"/>
              <w:rPr>
                <w:sz w:val="20"/>
                <w:szCs w:val="20"/>
                <w:color w:val="auto"/>
              </w:rPr>
            </w:pPr>
            <w:r>
              <w:rPr>
                <w:rFonts w:ascii="Arial" w:cs="Arial" w:eastAsia="Arial" w:hAnsi="Arial"/>
                <w:sz w:val="18"/>
                <w:szCs w:val="18"/>
                <w:color w:val="auto"/>
              </w:rPr>
              <w:t>8.12  Post-Closing Matters</w:t>
            </w:r>
          </w:p>
        </w:tc>
        <w:tc>
          <w:tcPr>
            <w:tcW w:w="3240" w:type="dxa"/>
            <w:vAlign w:val="bottom"/>
          </w:tcPr>
          <w:p>
            <w:pPr>
              <w:spacing w:after="0"/>
              <w:rPr>
                <w:sz w:val="16"/>
                <w:szCs w:val="16"/>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w w:val="96"/>
              </w:rPr>
              <w:t>Schedule 8.15  Existing Affiliate Transactions Schedule 9.4</w:t>
            </w:r>
          </w:p>
        </w:tc>
        <w:tc>
          <w:tcPr>
            <w:tcW w:w="3240" w:type="dxa"/>
            <w:vAlign w:val="bottom"/>
          </w:tcPr>
          <w:p>
            <w:pPr>
              <w:ind w:left="80"/>
              <w:spacing w:after="0" w:line="201" w:lineRule="exact"/>
              <w:rPr>
                <w:sz w:val="20"/>
                <w:szCs w:val="20"/>
                <w:color w:val="auto"/>
              </w:rPr>
            </w:pPr>
            <w:r>
              <w:rPr>
                <w:rFonts w:ascii="Arial" w:cs="Arial" w:eastAsia="Arial" w:hAnsi="Arial"/>
                <w:sz w:val="18"/>
                <w:szCs w:val="18"/>
                <w:color w:val="auto"/>
              </w:rPr>
              <w:t>Existing</w:t>
            </w:r>
          </w:p>
        </w:tc>
      </w:tr>
      <w:tr>
        <w:trPr>
          <w:trHeight w:val="234"/>
        </w:trPr>
        <w:tc>
          <w:tcPr>
            <w:tcW w:w="4580" w:type="dxa"/>
            <w:vAlign w:val="bottom"/>
            <w:gridSpan w:val="4"/>
          </w:tcPr>
          <w:p>
            <w:pPr>
              <w:spacing w:after="0"/>
              <w:rPr>
                <w:sz w:val="20"/>
                <w:szCs w:val="20"/>
                <w:color w:val="auto"/>
              </w:rPr>
            </w:pPr>
            <w:r>
              <w:rPr>
                <w:rFonts w:ascii="Arial" w:cs="Arial" w:eastAsia="Arial" w:hAnsi="Arial"/>
                <w:sz w:val="18"/>
                <w:szCs w:val="18"/>
                <w:color w:val="auto"/>
              </w:rPr>
              <w:t>Indebtedness</w:t>
            </w:r>
          </w:p>
        </w:tc>
        <w:tc>
          <w:tcPr>
            <w:tcW w:w="3240" w:type="dxa"/>
            <w:vAlign w:val="bottom"/>
          </w:tcPr>
          <w:p>
            <w:pPr>
              <w:spacing w:after="0"/>
              <w:rPr>
                <w:sz w:val="20"/>
                <w:szCs w:val="20"/>
                <w:color w:val="auto"/>
              </w:rPr>
            </w:pPr>
          </w:p>
        </w:tc>
      </w:tr>
      <w:tr>
        <w:trPr>
          <w:trHeight w:val="259"/>
        </w:trPr>
        <w:tc>
          <w:tcPr>
            <w:tcW w:w="4580" w:type="dxa"/>
            <w:vAlign w:val="bottom"/>
            <w:gridSpan w:val="4"/>
          </w:tcPr>
          <w:p>
            <w:pPr>
              <w:spacing w:after="0"/>
              <w:rPr>
                <w:sz w:val="20"/>
                <w:szCs w:val="20"/>
                <w:color w:val="auto"/>
              </w:rPr>
            </w:pPr>
            <w:r>
              <w:rPr>
                <w:rFonts w:ascii="Arial" w:cs="Arial" w:eastAsia="Arial" w:hAnsi="Arial"/>
                <w:sz w:val="18"/>
                <w:szCs w:val="18"/>
                <w:color w:val="auto"/>
                <w:w w:val="96"/>
              </w:rPr>
              <w:t>Schedule 9.12  Existing Restrictive Agreements EXHIBITS:</w:t>
            </w:r>
          </w:p>
        </w:tc>
        <w:tc>
          <w:tcPr>
            <w:tcW w:w="3240" w:type="dxa"/>
            <w:vAlign w:val="bottom"/>
          </w:tcPr>
          <w:p>
            <w:pPr>
              <w:spacing w:after="0"/>
              <w:rPr>
                <w:sz w:val="22"/>
                <w:szCs w:val="22"/>
                <w:color w:val="auto"/>
              </w:rPr>
            </w:pPr>
          </w:p>
        </w:tc>
      </w:tr>
      <w:tr>
        <w:trPr>
          <w:trHeight w:val="20"/>
        </w:trPr>
        <w:tc>
          <w:tcPr>
            <w:tcW w:w="36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02"/>
        </w:trPr>
        <w:tc>
          <w:tcPr>
            <w:tcW w:w="4580" w:type="dxa"/>
            <w:vAlign w:val="bottom"/>
            <w:gridSpan w:val="4"/>
          </w:tcPr>
          <w:p>
            <w:pPr>
              <w:spacing w:after="0"/>
              <w:rPr>
                <w:sz w:val="20"/>
                <w:szCs w:val="20"/>
                <w:color w:val="auto"/>
              </w:rPr>
            </w:pPr>
            <w:r>
              <w:rPr>
                <w:rFonts w:ascii="Arial" w:cs="Arial" w:eastAsia="Arial" w:hAnsi="Arial"/>
                <w:sz w:val="18"/>
                <w:szCs w:val="18"/>
                <w:color w:val="auto"/>
              </w:rPr>
              <w:t>Exhibit A  Form of Assignment and Assumption</w:t>
            </w:r>
          </w:p>
        </w:tc>
        <w:tc>
          <w:tcPr>
            <w:tcW w:w="3240" w:type="dxa"/>
            <w:vAlign w:val="bottom"/>
          </w:tcPr>
          <w:p>
            <w:pPr>
              <w:spacing w:after="0"/>
              <w:rPr>
                <w:sz w:val="24"/>
                <w:szCs w:val="24"/>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B  Form of Financial Statements Certificate</w:t>
            </w:r>
          </w:p>
        </w:tc>
        <w:tc>
          <w:tcPr>
            <w:tcW w:w="3240" w:type="dxa"/>
            <w:vAlign w:val="bottom"/>
          </w:tcPr>
          <w:p>
            <w:pPr>
              <w:spacing w:after="0"/>
              <w:rPr>
                <w:sz w:val="17"/>
                <w:szCs w:val="17"/>
                <w:color w:val="auto"/>
              </w:rPr>
            </w:pPr>
          </w:p>
        </w:tc>
      </w:tr>
      <w:tr>
        <w:trPr>
          <w:trHeight w:val="201"/>
        </w:trPr>
        <w:tc>
          <w:tcPr>
            <w:tcW w:w="880" w:type="dxa"/>
            <w:vAlign w:val="bottom"/>
          </w:tcPr>
          <w:p>
            <w:pPr>
              <w:spacing w:after="0" w:line="201" w:lineRule="exact"/>
              <w:rPr>
                <w:sz w:val="20"/>
                <w:szCs w:val="20"/>
                <w:color w:val="auto"/>
              </w:rPr>
            </w:pPr>
            <w:r>
              <w:rPr>
                <w:rFonts w:ascii="Arial" w:cs="Arial" w:eastAsia="Arial" w:hAnsi="Arial"/>
                <w:sz w:val="18"/>
                <w:szCs w:val="18"/>
                <w:color w:val="auto"/>
                <w:w w:val="97"/>
              </w:rPr>
              <w:t>Exhibit C-1</w:t>
            </w:r>
          </w:p>
        </w:tc>
        <w:tc>
          <w:tcPr>
            <w:tcW w:w="694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4"/>
              </w:rPr>
              <w:t>Intercreditor Agreement (First Lien Pari Passu Debt) Term Sheet Exhibit C-2  Intercreditor</w:t>
            </w: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Agreement (Junior Lien Debt) Term Sheet</w:t>
            </w:r>
          </w:p>
        </w:tc>
        <w:tc>
          <w:tcPr>
            <w:tcW w:w="3240" w:type="dxa"/>
            <w:vAlign w:val="bottom"/>
          </w:tcPr>
          <w:p>
            <w:pPr>
              <w:spacing w:after="0"/>
              <w:rPr>
                <w:sz w:val="17"/>
                <w:szCs w:val="17"/>
                <w:color w:val="auto"/>
              </w:rPr>
            </w:pPr>
          </w:p>
        </w:tc>
      </w:tr>
      <w:tr>
        <w:trPr>
          <w:trHeight w:val="201"/>
        </w:trPr>
        <w:tc>
          <w:tcPr>
            <w:tcW w:w="880" w:type="dxa"/>
            <w:vAlign w:val="bottom"/>
          </w:tcPr>
          <w:p>
            <w:pPr>
              <w:spacing w:after="0" w:line="201" w:lineRule="exact"/>
              <w:rPr>
                <w:sz w:val="20"/>
                <w:szCs w:val="20"/>
                <w:color w:val="auto"/>
              </w:rPr>
            </w:pPr>
            <w:r>
              <w:rPr>
                <w:rFonts w:ascii="Arial" w:cs="Arial" w:eastAsia="Arial" w:hAnsi="Arial"/>
                <w:sz w:val="18"/>
                <w:szCs w:val="18"/>
                <w:color w:val="auto"/>
                <w:w w:val="97"/>
              </w:rPr>
              <w:t>Exhibit C-3</w:t>
            </w:r>
          </w:p>
        </w:tc>
        <w:tc>
          <w:tcPr>
            <w:tcW w:w="37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9"/>
              </w:rPr>
              <w:t>Form of Global Intercompany Note Exhibit D</w:t>
            </w:r>
          </w:p>
        </w:tc>
        <w:tc>
          <w:tcPr>
            <w:tcW w:w="3240" w:type="dxa"/>
            <w:vAlign w:val="bottom"/>
          </w:tcPr>
          <w:p>
            <w:pPr>
              <w:ind w:left="40"/>
              <w:spacing w:after="0" w:line="201" w:lineRule="exact"/>
              <w:rPr>
                <w:sz w:val="20"/>
                <w:szCs w:val="20"/>
                <w:color w:val="auto"/>
              </w:rPr>
            </w:pPr>
            <w:r>
              <w:rPr>
                <w:rFonts w:ascii="Arial" w:cs="Arial" w:eastAsia="Arial" w:hAnsi="Arial"/>
                <w:sz w:val="18"/>
                <w:szCs w:val="18"/>
                <w:color w:val="auto"/>
              </w:rPr>
              <w:t>Form of Guarantor</w:t>
            </w: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Joinder Agreement</w:t>
            </w:r>
          </w:p>
        </w:tc>
        <w:tc>
          <w:tcPr>
            <w:tcW w:w="3240" w:type="dxa"/>
            <w:vAlign w:val="bottom"/>
          </w:tcPr>
          <w:p>
            <w:pPr>
              <w:spacing w:after="0"/>
              <w:rPr>
                <w:sz w:val="17"/>
                <w:szCs w:val="17"/>
                <w:color w:val="auto"/>
              </w:rPr>
            </w:pPr>
          </w:p>
        </w:tc>
      </w:tr>
      <w:tr>
        <w:trPr>
          <w:trHeight w:val="201"/>
        </w:trPr>
        <w:tc>
          <w:tcPr>
            <w:tcW w:w="880" w:type="dxa"/>
            <w:vAlign w:val="bottom"/>
          </w:tcPr>
          <w:p>
            <w:pPr>
              <w:spacing w:after="0" w:line="201" w:lineRule="exact"/>
              <w:rPr>
                <w:sz w:val="20"/>
                <w:szCs w:val="20"/>
                <w:color w:val="auto"/>
              </w:rPr>
            </w:pPr>
            <w:r>
              <w:rPr>
                <w:rFonts w:ascii="Arial" w:cs="Arial" w:eastAsia="Arial" w:hAnsi="Arial"/>
                <w:sz w:val="18"/>
                <w:szCs w:val="18"/>
                <w:color w:val="auto"/>
              </w:rPr>
              <w:t>Exhibit E</w:t>
            </w:r>
          </w:p>
        </w:tc>
        <w:tc>
          <w:tcPr>
            <w:tcW w:w="3700" w:type="dxa"/>
            <w:vAlign w:val="bottom"/>
            <w:gridSpan w:val="3"/>
          </w:tcPr>
          <w:p>
            <w:pPr>
              <w:spacing w:after="0" w:line="201" w:lineRule="exact"/>
              <w:rPr>
                <w:sz w:val="20"/>
                <w:szCs w:val="20"/>
                <w:color w:val="auto"/>
              </w:rPr>
            </w:pPr>
            <w:r>
              <w:rPr>
                <w:rFonts w:ascii="Arial" w:cs="Arial" w:eastAsia="Arial" w:hAnsi="Arial"/>
                <w:sz w:val="18"/>
                <w:szCs w:val="18"/>
                <w:color w:val="auto"/>
              </w:rPr>
              <w:t>Security Agreement</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F  Form of Notice of Borrowing</w:t>
            </w:r>
          </w:p>
        </w:tc>
        <w:tc>
          <w:tcPr>
            <w:tcW w:w="3240" w:type="dxa"/>
            <w:vAlign w:val="bottom"/>
          </w:tcPr>
          <w:p>
            <w:pPr>
              <w:spacing w:after="0"/>
              <w:rPr>
                <w:sz w:val="17"/>
                <w:szCs w:val="17"/>
                <w:color w:val="auto"/>
              </w:rPr>
            </w:pPr>
          </w:p>
        </w:tc>
      </w:tr>
      <w:tr>
        <w:trPr>
          <w:trHeight w:val="201"/>
        </w:trPr>
        <w:tc>
          <w:tcPr>
            <w:tcW w:w="880" w:type="dxa"/>
            <w:vAlign w:val="bottom"/>
          </w:tcPr>
          <w:p>
            <w:pPr>
              <w:spacing w:after="0" w:line="201" w:lineRule="exact"/>
              <w:rPr>
                <w:sz w:val="20"/>
                <w:szCs w:val="20"/>
                <w:color w:val="auto"/>
              </w:rPr>
            </w:pPr>
            <w:r>
              <w:rPr>
                <w:rFonts w:ascii="Arial" w:cs="Arial" w:eastAsia="Arial" w:hAnsi="Arial"/>
                <w:sz w:val="18"/>
                <w:szCs w:val="18"/>
                <w:color w:val="auto"/>
              </w:rPr>
              <w:t>Exhibit G</w:t>
            </w:r>
          </w:p>
        </w:tc>
        <w:tc>
          <w:tcPr>
            <w:tcW w:w="37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[Reserved]</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H  Form of Revolving Note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I  Form of Swingline Note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J  Form of Notice of Conversion/Continuation</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K  Form of Letter of Credit Request</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L-1  Form of Non-Bank Certificate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L-2  Form of Non-Bank Certificate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L-3  Form of Non-Bank Certificate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L-4  Form of Non-Bank Certificate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M  Form of Solvency Certificate</w:t>
            </w:r>
          </w:p>
        </w:tc>
        <w:tc>
          <w:tcPr>
            <w:tcW w:w="3240" w:type="dxa"/>
            <w:vAlign w:val="bottom"/>
          </w:tcPr>
          <w:p>
            <w:pPr>
              <w:spacing w:after="0"/>
              <w:rPr>
                <w:sz w:val="17"/>
                <w:szCs w:val="17"/>
                <w:color w:val="auto"/>
              </w:rPr>
            </w:pPr>
          </w:p>
        </w:tc>
      </w:tr>
      <w:tr>
        <w:trPr>
          <w:trHeight w:val="201"/>
        </w:trPr>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rPr>
              <w:t>Exhibit N  Form of Administrative Questionnaire</w:t>
            </w:r>
          </w:p>
        </w:tc>
        <w:tc>
          <w:tcPr>
            <w:tcW w:w="3240" w:type="dxa"/>
            <w:vAlign w:val="bottom"/>
          </w:tcPr>
          <w:p>
            <w:pPr>
              <w:spacing w:after="0"/>
              <w:rPr>
                <w:sz w:val="17"/>
                <w:szCs w:val="17"/>
                <w:color w:val="auto"/>
              </w:rPr>
            </w:pPr>
          </w:p>
        </w:tc>
      </w:tr>
      <w:tr>
        <w:trPr>
          <w:trHeight w:val="201"/>
        </w:trPr>
        <w:tc>
          <w:tcPr>
            <w:tcW w:w="880" w:type="dxa"/>
            <w:vAlign w:val="bottom"/>
          </w:tcPr>
          <w:p>
            <w:pPr>
              <w:spacing w:after="0" w:line="201" w:lineRule="exact"/>
              <w:rPr>
                <w:sz w:val="20"/>
                <w:szCs w:val="20"/>
                <w:color w:val="auto"/>
              </w:rPr>
            </w:pPr>
            <w:r>
              <w:rPr>
                <w:rFonts w:ascii="Arial" w:cs="Arial" w:eastAsia="Arial" w:hAnsi="Arial"/>
                <w:sz w:val="18"/>
                <w:szCs w:val="18"/>
                <w:color w:val="auto"/>
              </w:rPr>
              <w:t>Exhibit O</w:t>
            </w:r>
          </w:p>
        </w:tc>
        <w:tc>
          <w:tcPr>
            <w:tcW w:w="694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5"/>
              </w:rPr>
              <w:t>Form of Co-Borrower Request and Assumption Agreement Exhibit P  Form of Co-Borrower</w:t>
            </w:r>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Notice</w:t>
            </w:r>
          </w:p>
        </w:tc>
        <w:tc>
          <w:tcPr>
            <w:tcW w:w="2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9139"/>
          </w:cols>
          <w:pgMar w:left="1320" w:top="1326" w:right="1440" w:bottom="1440" w:gutter="0" w:footer="0" w:header="0"/>
        </w:sectPr>
      </w:pPr>
    </w:p>
    <w:bookmarkStart w:id="84" w:name="page85"/>
    <w:bookmarkEnd w:id="84"/>
    <w:p>
      <w:pPr>
        <w:ind w:left="1560"/>
        <w:spacing w:after="0"/>
        <w:rPr>
          <w:sz w:val="20"/>
          <w:szCs w:val="20"/>
          <w:color w:val="auto"/>
        </w:rPr>
      </w:pPr>
      <w:r>
        <w:rPr>
          <w:rFonts w:ascii="Arial" w:cs="Arial" w:eastAsia="Arial" w:hAnsi="Arial"/>
          <w:sz w:val="18"/>
          <w:szCs w:val="18"/>
          <w:color w:val="auto"/>
        </w:rPr>
        <w:t>AMENDED AND RESTATED CREDIT AND GUARANTY AGREEMENT, dated as of July 2,</w:t>
      </w:r>
    </w:p>
    <w:p>
      <w:pPr>
        <w:spacing w:after="0" w:line="10" w:lineRule="exact"/>
        <w:rPr>
          <w:sz w:val="20"/>
          <w:szCs w:val="20"/>
          <w:color w:val="auto"/>
        </w:rPr>
      </w:pPr>
    </w:p>
    <w:p>
      <w:pPr>
        <w:jc w:val="both"/>
        <w:ind w:left="960" w:right="20"/>
        <w:spacing w:after="0" w:line="276" w:lineRule="auto"/>
        <w:rPr>
          <w:sz w:val="20"/>
          <w:szCs w:val="20"/>
          <w:color w:val="auto"/>
        </w:rPr>
      </w:pPr>
      <w:r>
        <w:rPr>
          <w:rFonts w:ascii="Arial" w:cs="Arial" w:eastAsia="Arial" w:hAnsi="Arial"/>
          <w:sz w:val="16"/>
          <w:szCs w:val="16"/>
          <w:color w:val="auto"/>
        </w:rPr>
        <w:t>2021, among LegalZoom.com,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the Subsidiary Guarantors (this and each other capitalized term used herein without definition having the meaning assigned to such term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the several banks, financial institutions, institutional investors and other entities from time to time parties to this Agreement as lenders or holders of the Loans and issuers of Letters of Credit, and JPMorgan Chase Bank, N.A., as Administrative Agent.</w:t>
      </w:r>
    </w:p>
    <w:p>
      <w:pPr>
        <w:spacing w:after="0" w:line="166"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W I T N E S E T H</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WHEREAS, the Borrower has requested that, immediately upon the satisfaction in full of the conditions precedent set forth herein, the Lenders make available to the Borrower a $150,000,000 revolving credit facility for the making of Revolving Loans and the issuance of Letters of Credit from time to time.</w:t>
      </w:r>
    </w:p>
    <w:p>
      <w:pPr>
        <w:spacing w:after="0" w:line="198"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the parties hereto covenant and agree as follows:</w:t>
      </w:r>
    </w:p>
    <w:p>
      <w:pPr>
        <w:spacing w:after="0" w:line="2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p>
    <w:p>
      <w:pPr>
        <w:spacing w:after="0" w:line="106" w:lineRule="exact"/>
        <w:rPr>
          <w:sz w:val="20"/>
          <w:szCs w:val="20"/>
          <w:color w:val="auto"/>
        </w:rPr>
      </w:pPr>
    </w:p>
    <w:p>
      <w:pPr>
        <w:ind w:left="960" w:right="400" w:firstLine="602"/>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As used in this Agreement (including the recitals hereof), the terms listed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have the respective 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4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 Agreement</w:t>
      </w:r>
      <w:r>
        <w:rPr>
          <w:rFonts w:ascii="Arial" w:cs="Arial" w:eastAsia="Arial" w:hAnsi="Arial"/>
          <w:sz w:val="18"/>
          <w:szCs w:val="18"/>
          <w:color w:val="auto"/>
        </w:rPr>
        <w:t xml:space="preserve">” shall mean an agreement, in form and substance reasonably satisfactory to the Administrative Agent, pursuant to which a Wholly Owned Restricted Subsidiary shall become a Co-Borrower in accordance with </w:t>
      </w:r>
      <w:r>
        <w:rPr>
          <w:rFonts w:ascii="Arial" w:cs="Arial" w:eastAsia="Arial" w:hAnsi="Arial"/>
          <w:sz w:val="18"/>
          <w:szCs w:val="18"/>
          <w:u w:val="single" w:color="auto"/>
          <w:color w:val="auto"/>
        </w:rPr>
        <w:t>Section 13.26</w:t>
      </w:r>
      <w:r>
        <w:rPr>
          <w:rFonts w:ascii="Arial" w:cs="Arial" w:eastAsia="Arial" w:hAnsi="Arial"/>
          <w:sz w:val="18"/>
          <w:szCs w:val="18"/>
          <w:color w:val="auto"/>
        </w:rPr>
        <w:t>.</w:t>
      </w:r>
    </w:p>
    <w:p>
      <w:pPr>
        <w:spacing w:after="0" w:line="261" w:lineRule="exact"/>
        <w:rPr>
          <w:sz w:val="20"/>
          <w:szCs w:val="20"/>
          <w:color w:val="auto"/>
        </w:rPr>
      </w:pPr>
    </w:p>
    <w:p>
      <w:pPr>
        <w:jc w:val="both"/>
        <w:ind w:left="96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shall mean, at any time, any bank or other financial institution that agrees to provide any portion of any (a) New Revolving Loan Commitment, Revolving Loan Commitment Increase or Incremental Term Loans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(b) Credit Agreement Refinancing Debt pursuant to a Refinancing Amendment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Administrative Agent and, in respect of any New Revolving Loan Commitment, Revolving Loan Commitment Increase or Other Revolving Loan, the Issuing Lenders and the Swingline Lender shall have consented (such consent not to be unreasonably withheld or delayed) to such Additional Lender if such consent would be required under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for an assignment of Loans or Revolving Loan Commitments, as applicable, to such Additional Lender and (ii) the Borrower shall have consented to such Additional Lender.</w:t>
      </w:r>
    </w:p>
    <w:p>
      <w:pPr>
        <w:spacing w:after="0" w:line="196"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Security Documents</w:t>
      </w:r>
      <w:r>
        <w:rPr>
          <w:rFonts w:ascii="Arial" w:cs="Arial" w:eastAsia="Arial" w:hAnsi="Arial"/>
          <w:sz w:val="18"/>
          <w:szCs w:val="18"/>
          <w:color w:val="auto"/>
        </w:rPr>
        <w:t xml:space="preserve">” shall mean the documents granting to the Collateral Agent for the benefit of the Secured Parties security interests in such assets of the Borrower and the other Loan Parties as are not covered by the Security Documents delivered on the Closing Date or after the Closing Date pursuant to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6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Adjustable Applicable Margins</w:t>
      </w:r>
      <w:r>
        <w:rPr>
          <w:rFonts w:ascii="Arial" w:cs="Arial" w:eastAsia="Arial" w:hAnsi="Arial"/>
          <w:sz w:val="18"/>
          <w:szCs w:val="18"/>
          <w:color w:val="auto"/>
        </w:rPr>
        <w:t>” shall have the meaning provided in the definition of “Applicable Margin.”</w:t>
      </w:r>
    </w:p>
    <w:p>
      <w:pPr>
        <w:spacing w:after="0" w:line="232" w:lineRule="exact"/>
        <w:rPr>
          <w:sz w:val="20"/>
          <w:szCs w:val="20"/>
          <w:color w:val="auto"/>
        </w:rPr>
      </w:pPr>
    </w:p>
    <w:p>
      <w:pPr>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shall mean JPMorgan Chase Bank, N.A. or any other affiliate or branch of JPMorgan Chase Bank, N.A. designated by JPMorgan Chase Bank, N.A. to act in such capacity,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360" w:top="1326" w:right="819" w:bottom="1440" w:gutter="0" w:footer="0" w:header="0"/>
        </w:sectPr>
      </w:pPr>
    </w:p>
    <w:bookmarkStart w:id="85" w:name="page86"/>
    <w:bookmarkEnd w:id="85"/>
    <w:p>
      <w:pPr>
        <w:ind w:left="960"/>
        <w:spacing w:after="0" w:line="263" w:lineRule="auto"/>
        <w:rPr>
          <w:sz w:val="20"/>
          <w:szCs w:val="20"/>
          <w:color w:val="auto"/>
        </w:rPr>
      </w:pPr>
      <w:r>
        <w:rPr>
          <w:rFonts w:ascii="Arial" w:cs="Arial" w:eastAsia="Arial" w:hAnsi="Arial"/>
          <w:sz w:val="18"/>
          <w:szCs w:val="18"/>
          <w:color w:val="auto"/>
        </w:rPr>
        <w:t xml:space="preserve">capacity as Administrative Agent for the Lenders hereunder and under the other Loan Documents, and shall include any successor to the Administrative Agent appointed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261" w:lineRule="exact"/>
        <w:rPr>
          <w:sz w:val="20"/>
          <w:szCs w:val="20"/>
          <w:color w:val="auto"/>
        </w:rPr>
      </w:pPr>
    </w:p>
    <w:p>
      <w:pPr>
        <w:ind w:left="960" w:right="5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shall mean an Administrative Questionnaire in substantially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or any other form approved by the Administrative Agent.</w:t>
      </w:r>
    </w:p>
    <w:p>
      <w:pPr>
        <w:spacing w:after="0" w:line="24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shall mean (a) any EEA Financial Institution or (b) any UK Financial Institution.</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Rate</w:t>
      </w:r>
      <w:r>
        <w:rPr>
          <w:rFonts w:ascii="Arial" w:cs="Arial" w:eastAsia="Arial" w:hAnsi="Arial"/>
          <w:sz w:val="18"/>
          <w:szCs w:val="18"/>
          <w:color w:val="auto"/>
        </w:rPr>
        <w:t xml:space="preserve">” shall the meaning assigned to such term in </w:t>
      </w:r>
      <w:r>
        <w:rPr>
          <w:rFonts w:ascii="Arial" w:cs="Arial" w:eastAsia="Arial" w:hAnsi="Arial"/>
          <w:sz w:val="18"/>
          <w:szCs w:val="18"/>
          <w:u w:val="single" w:color="auto"/>
          <w:color w:val="auto"/>
        </w:rPr>
        <w:t>Section 2.11(a)(i)(A)</w:t>
      </w:r>
      <w:r>
        <w:rPr>
          <w:rFonts w:ascii="Arial" w:cs="Arial" w:eastAsia="Arial" w:hAnsi="Arial"/>
          <w:sz w:val="18"/>
          <w:szCs w:val="18"/>
          <w:color w:val="auto"/>
        </w:rPr>
        <w:t>.</w:t>
      </w:r>
    </w:p>
    <w:p>
      <w:pPr>
        <w:spacing w:after="0" w:line="295" w:lineRule="exact"/>
        <w:rPr>
          <w:sz w:val="20"/>
          <w:szCs w:val="20"/>
          <w:color w:val="auto"/>
        </w:rPr>
      </w:pPr>
    </w:p>
    <w:p>
      <w:pPr>
        <w:jc w:val="both"/>
        <w:ind w:left="960" w:right="28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specified Person, any other Person directly or indirectly controlling or controlled by or under direct or indirect common control with such specified Person. For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used with respect to any Person, shall mean the possession, directly or indirectly, of the power to direct or cause the direction of the management or policies of such Person, whether through the ownership of voting securities, by agreement or otherwise. For purposes of this Agreement and the other Loan Documents, Jefferies LLC and its Affiliates shall be deemed to be Affiliates of Jefferies Finance LLC and its Affiliates.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13.3(b)(iii)</w:t>
      </w:r>
      <w:r>
        <w:rPr>
          <w:rFonts w:ascii="Arial" w:cs="Arial" w:eastAsia="Arial" w:hAnsi="Arial"/>
          <w:sz w:val="18"/>
          <w:szCs w:val="18"/>
          <w:color w:val="auto"/>
        </w:rPr>
        <w:t>.</w:t>
      </w:r>
    </w:p>
    <w:p>
      <w:pPr>
        <w:spacing w:after="0" w:line="295" w:lineRule="exact"/>
        <w:rPr>
          <w:sz w:val="20"/>
          <w:szCs w:val="20"/>
          <w:color w:val="auto"/>
        </w:rPr>
      </w:pPr>
    </w:p>
    <w:p>
      <w:pPr>
        <w:jc w:val="both"/>
        <w:ind w:left="960" w:right="3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Amended and Restated Credit and Guaranty Agreement, dated as of the Closing Date (as amended, restated, supplemented or otherwise modified from time to time).</w:t>
      </w:r>
    </w:p>
    <w:p>
      <w:pPr>
        <w:spacing w:after="0" w:line="186" w:lineRule="exact"/>
        <w:rPr>
          <w:sz w:val="20"/>
          <w:szCs w:val="20"/>
          <w:color w:val="auto"/>
        </w:rPr>
      </w:pPr>
    </w:p>
    <w:p>
      <w:pPr>
        <w:jc w:val="both"/>
        <w:ind w:left="960" w:right="30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w:t>
      </w:r>
      <w:r>
        <w:rPr>
          <w:rFonts w:ascii="Arial" w:cs="Arial" w:eastAsia="Arial" w:hAnsi="Arial"/>
          <w:sz w:val="18"/>
          <w:szCs w:val="18"/>
          <w:color w:val="auto"/>
        </w:rPr>
        <w:t>” shall mean (i) in respect of Revolving Loans, Euros, Pounds Sterling and any other freely transferable currency reasonably acceptable to the Revolving Lenders and the Administrative Agent and (ii) in respect of Letters of Credit, Euros, Pounds Sterling and any other freely transferable currency reasonably acceptable to the Revolving Lenders, the Administrative Agent and the applicable Issuing Lenders.</w:t>
      </w:r>
    </w:p>
    <w:p>
      <w:pPr>
        <w:spacing w:after="0" w:line="193" w:lineRule="exact"/>
        <w:rPr>
          <w:sz w:val="20"/>
          <w:szCs w:val="20"/>
          <w:color w:val="auto"/>
        </w:rPr>
      </w:pPr>
    </w:p>
    <w:p>
      <w:pPr>
        <w:jc w:val="both"/>
        <w:ind w:left="960" w:right="30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Equivalent</w:t>
      </w:r>
      <w:r>
        <w:rPr>
          <w:rFonts w:ascii="Arial" w:cs="Arial" w:eastAsia="Arial" w:hAnsi="Arial"/>
          <w:sz w:val="18"/>
          <w:szCs w:val="18"/>
          <w:color w:val="auto"/>
        </w:rPr>
        <w:t>” shall mean, at any time for the determination thereof, the amount of the applicable Alternate Currency as determined by the Administrative Agent (or the applicable Issuing Lender, as the case may be) based on the Spot Currency Exchange Rate (determined in respect of the most recent Revaluation Date).</w:t>
      </w:r>
    </w:p>
    <w:p>
      <w:pPr>
        <w:spacing w:after="0" w:line="186" w:lineRule="exact"/>
        <w:rPr>
          <w:sz w:val="20"/>
          <w:szCs w:val="20"/>
          <w:color w:val="auto"/>
        </w:rPr>
      </w:pPr>
    </w:p>
    <w:p>
      <w:pPr>
        <w:jc w:val="both"/>
        <w:ind w:left="960" w:right="3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Letter of Credit Outstandings</w:t>
      </w:r>
      <w:r>
        <w:rPr>
          <w:rFonts w:ascii="Arial" w:cs="Arial" w:eastAsia="Arial" w:hAnsi="Arial"/>
          <w:sz w:val="18"/>
          <w:szCs w:val="18"/>
          <w:color w:val="auto"/>
        </w:rPr>
        <w:t>” shall mean all Letter of Credit Outstandings in respect of Letters of Credit denominated in an Alternate Currency.</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Loan</w:t>
      </w:r>
      <w:r>
        <w:rPr>
          <w:rFonts w:ascii="Arial" w:cs="Arial" w:eastAsia="Arial" w:hAnsi="Arial"/>
          <w:sz w:val="18"/>
          <w:szCs w:val="18"/>
          <w:color w:val="auto"/>
        </w:rPr>
        <w:t>” shall mean a Loan denominated in an Alternate Currency.</w:t>
      </w:r>
    </w:p>
    <w:p>
      <w:pPr>
        <w:spacing w:after="0" w:line="307" w:lineRule="exact"/>
        <w:rPr>
          <w:sz w:val="20"/>
          <w:szCs w:val="20"/>
          <w:color w:val="auto"/>
        </w:rPr>
      </w:pPr>
    </w:p>
    <w:p>
      <w:pPr>
        <w:jc w:val="both"/>
        <w:ind w:left="960" w:right="28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Currency Rate</w:t>
      </w:r>
      <w:r>
        <w:rPr>
          <w:rFonts w:ascii="Arial" w:cs="Arial" w:eastAsia="Arial" w:hAnsi="Arial"/>
          <w:sz w:val="17"/>
          <w:szCs w:val="17"/>
          <w:color w:val="auto"/>
        </w:rPr>
        <w:t>” shall mean (a) in respect of Euro Denominated Loans, the EURIBOR Rate, (b) in respect of Loans denominated in Pounds Sterling, the SONIA Rate and (c) in respect of Loans denominated in an Alternate Currency other than Dollars, Euros and Pounds Sterling, a rate agreed to by the Borrower, the Administrative Agent and the Revolving Lenders at the time that such Alternate Currency is approved in accordance with the definition thereof.</w:t>
      </w:r>
    </w:p>
    <w:p>
      <w:pPr>
        <w:spacing w:after="0" w:line="175" w:lineRule="exact"/>
        <w:rPr>
          <w:sz w:val="20"/>
          <w:szCs w:val="20"/>
          <w:color w:val="auto"/>
        </w:rPr>
      </w:pPr>
    </w:p>
    <w:p>
      <w:pPr>
        <w:jc w:val="both"/>
        <w:ind w:left="960" w:right="3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mean all laws, rules, and regulations of any jurisdiction applicable to the Borrower and its Restricted Subsidiaries from time to time concerning or relating to bribery or corruption.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360" w:top="1326" w:right="539" w:bottom="1440" w:gutter="0" w:footer="0" w:header="0"/>
        </w:sectPr>
      </w:pPr>
    </w:p>
    <w:bookmarkStart w:id="86" w:name="page87"/>
    <w:bookmarkEnd w:id="86"/>
    <w:p>
      <w:pPr>
        <w:ind w:left="960" w:right="20" w:firstLine="60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shall mean, subject to the next three (3) paragraphs of this definition, (I) initially, a percentage </w:t>
      </w:r>
      <w:r>
        <w:rPr>
          <w:rFonts w:ascii="Arial" w:cs="Arial" w:eastAsia="Arial" w:hAnsi="Arial"/>
          <w:sz w:val="16"/>
          <w:szCs w:val="16"/>
          <w:u w:val="single" w:color="auto"/>
          <w:color w:val="auto"/>
        </w:rPr>
        <w:t>per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annum</w:t>
      </w:r>
      <w:r>
        <w:rPr>
          <w:rFonts w:ascii="Arial" w:cs="Arial" w:eastAsia="Arial" w:hAnsi="Arial"/>
          <w:sz w:val="16"/>
          <w:szCs w:val="16"/>
          <w:color w:val="auto"/>
        </w:rPr>
        <w:t xml:space="preserve"> equal to, (i) in the case of Revolving Loans maintained as (A) Base Rate Loans, 1.00%, (B) Fixed Rate Loans, 2.00%, and</w:t>
      </w:r>
    </w:p>
    <w:p>
      <w:pPr>
        <w:jc w:val="both"/>
        <w:ind w:left="960" w:right="20" w:firstLine="3"/>
        <w:spacing w:after="0" w:line="251" w:lineRule="auto"/>
        <w:tabs>
          <w:tab w:leader="none" w:pos="12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SONIA Rate Loans, 2.0326%, and (ii) in the case of case of Swingline Loans, 1.00%, (II) with respect to Incremental Term Loans and/or Incremental Revolving Loans, the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specified in the Incremental Amendment establishing Incremental Term Loan Commitments and/or Incremental Revolving Loan Commitments in respect of such Incremental Term Loans and/or Incremental Revolving Loans, as the case may be, (III) with respect to Other Term Loans or Other Revolving Loans, the rate </w:t>
      </w:r>
      <w:r>
        <w:rPr>
          <w:rFonts w:ascii="Arial" w:cs="Arial" w:eastAsia="Arial" w:hAnsi="Arial"/>
          <w:sz w:val="17"/>
          <w:szCs w:val="17"/>
          <w:u w:val="single" w:color="auto"/>
          <w:color w:val="auto"/>
        </w:rPr>
        <w:t>per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annum</w:t>
      </w:r>
      <w:r>
        <w:rPr>
          <w:rFonts w:ascii="Arial" w:cs="Arial" w:eastAsia="Arial" w:hAnsi="Arial"/>
          <w:sz w:val="17"/>
          <w:szCs w:val="17"/>
          <w:color w:val="auto"/>
        </w:rPr>
        <w:t xml:space="preserve"> specified in the Refinancing Amendment establishing such Loans and (IV) with respect to any Term Loan or Revolving Loan modified pursuant to a Loan Modification Agreement, as set forth in the Loan Modification Agreement relating to such Loan.</w:t>
      </w:r>
    </w:p>
    <w:p>
      <w:pPr>
        <w:spacing w:after="0" w:line="199" w:lineRule="exact"/>
        <w:rPr>
          <w:sz w:val="20"/>
          <w:szCs w:val="20"/>
          <w:color w:val="auto"/>
        </w:rPr>
      </w:pPr>
    </w:p>
    <w:p>
      <w:pPr>
        <w:jc w:val="both"/>
        <w:ind w:left="960" w:right="20" w:firstLine="2031"/>
        <w:spacing w:after="0" w:line="258" w:lineRule="auto"/>
        <w:rPr>
          <w:sz w:val="20"/>
          <w:szCs w:val="20"/>
          <w:color w:val="auto"/>
        </w:rPr>
      </w:pPr>
      <w:r>
        <w:rPr>
          <w:rFonts w:ascii="Arial" w:cs="Arial" w:eastAsia="Arial" w:hAnsi="Arial"/>
          <w:sz w:val="17"/>
          <w:szCs w:val="17"/>
          <w:color w:val="auto"/>
        </w:rPr>
        <w:t>From and after each day of delivery of any certificate delivered in accordance with the first sentence of the following paragraph indicating an entitlement to a different margin than that described in the immediately preceding sentence for Revolving Loans (each, a “</w:t>
      </w:r>
      <w:r>
        <w:rPr>
          <w:rFonts w:ascii="Arial" w:cs="Arial" w:eastAsia="Arial" w:hAnsi="Arial"/>
          <w:sz w:val="17"/>
          <w:szCs w:val="17"/>
          <w:u w:val="single" w:color="auto"/>
          <w:color w:val="auto"/>
        </w:rPr>
        <w:t>Start Date</w:t>
      </w:r>
      <w:r>
        <w:rPr>
          <w:rFonts w:ascii="Arial" w:cs="Arial" w:eastAsia="Arial" w:hAnsi="Arial"/>
          <w:sz w:val="17"/>
          <w:szCs w:val="17"/>
          <w:color w:val="auto"/>
        </w:rPr>
        <w:t>”) to and including the applicable End Date described below, the Applicable Margin for Revolving Loans (hereinafter, the “</w:t>
      </w:r>
      <w:r>
        <w:rPr>
          <w:rFonts w:ascii="Arial" w:cs="Arial" w:eastAsia="Arial" w:hAnsi="Arial"/>
          <w:sz w:val="17"/>
          <w:szCs w:val="17"/>
          <w:u w:val="single" w:color="auto"/>
          <w:color w:val="auto"/>
        </w:rPr>
        <w:t>Adjustable Applicable Margins</w:t>
      </w:r>
      <w:r>
        <w:rPr>
          <w:rFonts w:ascii="Arial" w:cs="Arial" w:eastAsia="Arial" w:hAnsi="Arial"/>
          <w:sz w:val="17"/>
          <w:szCs w:val="17"/>
          <w:color w:val="auto"/>
        </w:rPr>
        <w:t>”) shall be those set forth below opposite the Total Net First Lien Leverage Ratio indicated to have been achieved in any certificate delivered as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-592455</wp:posOffset>
            </wp:positionV>
            <wp:extent cx="9074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2170" w:type="dxa"/>
        <w:tblCellMar>
          <w:top w:w="0" w:type="dxa"/>
          <w:left w:w="0" w:type="dxa"/>
          <w:bottom w:w="0" w:type="dxa"/>
          <w:right w:w="0" w:type="dxa"/>
        </w:tblCellMar>
      </w:tblPr>
      <w:tr>
        <w:trPr>
          <w:trHeight w:val="226"/>
        </w:trPr>
        <w:tc>
          <w:tcPr>
            <w:tcW w:w="1540" w:type="dxa"/>
            <w:vAlign w:val="bottom"/>
            <w:tcBorders>
              <w:top w:val="single" w:sz="8" w:color="auto"/>
              <w:left w:val="single" w:sz="8" w:color="auto"/>
            </w:tcBorders>
          </w:tcPr>
          <w:p>
            <w:pPr>
              <w:jc w:val="center"/>
              <w:ind w:right="28"/>
              <w:spacing w:after="0"/>
              <w:rPr>
                <w:sz w:val="20"/>
                <w:szCs w:val="20"/>
                <w:color w:val="auto"/>
              </w:rPr>
            </w:pPr>
            <w:r>
              <w:rPr>
                <w:rFonts w:ascii="Arial" w:cs="Arial" w:eastAsia="Arial" w:hAnsi="Arial"/>
                <w:sz w:val="18"/>
                <w:szCs w:val="18"/>
                <w:color w:val="auto"/>
                <w:w w:val="94"/>
              </w:rPr>
              <w:t>Total</w:t>
            </w:r>
          </w:p>
        </w:tc>
        <w:tc>
          <w:tcPr>
            <w:tcW w:w="1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6"/>
              </w:rPr>
              <w:t>Revolving</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Revolving</w:t>
            </w:r>
          </w:p>
        </w:tc>
        <w:tc>
          <w:tcPr>
            <w:tcW w:w="1500" w:type="dxa"/>
            <w:vAlign w:val="bottom"/>
            <w:tcBorders>
              <w:top w:val="single" w:sz="8" w:color="auto"/>
              <w:right w:val="single" w:sz="8" w:color="auto"/>
            </w:tcBorders>
          </w:tcPr>
          <w:p>
            <w:pPr>
              <w:jc w:val="center"/>
              <w:ind w:left="28"/>
              <w:spacing w:after="0"/>
              <w:rPr>
                <w:sz w:val="20"/>
                <w:szCs w:val="20"/>
                <w:color w:val="auto"/>
              </w:rPr>
            </w:pPr>
            <w:r>
              <w:rPr>
                <w:rFonts w:ascii="Arial" w:cs="Arial" w:eastAsia="Arial" w:hAnsi="Arial"/>
                <w:sz w:val="18"/>
                <w:szCs w:val="18"/>
                <w:color w:val="auto"/>
                <w:w w:val="98"/>
              </w:rPr>
              <w:t>Revolving</w:t>
            </w: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jc w:val="center"/>
              <w:ind w:right="28"/>
              <w:spacing w:after="0" w:line="201" w:lineRule="exact"/>
              <w:rPr>
                <w:sz w:val="20"/>
                <w:szCs w:val="20"/>
                <w:color w:val="auto"/>
              </w:rPr>
            </w:pPr>
            <w:r>
              <w:rPr>
                <w:rFonts w:ascii="Arial" w:cs="Arial" w:eastAsia="Arial" w:hAnsi="Arial"/>
                <w:sz w:val="18"/>
                <w:szCs w:val="18"/>
                <w:color w:val="auto"/>
                <w:w w:val="92"/>
              </w:rPr>
              <w:t>Net</w:t>
            </w:r>
          </w:p>
        </w:tc>
        <w:tc>
          <w:tcPr>
            <w:tcW w:w="11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Loans:</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1"/>
              </w:rPr>
              <w:t>Loans: Base</w:t>
            </w:r>
          </w:p>
        </w:tc>
        <w:tc>
          <w:tcPr>
            <w:tcW w:w="1500" w:type="dxa"/>
            <w:vAlign w:val="bottom"/>
            <w:tcBorders>
              <w:right w:val="single" w:sz="8" w:color="auto"/>
            </w:tcBorders>
          </w:tcPr>
          <w:p>
            <w:pPr>
              <w:jc w:val="center"/>
              <w:ind w:left="28"/>
              <w:spacing w:after="0" w:line="201" w:lineRule="exact"/>
              <w:rPr>
                <w:sz w:val="20"/>
                <w:szCs w:val="20"/>
                <w:color w:val="auto"/>
              </w:rPr>
            </w:pPr>
            <w:r>
              <w:rPr>
                <w:rFonts w:ascii="Arial" w:cs="Arial" w:eastAsia="Arial" w:hAnsi="Arial"/>
                <w:sz w:val="18"/>
                <w:szCs w:val="18"/>
                <w:color w:val="auto"/>
                <w:w w:val="92"/>
              </w:rPr>
              <w:t>Loans:</w:t>
            </w: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jc w:val="center"/>
              <w:ind w:right="28"/>
              <w:spacing w:after="0" w:line="201" w:lineRule="exact"/>
              <w:rPr>
                <w:sz w:val="20"/>
                <w:szCs w:val="20"/>
                <w:color w:val="auto"/>
              </w:rPr>
            </w:pPr>
            <w:r>
              <w:rPr>
                <w:rFonts w:ascii="Arial" w:cs="Arial" w:eastAsia="Arial" w:hAnsi="Arial"/>
                <w:sz w:val="18"/>
                <w:szCs w:val="18"/>
                <w:color w:val="auto"/>
                <w:w w:val="97"/>
              </w:rPr>
              <w:t>First</w:t>
            </w:r>
          </w:p>
        </w:tc>
        <w:tc>
          <w:tcPr>
            <w:tcW w:w="11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Fixed Rate</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Rate Margin</w:t>
            </w:r>
          </w:p>
        </w:tc>
        <w:tc>
          <w:tcPr>
            <w:tcW w:w="1500" w:type="dxa"/>
            <w:vAlign w:val="bottom"/>
            <w:tcBorders>
              <w:right w:val="single" w:sz="8" w:color="auto"/>
            </w:tcBorders>
          </w:tcPr>
          <w:p>
            <w:pPr>
              <w:jc w:val="center"/>
              <w:ind w:left="28"/>
              <w:spacing w:after="0" w:line="201" w:lineRule="exact"/>
              <w:rPr>
                <w:sz w:val="20"/>
                <w:szCs w:val="20"/>
                <w:color w:val="auto"/>
              </w:rPr>
            </w:pPr>
            <w:r>
              <w:rPr>
                <w:rFonts w:ascii="Arial" w:cs="Arial" w:eastAsia="Arial" w:hAnsi="Arial"/>
                <w:sz w:val="18"/>
                <w:szCs w:val="18"/>
                <w:color w:val="auto"/>
                <w:w w:val="94"/>
              </w:rPr>
              <w:t>SONIA Rate</w:t>
            </w:r>
          </w:p>
        </w:tc>
        <w:tc>
          <w:tcPr>
            <w:tcW w:w="0" w:type="dxa"/>
            <w:vAlign w:val="bottom"/>
          </w:tcPr>
          <w:p>
            <w:pPr>
              <w:spacing w:after="0"/>
              <w:rPr>
                <w:sz w:val="1"/>
                <w:szCs w:val="1"/>
                <w:color w:val="auto"/>
              </w:rPr>
            </w:pPr>
          </w:p>
        </w:tc>
      </w:tr>
      <w:tr>
        <w:trPr>
          <w:trHeight w:val="221"/>
        </w:trPr>
        <w:tc>
          <w:tcPr>
            <w:tcW w:w="1540" w:type="dxa"/>
            <w:vAlign w:val="bottom"/>
            <w:tcBorders>
              <w:left w:val="single" w:sz="8" w:color="auto"/>
            </w:tcBorders>
          </w:tcPr>
          <w:p>
            <w:pPr>
              <w:jc w:val="center"/>
              <w:ind w:right="28"/>
              <w:spacing w:after="0"/>
              <w:rPr>
                <w:sz w:val="20"/>
                <w:szCs w:val="20"/>
                <w:color w:val="auto"/>
              </w:rPr>
            </w:pPr>
            <w:r>
              <w:rPr>
                <w:rFonts w:ascii="Arial" w:cs="Arial" w:eastAsia="Arial" w:hAnsi="Arial"/>
                <w:sz w:val="18"/>
                <w:szCs w:val="18"/>
                <w:color w:val="auto"/>
                <w:w w:val="99"/>
              </w:rPr>
              <w:t>Lien</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Margin</w:t>
            </w:r>
          </w:p>
        </w:tc>
        <w:tc>
          <w:tcPr>
            <w:tcW w:w="1140" w:type="dxa"/>
            <w:vAlign w:val="bottom"/>
          </w:tcPr>
          <w:p>
            <w:pPr>
              <w:spacing w:after="0"/>
              <w:rPr>
                <w:sz w:val="19"/>
                <w:szCs w:val="19"/>
                <w:color w:val="auto"/>
              </w:rPr>
            </w:pPr>
          </w:p>
        </w:tc>
        <w:tc>
          <w:tcPr>
            <w:tcW w:w="1500" w:type="dxa"/>
            <w:vAlign w:val="bottom"/>
            <w:tcBorders>
              <w:right w:val="single" w:sz="8" w:color="auto"/>
            </w:tcBorders>
          </w:tcPr>
          <w:p>
            <w:pPr>
              <w:jc w:val="center"/>
              <w:ind w:left="28"/>
              <w:spacing w:after="0"/>
              <w:rPr>
                <w:sz w:val="20"/>
                <w:szCs w:val="20"/>
                <w:color w:val="auto"/>
              </w:rPr>
            </w:pPr>
            <w:r>
              <w:rPr>
                <w:rFonts w:ascii="Arial" w:cs="Arial" w:eastAsia="Arial" w:hAnsi="Arial"/>
                <w:sz w:val="18"/>
                <w:szCs w:val="18"/>
                <w:color w:val="auto"/>
                <w:w w:val="98"/>
              </w:rPr>
              <w:t>Margin</w:t>
            </w: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jc w:val="center"/>
              <w:ind w:right="28"/>
              <w:spacing w:after="0" w:line="201" w:lineRule="exact"/>
              <w:rPr>
                <w:sz w:val="20"/>
                <w:szCs w:val="20"/>
                <w:color w:val="auto"/>
              </w:rPr>
            </w:pPr>
            <w:r>
              <w:rPr>
                <w:rFonts w:ascii="Arial" w:cs="Arial" w:eastAsia="Arial" w:hAnsi="Arial"/>
                <w:sz w:val="18"/>
                <w:szCs w:val="18"/>
                <w:color w:val="auto"/>
                <w:w w:val="93"/>
              </w:rPr>
              <w:t>Leverage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Borders>
              <w:left w:val="single" w:sz="8" w:color="auto"/>
            </w:tcBorders>
          </w:tcPr>
          <w:p>
            <w:pPr>
              <w:jc w:val="center"/>
              <w:ind w:right="48"/>
              <w:spacing w:after="0"/>
              <w:rPr>
                <w:sz w:val="20"/>
                <w:szCs w:val="20"/>
                <w:color w:val="auto"/>
              </w:rPr>
            </w:pPr>
            <w:r>
              <w:rPr>
                <w:rFonts w:ascii="Arial" w:cs="Arial" w:eastAsia="Arial" w:hAnsi="Arial"/>
                <w:sz w:val="18"/>
                <w:szCs w:val="18"/>
                <w:color w:val="auto"/>
                <w:w w:val="95"/>
              </w:rPr>
              <w:t>Ratio</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15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Greater than</w:t>
            </w:r>
          </w:p>
        </w:tc>
        <w:tc>
          <w:tcPr>
            <w:tcW w:w="980" w:type="dxa"/>
            <w:vAlign w:val="bottom"/>
          </w:tcPr>
          <w:p>
            <w:pPr>
              <w:jc w:val="right"/>
              <w:ind w:right="108"/>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50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8"/>
                <w:szCs w:val="18"/>
                <w:color w:val="auto"/>
                <w:w w:val="92"/>
              </w:rPr>
              <w:t>2.0326%</w:t>
            </w:r>
          </w:p>
        </w:tc>
        <w:tc>
          <w:tcPr>
            <w:tcW w:w="0" w:type="dxa"/>
            <w:vAlign w:val="bottom"/>
          </w:tcPr>
          <w:p>
            <w:pPr>
              <w:spacing w:after="0"/>
              <w:rPr>
                <w:sz w:val="1"/>
                <w:szCs w:val="1"/>
                <w:color w:val="auto"/>
              </w:rPr>
            </w:pPr>
          </w:p>
        </w:tc>
      </w:tr>
      <w:tr>
        <w:trPr>
          <w:trHeight w:val="121"/>
        </w:trPr>
        <w:tc>
          <w:tcPr>
            <w:tcW w:w="1540" w:type="dxa"/>
            <w:vAlign w:val="bottom"/>
            <w:tcBorders>
              <w:left w:val="single" w:sz="8" w:color="auto"/>
            </w:tcBorders>
            <w:vMerge w:val="restart"/>
          </w:tcPr>
          <w:p>
            <w:pPr>
              <w:ind w:left="140"/>
              <w:spacing w:after="0" w:line="201" w:lineRule="exact"/>
              <w:rPr>
                <w:sz w:val="20"/>
                <w:szCs w:val="20"/>
                <w:color w:val="auto"/>
              </w:rPr>
            </w:pPr>
            <w:r>
              <w:rPr>
                <w:rFonts w:ascii="Arial" w:cs="Arial" w:eastAsia="Arial" w:hAnsi="Arial"/>
                <w:sz w:val="18"/>
                <w:szCs w:val="18"/>
                <w:color w:val="auto"/>
              </w:rPr>
              <w:t>3.50</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40" w:type="dxa"/>
            <w:vAlign w:val="bottom"/>
            <w:tcBorders>
              <w:lef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to 1.00</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54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Greater than</w:t>
            </w:r>
          </w:p>
        </w:tc>
        <w:tc>
          <w:tcPr>
            <w:tcW w:w="980" w:type="dxa"/>
            <w:vAlign w:val="bottom"/>
          </w:tcPr>
          <w:p>
            <w:pPr>
              <w:jc w:val="right"/>
              <w:ind w:right="108"/>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3"/>
              </w:rPr>
              <w:t>0.75%</w:t>
            </w:r>
          </w:p>
        </w:tc>
        <w:tc>
          <w:tcPr>
            <w:tcW w:w="150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8"/>
                <w:szCs w:val="18"/>
                <w:color w:val="auto"/>
                <w:w w:val="92"/>
              </w:rPr>
              <w:t>1.7826%</w:t>
            </w:r>
          </w:p>
        </w:tc>
        <w:tc>
          <w:tcPr>
            <w:tcW w:w="0" w:type="dxa"/>
            <w:vAlign w:val="bottom"/>
          </w:tcPr>
          <w:p>
            <w:pPr>
              <w:spacing w:after="0"/>
              <w:rPr>
                <w:sz w:val="1"/>
                <w:szCs w:val="1"/>
                <w:color w:val="auto"/>
              </w:rPr>
            </w:pPr>
          </w:p>
        </w:tc>
      </w:tr>
      <w:tr>
        <w:trPr>
          <w:trHeight w:val="67"/>
        </w:trPr>
        <w:tc>
          <w:tcPr>
            <w:tcW w:w="1540" w:type="dxa"/>
            <w:vAlign w:val="bottom"/>
            <w:tcBorders>
              <w:lef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ind w:left="140"/>
              <w:spacing w:after="0" w:line="201" w:lineRule="exact"/>
              <w:rPr>
                <w:sz w:val="20"/>
                <w:szCs w:val="20"/>
                <w:color w:val="auto"/>
              </w:rPr>
            </w:pPr>
            <w:r>
              <w:rPr>
                <w:rFonts w:ascii="Arial" w:cs="Arial" w:eastAsia="Arial" w:hAnsi="Arial"/>
                <w:sz w:val="18"/>
                <w:szCs w:val="18"/>
                <w:color w:val="auto"/>
              </w:rPr>
              <w:t>2.50 to 1.00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ind w:left="140"/>
              <w:spacing w:after="0" w:line="201" w:lineRule="exact"/>
              <w:rPr>
                <w:sz w:val="20"/>
                <w:szCs w:val="20"/>
                <w:color w:val="auto"/>
              </w:rPr>
            </w:pPr>
            <w:r>
              <w:rPr>
                <w:rFonts w:ascii="Arial" w:cs="Arial" w:eastAsia="Arial" w:hAnsi="Arial"/>
                <w:sz w:val="18"/>
                <w:szCs w:val="18"/>
                <w:color w:val="auto"/>
              </w:rPr>
              <w:t>but less than or</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ind w:left="140"/>
              <w:spacing w:after="0" w:line="201" w:lineRule="exact"/>
              <w:rPr>
                <w:sz w:val="20"/>
                <w:szCs w:val="20"/>
                <w:color w:val="auto"/>
              </w:rPr>
            </w:pPr>
            <w:r>
              <w:rPr>
                <w:rFonts w:ascii="Arial" w:cs="Arial" w:eastAsia="Arial" w:hAnsi="Arial"/>
                <w:sz w:val="18"/>
                <w:szCs w:val="18"/>
                <w:color w:val="auto"/>
              </w:rPr>
              <w:t>equal to</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3.50 to 1.00</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54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Less than or</w:t>
            </w:r>
          </w:p>
        </w:tc>
        <w:tc>
          <w:tcPr>
            <w:tcW w:w="980" w:type="dxa"/>
            <w:vAlign w:val="bottom"/>
          </w:tcPr>
          <w:p>
            <w:pPr>
              <w:jc w:val="right"/>
              <w:ind w:right="108"/>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3"/>
              </w:rPr>
              <w:t>0.50%</w:t>
            </w:r>
          </w:p>
        </w:tc>
        <w:tc>
          <w:tcPr>
            <w:tcW w:w="150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8"/>
                <w:szCs w:val="18"/>
                <w:color w:val="auto"/>
                <w:w w:val="92"/>
              </w:rPr>
              <w:t>1.5326%</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540" w:type="dxa"/>
            <w:vAlign w:val="bottom"/>
            <w:tcBorders>
              <w:left w:val="single" w:sz="8" w:color="auto"/>
            </w:tcBorders>
          </w:tcPr>
          <w:p>
            <w:pPr>
              <w:ind w:left="140"/>
              <w:spacing w:after="0" w:line="201" w:lineRule="exact"/>
              <w:rPr>
                <w:sz w:val="20"/>
                <w:szCs w:val="20"/>
                <w:color w:val="auto"/>
              </w:rPr>
            </w:pPr>
            <w:r>
              <w:rPr>
                <w:rFonts w:ascii="Arial" w:cs="Arial" w:eastAsia="Arial" w:hAnsi="Arial"/>
                <w:sz w:val="18"/>
                <w:szCs w:val="18"/>
                <w:color w:val="auto"/>
              </w:rPr>
              <w:t>equal to 2.50 to</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54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-1767205</wp:posOffset>
            </wp:positionV>
            <wp:extent cx="788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960" w:firstLine="602"/>
        <w:spacing w:after="0" w:line="252" w:lineRule="auto"/>
        <w:rPr>
          <w:sz w:val="20"/>
          <w:szCs w:val="20"/>
          <w:color w:val="auto"/>
        </w:rPr>
      </w:pPr>
      <w:r>
        <w:rPr>
          <w:rFonts w:ascii="Arial" w:cs="Arial" w:eastAsia="Arial" w:hAnsi="Arial"/>
          <w:sz w:val="17"/>
          <w:szCs w:val="17"/>
          <w:color w:val="auto"/>
        </w:rPr>
        <w:t>The Total Net First Lien Leverage Ratio used in a determination of Adjustable Applicable Margins (commencing with the first full fiscal quarter ending after the Closing Date) shall be determined based on the delivery of a certificate of the Borrower (each, a “</w:t>
      </w:r>
      <w:r>
        <w:rPr>
          <w:rFonts w:ascii="Arial" w:cs="Arial" w:eastAsia="Arial" w:hAnsi="Arial"/>
          <w:sz w:val="17"/>
          <w:szCs w:val="17"/>
          <w:u w:val="single" w:color="auto"/>
          <w:color w:val="auto"/>
        </w:rPr>
        <w:t>Pricing Certificate</w:t>
      </w:r>
      <w:r>
        <w:rPr>
          <w:rFonts w:ascii="Arial" w:cs="Arial" w:eastAsia="Arial" w:hAnsi="Arial"/>
          <w:sz w:val="17"/>
          <w:szCs w:val="17"/>
          <w:color w:val="auto"/>
        </w:rPr>
        <w:t>”) by an Authorized Officer of the Borrower to the Administrative Agent (with a copy to be made available to each Lender by the Administrative Agent), not later than sixty (60) days after the last day of any fiscal quarter ending after the Closing Date, which certificate shall set forth the calculation of the Total Net First Lien Leverage Ratio as at the last day of the Test Period ended immediately prior to the relevant Start Date and the Adjustable Applicable Margins that shall be thereafter applicable (until the same are changed or cease to apply in accordance with the following sentences). The Adjustable Applicable Margins so determined shall apply, except as set forth in the succeeding sentence, from the relevant Start Date to the earliest of (i) the date on which the next Pricing Certificate is delivered to the Administrative Agent or (ii) the date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360" w:top="1326" w:right="819" w:bottom="1440" w:gutter="0" w:footer="0" w:header="0"/>
        </w:sectPr>
      </w:pPr>
    </w:p>
    <w:bookmarkStart w:id="87" w:name="page88"/>
    <w:bookmarkEnd w:id="87"/>
    <w:p>
      <w:pPr>
        <w:jc w:val="both"/>
        <w:ind w:left="960"/>
        <w:spacing w:after="0"/>
        <w:rPr>
          <w:sz w:val="20"/>
          <w:szCs w:val="20"/>
          <w:color w:val="auto"/>
        </w:rPr>
      </w:pPr>
      <w:r>
        <w:rPr>
          <w:rFonts w:ascii="Arial" w:cs="Arial" w:eastAsia="Arial" w:hAnsi="Arial"/>
          <w:sz w:val="18"/>
          <w:szCs w:val="18"/>
          <w:color w:val="auto"/>
        </w:rPr>
        <w:t>is not later than sixty (60) days after the end of each fiscal quarter ending after the Closing Date (the “</w:t>
      </w:r>
      <w:r>
        <w:rPr>
          <w:rFonts w:ascii="Arial" w:cs="Arial" w:eastAsia="Arial" w:hAnsi="Arial"/>
          <w:sz w:val="18"/>
          <w:szCs w:val="18"/>
          <w:u w:val="single" w:color="auto"/>
          <w:color w:val="auto"/>
        </w:rPr>
        <w:t>End Date</w:t>
      </w:r>
      <w:r>
        <w:rPr>
          <w:rFonts w:ascii="Arial" w:cs="Arial" w:eastAsia="Arial" w:hAnsi="Arial"/>
          <w:sz w:val="18"/>
          <w:szCs w:val="18"/>
          <w:color w:val="auto"/>
        </w:rPr>
        <w:t>”), at which time, if no Pricing Certificate has been delivered to the Administrative Agent indicating an entitlement to new Adjustable Applicable Margins (and thus commencing a new Start Date), the Adjustable Applicable Margins shall be those set forth in the first sentence of this definition (such Adjustable Applicable Margins as so determined, the “</w:t>
      </w:r>
      <w:r>
        <w:rPr>
          <w:rFonts w:ascii="Arial" w:cs="Arial" w:eastAsia="Arial" w:hAnsi="Arial"/>
          <w:sz w:val="18"/>
          <w:szCs w:val="18"/>
          <w:u w:val="single" w:color="auto"/>
          <w:color w:val="auto"/>
        </w:rPr>
        <w:t>Highest Adjustable Applicable Margins</w:t>
      </w:r>
      <w:r>
        <w:rPr>
          <w:rFonts w:ascii="Arial" w:cs="Arial" w:eastAsia="Arial" w:hAnsi="Arial"/>
          <w:sz w:val="18"/>
          <w:szCs w:val="18"/>
          <w:color w:val="auto"/>
        </w:rPr>
        <w:t>”).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360" w:top="1264" w:right="839" w:bottom="1440" w:gutter="0" w:footer="0" w:header="0"/>
        </w:sectPr>
      </w:pPr>
    </w:p>
    <w:bookmarkStart w:id="88" w:name="page89"/>
    <w:bookmarkEnd w:id="88"/>
    <w:p>
      <w:pPr>
        <w:jc w:val="both"/>
        <w:ind w:left="960" w:right="20"/>
        <w:spacing w:after="0" w:line="263" w:lineRule="auto"/>
        <w:rPr>
          <w:sz w:val="20"/>
          <w:szCs w:val="20"/>
          <w:color w:val="auto"/>
        </w:rPr>
      </w:pPr>
      <w:r>
        <w:rPr>
          <w:rFonts w:ascii="Arial" w:cs="Arial" w:eastAsia="Arial" w:hAnsi="Arial"/>
          <w:sz w:val="18"/>
          <w:szCs w:val="18"/>
          <w:color w:val="auto"/>
        </w:rPr>
        <w:t>anything to the contrary contained above in this definition, the Adjustable Applicable Margins shall be the Highest Adjustable Applicable Margins at all times during the continuance of any Significant Event of Default.</w:t>
      </w:r>
    </w:p>
    <w:p>
      <w:pPr>
        <w:spacing w:after="0" w:line="186" w:lineRule="exact"/>
        <w:rPr>
          <w:sz w:val="20"/>
          <w:szCs w:val="20"/>
          <w:color w:val="auto"/>
        </w:rPr>
      </w:pPr>
    </w:p>
    <w:p>
      <w:pPr>
        <w:jc w:val="both"/>
        <w:ind w:left="960" w:firstLine="602"/>
        <w:spacing w:after="0" w:line="250" w:lineRule="auto"/>
        <w:rPr>
          <w:sz w:val="20"/>
          <w:szCs w:val="20"/>
          <w:color w:val="auto"/>
        </w:rPr>
      </w:pPr>
      <w:r>
        <w:rPr>
          <w:rFonts w:ascii="Arial" w:cs="Arial" w:eastAsia="Arial" w:hAnsi="Arial"/>
          <w:sz w:val="17"/>
          <w:szCs w:val="17"/>
          <w:color w:val="auto"/>
        </w:rPr>
        <w:t xml:space="preserve">Notwithstanding anything to the contrary contained above in this definition or elsewhere in this Agreement, if it is subsequently determined that the Total Net First Lien Leverage Ratio set forth in any Pricing Certificate delivered for any period is inaccurate for any reason and the result thereof is that the Lenders received interest or fees for any period based on an Applicable Margin that is or are less than that which would have been applicable had the Total Net First Lien Leverage Ratio been accurately determined, then, for all purposes of this Agreement, the “Applicable Margin” for any day occurring within the period covered by such Pricing Certificate shall retroactively be deemed to be the relevant percentage as based upon the accurately determined Total Net First Lien Leverage Ratio for such period, and any shortfall in the interest or fees theretofore paid by the Borrower for the relevant period pursuant to </w:t>
      </w:r>
      <w:r>
        <w:rPr>
          <w:rFonts w:ascii="Arial" w:cs="Arial" w:eastAsia="Arial" w:hAnsi="Arial"/>
          <w:sz w:val="17"/>
          <w:szCs w:val="17"/>
          <w:u w:val="single" w:color="auto"/>
          <w:color w:val="auto"/>
        </w:rPr>
        <w:t>Sections 2.9(a)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as a result of the miscalculation of the Total Net First Lien Leverage Ratio shall be deemed to be due and payable under the relevant provisions of </w:t>
      </w:r>
      <w:r>
        <w:rPr>
          <w:rFonts w:ascii="Arial" w:cs="Arial" w:eastAsia="Arial" w:hAnsi="Arial"/>
          <w:sz w:val="17"/>
          <w:szCs w:val="17"/>
          <w:u w:val="single" w:color="auto"/>
          <w:color w:val="auto"/>
        </w:rPr>
        <w:t>Section 2.9(a)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as applicable, at the time the interest or fees for such period were required to be paid pursuant to said Sections on the same basis as if the Total Net First Lien Leverage Ratio had been accurately set forth in such Pricing Certificate (and shall remain due and payable until paid in full, together with all amounts owing under </w:t>
      </w:r>
      <w:r>
        <w:rPr>
          <w:rFonts w:ascii="Arial" w:cs="Arial" w:eastAsia="Arial" w:hAnsi="Arial"/>
          <w:sz w:val="17"/>
          <w:szCs w:val="17"/>
          <w:u w:val="single" w:color="auto"/>
          <w:color w:val="auto"/>
        </w:rPr>
        <w:t>Section 2.9(e)</w:t>
      </w:r>
      <w:r>
        <w:rPr>
          <w:rFonts w:ascii="Arial" w:cs="Arial" w:eastAsia="Arial" w:hAnsi="Arial"/>
          <w:sz w:val="17"/>
          <w:szCs w:val="17"/>
          <w:color w:val="auto"/>
        </w:rPr>
        <w:t>, in accordance with the terms of this Agreement) and shall be due and payable on the date of such subsequent determination.</w:t>
      </w:r>
    </w:p>
    <w:p>
      <w:pPr>
        <w:spacing w:after="0" w:line="187"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Requirements</w:t>
      </w:r>
      <w:r>
        <w:rPr>
          <w:rFonts w:ascii="Arial" w:cs="Arial" w:eastAsia="Arial" w:hAnsi="Arial"/>
          <w:sz w:val="17"/>
          <w:szCs w:val="17"/>
          <w:color w:val="auto"/>
        </w:rPr>
        <w:t>” shall mean in respect of any Indebtedness, Disqualified Stock or Preferred Stock, that such</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Indebtedness, Disqualified Stock or Preferred Stock satisfies the following requirements:</w:t>
      </w:r>
    </w:p>
    <w:p>
      <w:pPr>
        <w:spacing w:after="0" w:line="216" w:lineRule="exact"/>
        <w:rPr>
          <w:sz w:val="20"/>
          <w:szCs w:val="20"/>
          <w:color w:val="auto"/>
        </w:rPr>
      </w:pPr>
    </w:p>
    <w:p>
      <w:pPr>
        <w:jc w:val="both"/>
        <w:ind w:left="960" w:right="20" w:firstLine="604"/>
        <w:spacing w:after="0" w:line="251" w:lineRule="auto"/>
        <w:tabs>
          <w:tab w:leader="none" w:pos="23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other than Customary Bridge Facilities and the Permitted Earlier Maturity Indebtedness Exception, (i) if such Indebtedness is secured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by the Collateral, such Indebtedness does not (x) mature prior to the Latest Maturity Date of all Classes of Commitments and Loans then in effect or (y) other than customary term loan A and term loan B facilities (provided, that with respect to any such term loan A facilities the annual amortization thereunder shall not exceed 10%) in an aggregate principal amount not to exceed the Permitted WAL Exception, have a Weighted Average Life to Maturity shorter than the remaining Weighted Average Life to Maturity of all Classes of Commitments and Loans then in effect and (ii) if such Indebtedness is unsecured or secured by the Collateral on a junior lien basis or is in the form of Disqualified Stock or Preferred Stock, such Indebtedness, Disqualified Stock or Preferred Stock does not (x) mature prior to the date that is ninety-one (91) days after the then Latest Maturity Date of all Classes of Commitments and Loans then in effect or (y) have a Weighted Average Life to Maturity of all Classes of Commitments and Loans then in effect plus ninety-one (91) days, in each case, at the time such Indebtedness is incurred or such Disqualified Stock or Preferred Stock is issued;</w:t>
      </w:r>
    </w:p>
    <w:p>
      <w:pPr>
        <w:spacing w:after="0" w:line="196" w:lineRule="exact"/>
        <w:rPr>
          <w:rFonts w:ascii="Arial" w:cs="Arial" w:eastAsia="Arial" w:hAnsi="Arial"/>
          <w:sz w:val="17"/>
          <w:szCs w:val="17"/>
          <w:color w:val="auto"/>
        </w:rPr>
      </w:pPr>
    </w:p>
    <w:p>
      <w:pPr>
        <w:ind w:left="960" w:right="20" w:firstLine="604"/>
        <w:spacing w:after="0" w:line="263" w:lineRule="auto"/>
        <w:tabs>
          <w:tab w:leader="none" w:pos="2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such Indebtedness is incurred by a Loan Party and is secured, it is not secured by any property or assets other than the Collateral (subject to the Collateral Exclusions);</w:t>
      </w:r>
    </w:p>
    <w:p>
      <w:pPr>
        <w:spacing w:after="0" w:line="173" w:lineRule="exact"/>
        <w:rPr>
          <w:rFonts w:ascii="Arial" w:cs="Arial" w:eastAsia="Arial" w:hAnsi="Arial"/>
          <w:sz w:val="18"/>
          <w:szCs w:val="18"/>
          <w:color w:val="auto"/>
        </w:rPr>
      </w:pPr>
    </w:p>
    <w:p>
      <w:pPr>
        <w:ind w:left="2360" w:hanging="796"/>
        <w:spacing w:after="0"/>
        <w:tabs>
          <w:tab w:leader="none" w:pos="2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extent such Indebtedness is Incurred by a Loan Party, it is not guaranteed by any Person other than any</w:t>
      </w:r>
    </w:p>
    <w:p>
      <w:pPr>
        <w:spacing w:after="0" w:line="21"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Loan Party; and</w:t>
      </w:r>
    </w:p>
    <w:p>
      <w:pPr>
        <w:spacing w:after="0" w:line="215" w:lineRule="exact"/>
        <w:rPr>
          <w:rFonts w:ascii="Arial" w:cs="Arial" w:eastAsia="Arial" w:hAnsi="Arial"/>
          <w:sz w:val="17"/>
          <w:szCs w:val="17"/>
          <w:color w:val="auto"/>
        </w:rPr>
      </w:pPr>
    </w:p>
    <w:p>
      <w:pPr>
        <w:jc w:val="both"/>
        <w:ind w:left="960" w:firstLine="604"/>
        <w:spacing w:after="0" w:line="242" w:lineRule="auto"/>
        <w:tabs>
          <w:tab w:leader="none" w:pos="2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if such Indebtedness is secured by the Collateral, a Senior Representative acting on behalf of the holders of such Indebtedness has become party to an Intercreditor Agreement (or any Intercreditor Agreement has been amended or replaced in a manner reasonably acceptable to the Borrower and the Administrative Agent, which results in such Senior Representative having rights to share in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 or a junior-lien basis,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360" w:top="1326" w:right="819" w:bottom="1440" w:gutter="0" w:footer="0" w:header="0"/>
        </w:sectPr>
      </w:pPr>
    </w:p>
    <w:bookmarkStart w:id="89" w:name="page90"/>
    <w:bookmarkEnd w:id="89"/>
    <w:p>
      <w:pPr>
        <w:jc w:val="both"/>
        <w:ind w:left="960" w:firstLine="60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shall mean any Person (other than a natural person) that is engaged in making, purchasing, holding or investing in bank loans and similar extensions of credit in the ordinary course and that is administered or managed by (a) a Lender,</w:t>
      </w:r>
    </w:p>
    <w:p>
      <w:pPr>
        <w:ind w:left="1560" w:right="1820" w:hanging="597"/>
        <w:spacing w:after="0" w:line="521" w:lineRule="auto"/>
        <w:tabs>
          <w:tab w:leader="none" w:pos="12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Affiliate of a Lender or (c) an entity or an Affiliate of an entity that administers or manages a Lender. “</w:t>
      </w:r>
      <w:r>
        <w:rPr>
          <w:rFonts w:ascii="Arial" w:cs="Arial" w:eastAsia="Arial" w:hAnsi="Arial"/>
          <w:sz w:val="18"/>
          <w:szCs w:val="18"/>
          <w:u w:val="single" w:color="auto"/>
          <w:color w:val="auto"/>
        </w:rPr>
        <w:t>Asset Sale</w:t>
      </w:r>
      <w:r>
        <w:rPr>
          <w:rFonts w:ascii="Arial" w:cs="Arial" w:eastAsia="Arial" w:hAnsi="Arial"/>
          <w:sz w:val="18"/>
          <w:szCs w:val="18"/>
          <w:color w:val="auto"/>
        </w:rPr>
        <w:t>” shall mean:</w:t>
      </w:r>
    </w:p>
    <w:p>
      <w:pPr>
        <w:spacing w:after="0" w:line="25" w:lineRule="exact"/>
        <w:rPr>
          <w:rFonts w:ascii="Arial" w:cs="Arial" w:eastAsia="Arial" w:hAnsi="Arial"/>
          <w:sz w:val="18"/>
          <w:szCs w:val="18"/>
          <w:color w:val="auto"/>
        </w:rPr>
      </w:pPr>
    </w:p>
    <w:p>
      <w:pPr>
        <w:jc w:val="both"/>
        <w:ind w:left="1560" w:firstLine="606"/>
        <w:spacing w:after="0" w:line="242" w:lineRule="auto"/>
        <w:tabs>
          <w:tab w:leader="none" w:pos="29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pursuant to a Division) outside the ordinary course of business (including by way of a Sale Leaseback Transaction) of the Borrower or any of its Restricted Subsidiaries (each referred to in this definition as a “</w:t>
      </w:r>
      <w:r>
        <w:rPr>
          <w:rFonts w:ascii="Arial" w:cs="Arial" w:eastAsia="Arial" w:hAnsi="Arial"/>
          <w:sz w:val="18"/>
          <w:szCs w:val="18"/>
          <w:u w:val="single" w:color="auto"/>
          <w:color w:val="auto"/>
        </w:rPr>
        <w:t>Disposition</w:t>
      </w:r>
      <w:r>
        <w:rPr>
          <w:rFonts w:ascii="Arial" w:cs="Arial" w:eastAsia="Arial" w:hAnsi="Arial"/>
          <w:sz w:val="18"/>
          <w:szCs w:val="18"/>
          <w:color w:val="auto"/>
        </w:rPr>
        <w:t>”); or</w:t>
      </w:r>
    </w:p>
    <w:p>
      <w:pPr>
        <w:spacing w:after="0" w:line="268" w:lineRule="exact"/>
        <w:rPr>
          <w:rFonts w:ascii="Arial" w:cs="Arial" w:eastAsia="Arial" w:hAnsi="Arial"/>
          <w:sz w:val="18"/>
          <w:szCs w:val="18"/>
          <w:color w:val="auto"/>
        </w:rPr>
      </w:pPr>
    </w:p>
    <w:p>
      <w:pPr>
        <w:jc w:val="both"/>
        <w:ind w:left="1560" w:firstLine="606"/>
        <w:spacing w:after="0" w:line="242" w:lineRule="auto"/>
        <w:tabs>
          <w:tab w:leader="none" w:pos="29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issuance or sale of Equity Interests (other than directors’ qualifying shares or shares or interests required to be held by foreign nationals or other third parties to the extent required by applicable law) of any Restricted Subsidiary of the Borrower, whether in a single transaction or a series of related transactions (other than Preferred Stock of Restricted Subsidiaries of the Borrower issued in compliance with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6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in each case other than:</w:t>
      </w:r>
    </w:p>
    <w:p>
      <w:pPr>
        <w:spacing w:after="0" w:line="219" w:lineRule="exact"/>
        <w:rPr>
          <w:sz w:val="20"/>
          <w:szCs w:val="20"/>
          <w:color w:val="auto"/>
        </w:rPr>
      </w:pPr>
    </w:p>
    <w:p>
      <w:pPr>
        <w:jc w:val="both"/>
        <w:ind w:left="2160" w:firstLine="609"/>
        <w:spacing w:after="0" w:line="242" w:lineRule="auto"/>
        <w:tabs>
          <w:tab w:leader="none" w:pos="2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Disposition of Cash Equivalents or obsolete, damaged, unnecessary, unsuitable or worn out equipment or of assets no longer used in the business or any sale or disposition of property or assets in connection with scheduled turnarounds, maintenance and equipment and facility updates or any disposition of products, services or inventory held for sale in the ordinary course of business;</w:t>
      </w:r>
    </w:p>
    <w:p>
      <w:pPr>
        <w:spacing w:after="0" w:line="206" w:lineRule="exact"/>
        <w:rPr>
          <w:sz w:val="20"/>
          <w:szCs w:val="20"/>
          <w:color w:val="auto"/>
        </w:rPr>
      </w:pPr>
    </w:p>
    <w:p>
      <w:pPr>
        <w:ind w:left="2160" w:firstLine="602"/>
        <w:spacing w:after="0" w:line="263" w:lineRule="auto"/>
        <w:rPr>
          <w:sz w:val="20"/>
          <w:szCs w:val="20"/>
          <w:color w:val="auto"/>
        </w:rPr>
      </w:pPr>
      <w:r>
        <w:rPr>
          <w:rFonts w:ascii="Arial" w:cs="Arial" w:eastAsia="Arial" w:hAnsi="Arial"/>
          <w:sz w:val="18"/>
          <w:szCs w:val="18"/>
          <w:color w:val="auto"/>
        </w:rPr>
        <w:t>(ii) the Disposition of all or substantially all of the assets of the Borrower in a manner permitted pursuant to Section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-213360</wp:posOffset>
            </wp:positionV>
            <wp:extent cx="517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17525" cy="8255"/>
                    </a:xfrm>
                    <a:prstGeom prst="rect">
                      <a:avLst/>
                    </a:prstGeom>
                    <a:noFill/>
                  </pic:spPr>
                </pic:pic>
              </a:graphicData>
            </a:graphic>
          </wp:anchor>
        </w:drawing>
      </w:r>
    </w:p>
    <w:p>
      <w:pPr>
        <w:spacing w:after="0" w:line="229" w:lineRule="exact"/>
        <w:rPr>
          <w:sz w:val="20"/>
          <w:szCs w:val="20"/>
          <w:color w:val="auto"/>
        </w:rPr>
      </w:pPr>
    </w:p>
    <w:p>
      <w:pPr>
        <w:ind w:left="2760"/>
        <w:spacing w:after="0"/>
        <w:tabs>
          <w:tab w:leader="none" w:pos="438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the making of any Restricted Payment or Permitted Investment that is permitted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-41910</wp:posOffset>
            </wp:positionV>
            <wp:extent cx="525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1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made, and is made, under Section 9.2;</w:t>
      </w:r>
    </w:p>
    <w:p>
      <w:pPr>
        <w:spacing w:after="0" w:line="291" w:lineRule="exact"/>
        <w:rPr>
          <w:sz w:val="20"/>
          <w:szCs w:val="20"/>
          <w:color w:val="auto"/>
        </w:rPr>
      </w:pPr>
    </w:p>
    <w:p>
      <w:pPr>
        <w:jc w:val="both"/>
        <w:ind w:left="2160" w:firstLine="608"/>
        <w:spacing w:after="0" w:line="248" w:lineRule="auto"/>
        <w:tabs>
          <w:tab w:leader="none" w:pos="35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Dispositions in an aggregate amount taken together with all other Dispositions made pursuant to this clause (iv) not to exceed the greater of $10,000,000 and 10.0% of LTM CEBITDA (calculated at the time of determination);</w:t>
      </w:r>
    </w:p>
    <w:p>
      <w:pPr>
        <w:spacing w:after="0" w:line="198" w:lineRule="exact"/>
        <w:rPr>
          <w:rFonts w:ascii="Arial" w:cs="Arial" w:eastAsia="Arial" w:hAnsi="Arial"/>
          <w:sz w:val="18"/>
          <w:szCs w:val="18"/>
          <w:color w:val="auto"/>
        </w:rPr>
      </w:pPr>
    </w:p>
    <w:p>
      <w:pPr>
        <w:ind w:left="2160" w:firstLine="608"/>
        <w:spacing w:after="0" w:line="263" w:lineRule="auto"/>
        <w:tabs>
          <w:tab w:leader="none" w:pos="35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a Restricted Subsidiary to the Borrower or by the Borrower or a Restricted Subsidiary to another Restricted Subsidiary;</w:t>
      </w:r>
    </w:p>
    <w:p>
      <w:pPr>
        <w:spacing w:after="0" w:line="173" w:lineRule="exact"/>
        <w:rPr>
          <w:rFonts w:ascii="Arial" w:cs="Arial" w:eastAsia="Arial" w:hAnsi="Arial"/>
          <w:sz w:val="18"/>
          <w:szCs w:val="18"/>
          <w:color w:val="auto"/>
        </w:rPr>
      </w:pPr>
    </w:p>
    <w:p>
      <w:pPr>
        <w:ind w:left="2160" w:firstLine="608"/>
        <w:spacing w:after="0" w:line="263" w:lineRule="auto"/>
        <w:tabs>
          <w:tab w:leader="none" w:pos="35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any exchange of like property (excluding any boot thereon) for use in a Similar Business;</w:t>
      </w:r>
    </w:p>
    <w:p>
      <w:pPr>
        <w:spacing w:after="0" w:line="185" w:lineRule="exact"/>
        <w:rPr>
          <w:rFonts w:ascii="Arial" w:cs="Arial" w:eastAsia="Arial" w:hAnsi="Arial"/>
          <w:sz w:val="18"/>
          <w:szCs w:val="18"/>
          <w:color w:val="auto"/>
        </w:rPr>
      </w:pPr>
    </w:p>
    <w:p>
      <w:pPr>
        <w:ind w:left="3560" w:hanging="792"/>
        <w:spacing w:after="0"/>
        <w:tabs>
          <w:tab w:leader="none" w:pos="3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lease, assignment or sublease of any real or personal property in the ordinary course of</w:t>
      </w:r>
    </w:p>
    <w:p>
      <w:pPr>
        <w:spacing w:after="0" w:line="21"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78" w:lineRule="exact"/>
        <w:rPr>
          <w:rFonts w:ascii="Arial" w:cs="Arial" w:eastAsia="Arial" w:hAnsi="Arial"/>
          <w:sz w:val="17"/>
          <w:szCs w:val="17"/>
          <w:color w:val="auto"/>
        </w:rPr>
      </w:pPr>
    </w:p>
    <w:p>
      <w:pPr>
        <w:ind w:left="3360" w:hanging="592"/>
        <w:spacing w:after="0"/>
        <w:tabs>
          <w:tab w:leader="none" w:pos="3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foreclosures, condemnations, nationalizations or any similar actions on</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assets;</w:t>
      </w:r>
    </w:p>
    <w:p>
      <w:pPr>
        <w:spacing w:after="0" w:line="291" w:lineRule="exact"/>
        <w:rPr>
          <w:sz w:val="20"/>
          <w:szCs w:val="20"/>
          <w:color w:val="auto"/>
        </w:rPr>
      </w:pPr>
    </w:p>
    <w:p>
      <w:pPr>
        <w:ind w:left="3360" w:hanging="592"/>
        <w:spacing w:after="0"/>
        <w:tabs>
          <w:tab w:leader="none" w:pos="3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00"/>
          </w:cols>
          <w:pgMar w:left="360" w:top="1326" w:right="839" w:bottom="1440" w:gutter="0" w:footer="0" w:header="0"/>
        </w:sectPr>
      </w:pPr>
    </w:p>
    <w:bookmarkStart w:id="90" w:name="page91"/>
    <w:bookmarkEnd w:id="90"/>
    <w:p>
      <w:pPr>
        <w:jc w:val="both"/>
        <w:ind w:left="2160" w:right="20" w:firstLine="608"/>
        <w:spacing w:after="0" w:line="248" w:lineRule="auto"/>
        <w:tabs>
          <w:tab w:leader="none" w:pos="35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grants, licenses or sublicenses of software, technology, patents, trademarks, copyrights, know-how, trade secrets, content, data and databases and any other Intellectual Property or other intangibles in the ordinary course of business;</w:t>
      </w:r>
    </w:p>
    <w:p>
      <w:pPr>
        <w:spacing w:after="0" w:line="198" w:lineRule="exact"/>
        <w:rPr>
          <w:rFonts w:ascii="Arial" w:cs="Arial" w:eastAsia="Arial" w:hAnsi="Arial"/>
          <w:sz w:val="18"/>
          <w:szCs w:val="18"/>
          <w:color w:val="auto"/>
        </w:rPr>
      </w:pPr>
    </w:p>
    <w:p>
      <w:pPr>
        <w:ind w:left="3360" w:hanging="592"/>
        <w:spacing w:after="0"/>
        <w:tabs>
          <w:tab w:leader="none" w:pos="3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creation of any Lien permitted under the Loan Documents;</w:t>
      </w:r>
    </w:p>
    <w:p>
      <w:pPr>
        <w:spacing w:after="0" w:line="219" w:lineRule="exact"/>
        <w:rPr>
          <w:rFonts w:ascii="Arial" w:cs="Arial" w:eastAsia="Arial" w:hAnsi="Arial"/>
          <w:sz w:val="18"/>
          <w:szCs w:val="18"/>
          <w:color w:val="auto"/>
        </w:rPr>
      </w:pPr>
    </w:p>
    <w:p>
      <w:pPr>
        <w:ind w:left="3560" w:hanging="792"/>
        <w:spacing w:after="0"/>
        <w:tabs>
          <w:tab w:leader="none" w:pos="3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issuance or sale of Equity Interests in, or Indebtedness or other securities of, an Unrestricted</w:t>
      </w:r>
    </w:p>
    <w:p>
      <w:pPr>
        <w:spacing w:after="0" w:line="32" w:lineRule="exact"/>
        <w:rPr>
          <w:rFonts w:ascii="Arial" w:cs="Arial" w:eastAsia="Arial" w:hAnsi="Arial"/>
          <w:sz w:val="16"/>
          <w:szCs w:val="16"/>
          <w:color w:val="auto"/>
        </w:rPr>
      </w:pPr>
    </w:p>
    <w:p>
      <w:pPr>
        <w:ind w:left="2160"/>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5" w:lineRule="exact"/>
        <w:rPr>
          <w:rFonts w:ascii="Arial" w:cs="Arial" w:eastAsia="Arial" w:hAnsi="Arial"/>
          <w:sz w:val="16"/>
          <w:szCs w:val="16"/>
          <w:color w:val="auto"/>
        </w:rPr>
      </w:pPr>
    </w:p>
    <w:p>
      <w:pPr>
        <w:ind w:left="2160" w:right="20" w:firstLine="608"/>
        <w:spacing w:after="0" w:line="263" w:lineRule="auto"/>
        <w:tabs>
          <w:tab w:leader="none" w:pos="35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surrender or waiver of contract rights or settlement, release or surrender of a contract, tort or other litigation claim in the ordinary course of business;</w:t>
      </w:r>
    </w:p>
    <w:p>
      <w:pPr>
        <w:spacing w:after="0" w:line="185" w:lineRule="exact"/>
        <w:rPr>
          <w:rFonts w:ascii="Arial" w:cs="Arial" w:eastAsia="Arial" w:hAnsi="Arial"/>
          <w:sz w:val="18"/>
          <w:szCs w:val="18"/>
          <w:color w:val="auto"/>
        </w:rPr>
      </w:pPr>
    </w:p>
    <w:p>
      <w:pPr>
        <w:jc w:val="both"/>
        <w:ind w:left="2160" w:right="20" w:firstLine="608"/>
        <w:spacing w:after="0" w:line="242" w:lineRule="auto"/>
        <w:tabs>
          <w:tab w:leader="none" w:pos="35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transfers, dispositions and discounts of accounts receivable in connection with the compromise, settlement or collection thereof in the ordinary course of business, including dispositions of accounts receivable in factoring or similar transactions on a non-recourse basis, other than limited recourse customary in such transactions;</w:t>
      </w:r>
    </w:p>
    <w:p>
      <w:pPr>
        <w:spacing w:after="0" w:line="193" w:lineRule="exact"/>
        <w:rPr>
          <w:rFonts w:ascii="Arial" w:cs="Arial" w:eastAsia="Arial" w:hAnsi="Arial"/>
          <w:sz w:val="18"/>
          <w:szCs w:val="18"/>
          <w:color w:val="auto"/>
        </w:rPr>
      </w:pPr>
    </w:p>
    <w:p>
      <w:pPr>
        <w:jc w:val="both"/>
        <w:ind w:left="2160" w:right="20" w:firstLine="608"/>
        <w:spacing w:after="0" w:line="269" w:lineRule="auto"/>
        <w:tabs>
          <w:tab w:leader="none" w:pos="355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sale, lease, assignment, license or sublease of inventory, equipment, accounts receivable or other assets held for sale in the ordinary course of business, the settlement or write-off of accounts receivable in the ordinary course of business or the conversion of accounts receivable to notes receivable;</w:t>
      </w:r>
    </w:p>
    <w:p>
      <w:pPr>
        <w:spacing w:after="0" w:line="182" w:lineRule="exact"/>
        <w:rPr>
          <w:rFonts w:ascii="Arial" w:cs="Arial" w:eastAsia="Arial" w:hAnsi="Arial"/>
          <w:sz w:val="17"/>
          <w:szCs w:val="17"/>
          <w:color w:val="auto"/>
        </w:rPr>
      </w:pPr>
    </w:p>
    <w:p>
      <w:pPr>
        <w:ind w:left="2160" w:right="20" w:firstLine="608"/>
        <w:spacing w:after="0" w:line="263" w:lineRule="auto"/>
        <w:tabs>
          <w:tab w:leader="none" w:pos="35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w:t>
      </w:r>
    </w:p>
    <w:p>
      <w:pPr>
        <w:spacing w:after="0" w:line="185" w:lineRule="exact"/>
        <w:rPr>
          <w:rFonts w:ascii="Arial" w:cs="Arial" w:eastAsia="Arial" w:hAnsi="Arial"/>
          <w:sz w:val="18"/>
          <w:szCs w:val="18"/>
          <w:color w:val="auto"/>
        </w:rPr>
      </w:pPr>
    </w:p>
    <w:p>
      <w:pPr>
        <w:ind w:left="2160" w:right="20" w:firstLine="608"/>
        <w:spacing w:after="0" w:line="263" w:lineRule="auto"/>
        <w:tabs>
          <w:tab w:leader="none" w:pos="35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abandonment or cancellation of Intellectual Property that the Borrower in its reasonable business judgment, deems no longer useful to maintain;</w:t>
      </w:r>
    </w:p>
    <w:p>
      <w:pPr>
        <w:spacing w:after="0" w:line="173" w:lineRule="exact"/>
        <w:rPr>
          <w:rFonts w:ascii="Arial" w:cs="Arial" w:eastAsia="Arial" w:hAnsi="Arial"/>
          <w:sz w:val="18"/>
          <w:szCs w:val="18"/>
          <w:color w:val="auto"/>
        </w:rPr>
      </w:pPr>
    </w:p>
    <w:p>
      <w:pPr>
        <w:ind w:left="3360" w:hanging="592"/>
        <w:spacing w:after="0"/>
        <w:tabs>
          <w:tab w:leader="none" w:pos="3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unwinding of any Swap Agreements;</w:t>
      </w:r>
    </w:p>
    <w:p>
      <w:pPr>
        <w:spacing w:after="0" w:line="231" w:lineRule="exact"/>
        <w:rPr>
          <w:rFonts w:ascii="Arial" w:cs="Arial" w:eastAsia="Arial" w:hAnsi="Arial"/>
          <w:sz w:val="18"/>
          <w:szCs w:val="18"/>
          <w:color w:val="auto"/>
        </w:rPr>
      </w:pPr>
    </w:p>
    <w:p>
      <w:pPr>
        <w:jc w:val="both"/>
        <w:ind w:left="2160" w:right="20" w:firstLine="608"/>
        <w:spacing w:after="0" w:line="242" w:lineRule="auto"/>
        <w:tabs>
          <w:tab w:leader="none" w:pos="35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Dispositions of Investments in joint ventures that are permitted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the definition of “Permitted Investments” to the extent required by, or made pursuant to customary buy/sell arrangements between, the joint venture parties set forth in joint venture arrangements and similar binding arrangements;</w:t>
      </w:r>
    </w:p>
    <w:p>
      <w:pPr>
        <w:spacing w:after="0" w:line="193" w:lineRule="exact"/>
        <w:rPr>
          <w:rFonts w:ascii="Arial" w:cs="Arial" w:eastAsia="Arial" w:hAnsi="Arial"/>
          <w:sz w:val="18"/>
          <w:szCs w:val="18"/>
          <w:color w:val="auto"/>
        </w:rPr>
      </w:pPr>
    </w:p>
    <w:p>
      <w:pPr>
        <w:ind w:left="2160" w:right="20" w:firstLine="609"/>
        <w:spacing w:after="0" w:line="263" w:lineRule="auto"/>
        <w:tabs>
          <w:tab w:leader="none" w:pos="35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Dispositions of property, plant and equipment to the extent that such property is exchanged for credit against the purchase price of similar replacement property; and</w:t>
      </w:r>
    </w:p>
    <w:p>
      <w:pPr>
        <w:spacing w:after="0" w:line="185" w:lineRule="exact"/>
        <w:rPr>
          <w:rFonts w:ascii="Arial" w:cs="Arial" w:eastAsia="Arial" w:hAnsi="Arial"/>
          <w:sz w:val="18"/>
          <w:szCs w:val="18"/>
          <w:color w:val="auto"/>
        </w:rPr>
      </w:pPr>
    </w:p>
    <w:p>
      <w:pPr>
        <w:ind w:left="3360" w:hanging="592"/>
        <w:spacing w:after="0"/>
        <w:tabs>
          <w:tab w:leader="none" w:pos="3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consummation of the Transactions;</w:t>
      </w:r>
    </w:p>
    <w:p>
      <w:pPr>
        <w:spacing w:after="0" w:line="231" w:lineRule="exact"/>
        <w:rPr>
          <w:rFonts w:ascii="Arial" w:cs="Arial" w:eastAsia="Arial" w:hAnsi="Arial"/>
          <w:sz w:val="18"/>
          <w:szCs w:val="18"/>
          <w:color w:val="auto"/>
        </w:rPr>
      </w:pPr>
    </w:p>
    <w:p>
      <w:pPr>
        <w:ind w:left="2160" w:firstLine="609"/>
        <w:spacing w:after="0" w:line="263" w:lineRule="auto"/>
        <w:tabs>
          <w:tab w:leader="none" w:pos="35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the termination of leases in the ordinary course of business and (B) the expiration of an option agreement in respect of real or personal property;</w:t>
      </w:r>
    </w:p>
    <w:p>
      <w:pPr>
        <w:spacing w:after="0" w:line="185" w:lineRule="exact"/>
        <w:rPr>
          <w:rFonts w:ascii="Arial" w:cs="Arial" w:eastAsia="Arial" w:hAnsi="Arial"/>
          <w:sz w:val="18"/>
          <w:szCs w:val="18"/>
          <w:color w:val="auto"/>
        </w:rPr>
      </w:pPr>
    </w:p>
    <w:p>
      <w:pPr>
        <w:jc w:val="both"/>
        <w:ind w:left="2160" w:right="20" w:firstLine="608"/>
        <w:spacing w:after="0" w:line="294" w:lineRule="auto"/>
        <w:tabs>
          <w:tab w:leader="none" w:pos="35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Dispositions of assets in the Borrower and its Restricted Subsidiaries, which consist of leasehold interests in the premises of any office of the Borrower or such Restricted Subsidiary, the equipment and fixtures located at such premises and the books and records relating exclusively and directly to the operations of such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321945</wp:posOffset>
            </wp:positionV>
            <wp:extent cx="326390" cy="182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0"/>
          </w:cols>
          <w:pgMar w:left="360" w:top="1326" w:right="819" w:bottom="1440" w:gutter="0" w:footer="0" w:header="0"/>
        </w:sectPr>
      </w:pPr>
    </w:p>
    <w:bookmarkStart w:id="91" w:name="page92"/>
    <w:bookmarkEnd w:id="91"/>
    <w:p>
      <w:pPr>
        <w:ind w:left="2160" w:right="20" w:firstLine="608"/>
        <w:spacing w:after="0" w:line="263" w:lineRule="auto"/>
        <w:tabs>
          <w:tab w:leader="none" w:pos="35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sale of motor vehicles and information technology equipment purchased at the end of an operating lease and resold thereafter; and</w:t>
      </w:r>
    </w:p>
    <w:p>
      <w:pPr>
        <w:spacing w:after="0" w:line="185" w:lineRule="exact"/>
        <w:rPr>
          <w:rFonts w:ascii="Arial" w:cs="Arial" w:eastAsia="Arial" w:hAnsi="Arial"/>
          <w:sz w:val="18"/>
          <w:szCs w:val="18"/>
          <w:color w:val="auto"/>
        </w:rPr>
      </w:pPr>
    </w:p>
    <w:p>
      <w:pPr>
        <w:ind w:left="2160" w:right="20" w:firstLine="608"/>
        <w:spacing w:after="0" w:line="263" w:lineRule="auto"/>
        <w:tabs>
          <w:tab w:leader="none" w:pos="35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Dispositions of letters of credit or bank guarantees (or the rights thereunder) consisting of the cancellation thereof in the ordinary course of business in exchange for cash or Cash Equivalents.</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13.4(a)(i)</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shall mean an Assignment and Assumption,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307" w:lineRule="exact"/>
        <w:rPr>
          <w:sz w:val="20"/>
          <w:szCs w:val="20"/>
          <w:color w:val="auto"/>
        </w:rPr>
      </w:pPr>
    </w:p>
    <w:p>
      <w:pPr>
        <w:jc w:val="both"/>
        <w:ind w:left="960" w:firstLine="60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xml:space="preserve">” shall mean, with respect to (i) delivering Notices of Borrowing, Notices of Conversion/Continuation and similar notices, any person or persons that has or have been authorized by the directors of the Borrower to deliver such notices pursuant to this Agreement so designated in a notice to the Administrative Agent or any other officer or employee of the applicable Loan Party designated in or pursuant to an agreement between the applicable Loan Party and the Administrative Agent, (ii) delivering financial information and manager’s or officer’s certificates pursuant to this Agreement (including </w:t>
      </w:r>
      <w:r>
        <w:rPr>
          <w:rFonts w:ascii="Arial" w:cs="Arial" w:eastAsia="Arial" w:hAnsi="Arial"/>
          <w:sz w:val="17"/>
          <w:szCs w:val="17"/>
          <w:u w:val="single" w:color="auto"/>
          <w:color w:val="auto"/>
        </w:rPr>
        <w:t>Section 8.7</w:t>
      </w:r>
      <w:r>
        <w:rPr>
          <w:rFonts w:ascii="Arial" w:cs="Arial" w:eastAsia="Arial" w:hAnsi="Arial"/>
          <w:sz w:val="17"/>
          <w:szCs w:val="17"/>
          <w:color w:val="auto"/>
        </w:rPr>
        <w:t>), the chief financial officer, the treasurer or the principal accounting officer or, if such position does not exist, a manager or director (as applicable) of the Borrower, and (iii) any other matter in connection with this Agreement or any other Loan Document, any officer (or a person or persons so designated by any such officer) of the Borrower.</w:t>
      </w:r>
    </w:p>
    <w:p>
      <w:pPr>
        <w:spacing w:after="0" w:line="18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9.2(a)(v)(C)</w:t>
      </w:r>
      <w:r>
        <w:rPr>
          <w:rFonts w:ascii="Arial" w:cs="Arial" w:eastAsia="Arial" w:hAnsi="Arial"/>
          <w:sz w:val="18"/>
          <w:szCs w:val="18"/>
          <w:color w:val="auto"/>
        </w:rPr>
        <w:t>.</w:t>
      </w:r>
    </w:p>
    <w:p>
      <w:pPr>
        <w:spacing w:after="0" w:line="307"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Currency</w:t>
      </w:r>
      <w:r>
        <w:rPr>
          <w:rFonts w:ascii="Arial" w:cs="Arial" w:eastAsia="Arial" w:hAnsi="Arial"/>
          <w:sz w:val="18"/>
          <w:szCs w:val="18"/>
          <w:color w:val="auto"/>
        </w:rPr>
        <w:t>” shall mean (i) with respect to Swingline Loans, Dollars, (ii) with respect to Revolving Loans and Letters of Credit, Dollars and any Alternate Currency and (iii) with respect to Incremental Term Loans and Incremental Revolving Loan Commitments, Dollars, Euros or Pound Sterling as specified in the respective Incremental Amendment, and any other currency as may be agreed upon by the Borrower and the Lenders providing such Incremental Term Loans or Incremental Revolving Loan Commitments,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other currency shall be reasonably acceptable to the Administrative Agent).</w:t>
      </w:r>
    </w:p>
    <w:p>
      <w:pPr>
        <w:spacing w:after="0" w:line="193"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86" w:lineRule="exact"/>
        <w:rPr>
          <w:sz w:val="20"/>
          <w:szCs w:val="20"/>
          <w:color w:val="auto"/>
        </w:rPr>
      </w:pPr>
    </w:p>
    <w:p>
      <w:pPr>
        <w:jc w:val="both"/>
        <w:ind w:left="960" w:right="20" w:firstLine="60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98"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mean Title 11 of the United States Code entitled “Bankruptcy,” as now or hereafter in effect, or any successor thereto.</w:t>
      </w:r>
    </w:p>
    <w:p>
      <w:pPr>
        <w:spacing w:after="0" w:line="173" w:lineRule="exact"/>
        <w:rPr>
          <w:sz w:val="20"/>
          <w:szCs w:val="20"/>
          <w:color w:val="auto"/>
        </w:rPr>
      </w:pPr>
    </w:p>
    <w:p>
      <w:pPr>
        <w:jc w:val="both"/>
        <w:ind w:left="960" w:right="2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shall mean for any day a fluctuating rate per annum equal to the highest of (a) the Federal Funds Rate plus 1/2 of 1.00%, (b) the rate of interest in effect for such day as publicly announced from time to time by JPMorgan Chase Bank, N.A. as its “prime rate,” and (c) the LIBOR Rate plus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Base Rate shall be less than 1.00%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such rate shall be deemed to be 1.00% </w:t>
      </w:r>
      <w:r>
        <w:rPr>
          <w:rFonts w:ascii="Arial" w:cs="Arial" w:eastAsia="Arial" w:hAnsi="Arial"/>
          <w:sz w:val="17"/>
          <w:szCs w:val="17"/>
          <w:u w:val="single" w:color="auto"/>
          <w:color w:val="auto"/>
        </w:rPr>
        <w:t>per annum</w:t>
      </w:r>
      <w:r>
        <w:rPr>
          <w:rFonts w:ascii="Arial" w:cs="Arial" w:eastAsia="Arial" w:hAnsi="Arial"/>
          <w:sz w:val="17"/>
          <w:szCs w:val="17"/>
          <w:color w:val="auto"/>
        </w:rPr>
        <w:t>. The “prime rate” is a rate set by JPMorgan Chase Bank, N.A. based upon various factors including JPMorgan Chase Bank, N.A.’s costs and desired return, general economic conditions and other factors, and is used as a reference point for pricing some loans, which may be priced at, above, 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360" w:top="1326" w:right="819" w:bottom="1440" w:gutter="0" w:footer="0" w:header="0"/>
        </w:sectPr>
      </w:pPr>
    </w:p>
    <w:bookmarkStart w:id="92" w:name="page93"/>
    <w:bookmarkEnd w:id="92"/>
    <w:p>
      <w:pPr>
        <w:jc w:val="both"/>
        <w:ind w:left="960" w:right="20"/>
        <w:spacing w:after="0" w:line="237" w:lineRule="auto"/>
        <w:rPr>
          <w:sz w:val="20"/>
          <w:szCs w:val="20"/>
          <w:color w:val="auto"/>
        </w:rPr>
      </w:pPr>
      <w:r>
        <w:rPr>
          <w:rFonts w:ascii="Arial" w:cs="Arial" w:eastAsia="Arial" w:hAnsi="Arial"/>
          <w:sz w:val="18"/>
          <w:szCs w:val="18"/>
          <w:color w:val="auto"/>
        </w:rPr>
        <w:t>such announced rate. Any change in such prime rate announced by JPMorgan Chase Bank, N.A. shall take effect at the opening of business on the day specified in the public announcement of such change. If the Administrative Agent shall have reasonably determined (which determination shall be conclusive absent manifest error) that it is unable to ascertain the Federal Funds Rate for any reason, including the inability or failure of the Administrative Agent to obtain sufficient quotations in accordance with the terms of the definition thereof, then the Base Rate shall be determined without regard to clause (a) of the preceding sentence until the circumstances giving rise to such inability no longer exist. Any change in the Base Rate due to a change in the Federal Funds Rate, the prime rate or the LIBOR Rate shall be effective from and including the effective date of such change in the Federal Funds Rate, the prime rate or the LIBOR Rate, respectively.</w:t>
      </w:r>
    </w:p>
    <w:p>
      <w:pPr>
        <w:spacing w:after="0" w:line="208" w:lineRule="exact"/>
        <w:rPr>
          <w:sz w:val="20"/>
          <w:szCs w:val="20"/>
          <w:color w:val="auto"/>
        </w:rPr>
      </w:pPr>
    </w:p>
    <w:p>
      <w:pPr>
        <w:jc w:val="both"/>
        <w:ind w:left="960" w:right="20" w:firstLine="60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shall mean (i) each Swingline Loan and (ii) each other Dollar Denominated Loan designated or deemed designated as such by the Borrower at the time of the incurrence thereof or conversion thereto.</w:t>
      </w:r>
    </w:p>
    <w:p>
      <w:pPr>
        <w:spacing w:after="0" w:line="173"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shall mean a certification in the form published by the Loan Syndications and Trading Association regarding individual beneficial ownership solely to the extent expressly required by the Beneficial Ownership Regulation.</w:t>
      </w:r>
    </w:p>
    <w:p>
      <w:pPr>
        <w:spacing w:after="0" w:line="26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shall mean 31 C.F.R. § 1010.230 (as amended from time to</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time).</w:t>
      </w:r>
    </w:p>
    <w:p>
      <w:pPr>
        <w:spacing w:after="0" w:line="291"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shall have the meaning assigned to such term in Rule 13d-3 (other than sub- section (b) of Rule 13d-3) and Rule 13d 5 under the Securities Exchange Act. The terms “Beneficially Owned,” “Beneficial Ownership” and similar derivations shall have a corresponding meaning.</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shall mean any of (a) an “employee benefit plan” (as defined in ERISA) that is subject to Title I of ERISA,</w:t>
      </w:r>
    </w:p>
    <w:p>
      <w:pPr>
        <w:spacing w:after="0" w:line="21" w:lineRule="exact"/>
        <w:rPr>
          <w:sz w:val="20"/>
          <w:szCs w:val="20"/>
          <w:color w:val="auto"/>
        </w:rPr>
      </w:pPr>
    </w:p>
    <w:p>
      <w:pPr>
        <w:jc w:val="both"/>
        <w:ind w:left="960" w:right="20" w:firstLine="3"/>
        <w:spacing w:after="0" w:line="239" w:lineRule="auto"/>
        <w:tabs>
          <w:tab w:leader="none" w:pos="1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“plan” as defined in Section 4975 of the Code or (c) any Person whose assets include (for the purposes of ERISA Section 3(42) or otherwise for purposes of Title I of ERISA or Section 4975 of the Code) the assets of any such “employee benefit plan” or “plan”.</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Governors of the Federal Reserve System of the United States (or any successor).</w:t>
      </w:r>
    </w:p>
    <w:p>
      <w:pPr>
        <w:spacing w:after="0" w:line="24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have the meaning set forth in the preamble hereto.</w:t>
      </w:r>
    </w:p>
    <w:p>
      <w:pPr>
        <w:spacing w:after="0" w:line="295" w:lineRule="exact"/>
        <w:rPr>
          <w:sz w:val="20"/>
          <w:szCs w:val="20"/>
          <w:color w:val="auto"/>
        </w:rPr>
      </w:pPr>
    </w:p>
    <w:p>
      <w:pPr>
        <w:jc w:val="both"/>
        <w:ind w:left="960" w:right="2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xml:space="preserve">” shall mean the borrowing of one Type of Loan of a single Tranche from all the Lenders having Commitments of the respective Tranche (or from the Swingline Lender in the case of Swingline Loans) on a given date (or resulting from a conversion or conversions on such date) having, in the case of Fixed Rate Loans, the same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Base Rate Loans incurred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considered part of the related Borrowing of LIBOR Loans.</w:t>
      </w:r>
    </w:p>
    <w:p>
      <w:pPr>
        <w:spacing w:after="0" w:line="250" w:lineRule="exact"/>
        <w:rPr>
          <w:sz w:val="20"/>
          <w:szCs w:val="20"/>
          <w:color w:val="auto"/>
        </w:rPr>
      </w:pPr>
    </w:p>
    <w:p>
      <w:pPr>
        <w:jc w:val="both"/>
        <w:ind w:left="960" w:right="2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(i) for all purposes other than as covered by clauses (ii) and (iii) below, any day except Saturday, Sunday and any day which shall be in New York, New York, a legal holiday or a day on which banking institutions are authorized or required by law or other government action to close,</w:t>
      </w:r>
    </w:p>
    <w:p>
      <w:pPr>
        <w:spacing w:after="0" w:line="2" w:lineRule="exact"/>
        <w:rPr>
          <w:sz w:val="20"/>
          <w:szCs w:val="20"/>
          <w:color w:val="auto"/>
        </w:rPr>
      </w:pPr>
    </w:p>
    <w:p>
      <w:pPr>
        <w:jc w:val="both"/>
        <w:ind w:left="960" w:right="20" w:firstLine="3"/>
        <w:spacing w:after="0" w:line="253" w:lineRule="auto"/>
        <w:tabs>
          <w:tab w:leader="none" w:pos="1761"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respect to all notices and determinations in connection with, and payments of principal and interest on, LIBOR Loans, any day that is a Business Day described in clause (i) above and that is also a day for trading by and between banks in U.S. Dollar deposits in the interbank LIBOR market and (iii) with respect to all notices and determinations in connection with, and payments of principal and interest on or with respect to, Euro Denominated Loans and Sterling Denominated Loans, any day that is a Business Day described in clauses (i) and (ii) and that is also (a) a day for trading by and between banks in the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341630</wp:posOffset>
            </wp:positionV>
            <wp:extent cx="326390" cy="182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360" w:top="1326" w:right="819" w:bottom="1440" w:gutter="0" w:footer="0" w:header="0"/>
        </w:sectPr>
      </w:pPr>
    </w:p>
    <w:bookmarkStart w:id="93" w:name="page94"/>
    <w:bookmarkEnd w:id="93"/>
    <w:p>
      <w:pPr>
        <w:jc w:val="both"/>
        <w:ind w:left="960" w:right="20"/>
        <w:spacing w:after="0" w:line="293" w:lineRule="auto"/>
        <w:rPr>
          <w:sz w:val="20"/>
          <w:szCs w:val="20"/>
          <w:color w:val="auto"/>
        </w:rPr>
      </w:pPr>
      <w:r>
        <w:rPr>
          <w:rFonts w:ascii="Arial" w:cs="Arial" w:eastAsia="Arial" w:hAnsi="Arial"/>
          <w:sz w:val="17"/>
          <w:szCs w:val="17"/>
          <w:color w:val="auto"/>
        </w:rPr>
        <w:t>interbank market and which shall not be a legal holiday or a day on which banking institutions are authorized or required by law or other government action to close in London, England and (b) in relation to any payment in Euros, a TARGET Day.</w:t>
      </w:r>
    </w:p>
    <w:p>
      <w:pPr>
        <w:spacing w:after="0" w:line="162" w:lineRule="exact"/>
        <w:rPr>
          <w:sz w:val="20"/>
          <w:szCs w:val="20"/>
          <w:color w:val="auto"/>
        </w:rPr>
      </w:pPr>
    </w:p>
    <w:p>
      <w:pPr>
        <w:jc w:val="both"/>
        <w:ind w:left="96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shall mean at the time any determination thereof is to be made, the amount of the liability in respect of a capital lease that would at such time be required to be capitalized and reflected as a liability on a balance sheet (excluding the footnotes thereto) in accordance with GAAP (it being understood that any obligation that would not be characterized as a capital lease obligation pursuant to GAAP as in effect and applied on December 31, 2017, shall for all purposes of this Agreement (including, without limitation, the calculation of Consolidated Net Income and Consolidated CEBITDA) not be treated as capital lease obligations, Capital Lease Obligations or Indebtedness).</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w:t>
      </w:r>
    </w:p>
    <w:p>
      <w:pPr>
        <w:spacing w:after="0" w:line="295" w:lineRule="exact"/>
        <w:rPr>
          <w:sz w:val="20"/>
          <w:szCs w:val="20"/>
          <w:color w:val="auto"/>
        </w:rPr>
      </w:pPr>
    </w:p>
    <w:p>
      <w:pPr>
        <w:ind w:left="2760" w:hanging="594"/>
        <w:spacing w:after="0"/>
        <w:tabs>
          <w:tab w:leader="none" w:pos="2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31" w:lineRule="exact"/>
        <w:rPr>
          <w:rFonts w:ascii="Arial" w:cs="Arial" w:eastAsia="Arial" w:hAnsi="Arial"/>
          <w:sz w:val="18"/>
          <w:szCs w:val="18"/>
          <w:color w:val="auto"/>
        </w:rPr>
      </w:pPr>
    </w:p>
    <w:p>
      <w:pPr>
        <w:ind w:left="1560" w:right="60" w:firstLine="606"/>
        <w:spacing w:after="0" w:line="263" w:lineRule="auto"/>
        <w:tabs>
          <w:tab w:leader="none" w:pos="29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5" w:lineRule="exact"/>
        <w:rPr>
          <w:rFonts w:ascii="Arial" w:cs="Arial" w:eastAsia="Arial" w:hAnsi="Arial"/>
          <w:sz w:val="18"/>
          <w:szCs w:val="18"/>
          <w:color w:val="auto"/>
        </w:rPr>
      </w:pPr>
    </w:p>
    <w:p>
      <w:pPr>
        <w:ind w:left="1560" w:right="260" w:firstLine="606"/>
        <w:spacing w:after="0" w:line="263" w:lineRule="auto"/>
        <w:tabs>
          <w:tab w:leader="none" w:pos="2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73" w:lineRule="exact"/>
        <w:rPr>
          <w:rFonts w:ascii="Arial" w:cs="Arial" w:eastAsia="Arial" w:hAnsi="Arial"/>
          <w:sz w:val="18"/>
          <w:szCs w:val="18"/>
          <w:color w:val="auto"/>
        </w:rPr>
      </w:pPr>
    </w:p>
    <w:p>
      <w:pPr>
        <w:ind w:left="1560" w:right="200" w:firstLine="606"/>
        <w:spacing w:after="0" w:line="263" w:lineRule="auto"/>
        <w:tabs>
          <w:tab w:leader="none" w:pos="29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8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the meaning set forth in the definition of “Collateralize.”</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shall mean:</w:t>
      </w:r>
    </w:p>
    <w:p>
      <w:pPr>
        <w:spacing w:after="0" w:line="295" w:lineRule="exact"/>
        <w:rPr>
          <w:sz w:val="20"/>
          <w:szCs w:val="20"/>
          <w:color w:val="auto"/>
        </w:rPr>
      </w:pPr>
    </w:p>
    <w:p>
      <w:pPr>
        <w:ind w:left="2760" w:hanging="594"/>
        <w:spacing w:after="0"/>
        <w:tabs>
          <w:tab w:leader="none" w:pos="2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Dollars;</w:t>
      </w:r>
    </w:p>
    <w:p>
      <w:pPr>
        <w:spacing w:after="0" w:line="219" w:lineRule="exact"/>
        <w:rPr>
          <w:rFonts w:ascii="Arial" w:cs="Arial" w:eastAsia="Arial" w:hAnsi="Arial"/>
          <w:sz w:val="18"/>
          <w:szCs w:val="18"/>
          <w:color w:val="auto"/>
        </w:rPr>
      </w:pPr>
    </w:p>
    <w:p>
      <w:pPr>
        <w:jc w:val="both"/>
        <w:ind w:left="1560" w:right="20" w:firstLine="606"/>
        <w:spacing w:after="0" w:line="248" w:lineRule="auto"/>
        <w:tabs>
          <w:tab w:leader="none" w:pos="29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(i) Euros, or any national currency of any participating member of the EMU, (ii) Pounds Sterling or (iii) in the case of any Restricted Subsidiary organized outside of the United States or Europe, such local currencies held by it from time to time in the ordinary course of business;</w:t>
      </w:r>
    </w:p>
    <w:p>
      <w:pPr>
        <w:spacing w:after="0" w:line="198" w:lineRule="exact"/>
        <w:rPr>
          <w:rFonts w:ascii="Arial" w:cs="Arial" w:eastAsia="Arial" w:hAnsi="Arial"/>
          <w:sz w:val="18"/>
          <w:szCs w:val="18"/>
          <w:color w:val="auto"/>
        </w:rPr>
      </w:pPr>
    </w:p>
    <w:p>
      <w:pPr>
        <w:jc w:val="both"/>
        <w:ind w:left="1560" w:right="20" w:firstLine="606"/>
        <w:spacing w:after="0" w:line="269" w:lineRule="auto"/>
        <w:tabs>
          <w:tab w:leader="none" w:pos="2955" w:val="left"/>
        </w:tabs>
        <w:numPr>
          <w:ilvl w:val="1"/>
          <w:numId w:val="36"/>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82" w:lineRule="exact"/>
        <w:rPr>
          <w:rFonts w:ascii="Arial" w:cs="Arial" w:eastAsia="Arial" w:hAnsi="Arial"/>
          <w:sz w:val="17"/>
          <w:szCs w:val="17"/>
          <w:color w:val="auto"/>
        </w:rPr>
      </w:pPr>
    </w:p>
    <w:p>
      <w:pPr>
        <w:ind w:left="2760" w:hanging="595"/>
        <w:spacing w:after="0"/>
        <w:tabs>
          <w:tab w:leader="none" w:pos="2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marketable direct EEA Government Obligations with maturities of twenty-four</w:t>
      </w:r>
    </w:p>
    <w:p>
      <w:pPr>
        <w:spacing w:after="0" w:line="9" w:lineRule="exact"/>
        <w:rPr>
          <w:rFonts w:ascii="Arial" w:cs="Arial" w:eastAsia="Arial" w:hAnsi="Arial"/>
          <w:sz w:val="18"/>
          <w:szCs w:val="18"/>
          <w:color w:val="auto"/>
        </w:rPr>
      </w:pPr>
    </w:p>
    <w:p>
      <w:pPr>
        <w:ind w:left="1920" w:hanging="356"/>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months or less from the date of acquisition;</w:t>
      </w:r>
    </w:p>
    <w:p>
      <w:pPr>
        <w:spacing w:after="0" w:line="203" w:lineRule="exact"/>
        <w:rPr>
          <w:rFonts w:ascii="Arial" w:cs="Arial" w:eastAsia="Arial" w:hAnsi="Arial"/>
          <w:sz w:val="18"/>
          <w:szCs w:val="18"/>
          <w:color w:val="auto"/>
        </w:rPr>
      </w:pPr>
    </w:p>
    <w:p>
      <w:pPr>
        <w:jc w:val="both"/>
        <w:ind w:left="1560" w:right="20" w:firstLine="606"/>
        <w:spacing w:after="0" w:line="248" w:lineRule="auto"/>
        <w:tabs>
          <w:tab w:leader="none" w:pos="29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360" w:top="1326" w:right="819" w:bottom="1440" w:gutter="0" w:footer="0" w:header="0"/>
        </w:sectPr>
      </w:pPr>
    </w:p>
    <w:bookmarkStart w:id="94" w:name="page95"/>
    <w:bookmarkEnd w:id="94"/>
    <w:p>
      <w:pPr>
        <w:ind w:left="1560" w:firstLine="602"/>
        <w:spacing w:after="0" w:line="263" w:lineRule="auto"/>
        <w:rPr>
          <w:sz w:val="20"/>
          <w:szCs w:val="20"/>
          <w:color w:val="auto"/>
        </w:rPr>
      </w:pPr>
      <w:r>
        <w:rPr>
          <w:rFonts w:ascii="Arial" w:cs="Arial" w:eastAsia="Arial" w:hAnsi="Arial"/>
          <w:sz w:val="18"/>
          <w:szCs w:val="18"/>
          <w:color w:val="auto"/>
        </w:rPr>
        <w:t>(f)repurchase obligations for underlying securities of the types described in clauses (c), (d) and (e) above entered into with any financial institution meeting the qualifications specified in clause (e) above;</w:t>
      </w:r>
    </w:p>
    <w:p>
      <w:pPr>
        <w:spacing w:after="0" w:line="186" w:lineRule="exact"/>
        <w:rPr>
          <w:sz w:val="20"/>
          <w:szCs w:val="20"/>
          <w:color w:val="auto"/>
        </w:rPr>
      </w:pPr>
    </w:p>
    <w:p>
      <w:pPr>
        <w:ind w:left="1560" w:firstLine="606"/>
        <w:spacing w:after="0" w:line="263" w:lineRule="auto"/>
        <w:tabs>
          <w:tab w:leader="none" w:pos="29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twenty-four (24) months after the date of creation thereof;</w:t>
      </w:r>
    </w:p>
    <w:p>
      <w:pPr>
        <w:spacing w:after="0" w:line="173" w:lineRule="exact"/>
        <w:rPr>
          <w:rFonts w:ascii="Arial" w:cs="Arial" w:eastAsia="Arial" w:hAnsi="Arial"/>
          <w:sz w:val="18"/>
          <w:szCs w:val="18"/>
          <w:color w:val="auto"/>
        </w:rPr>
      </w:pPr>
    </w:p>
    <w:p>
      <w:pPr>
        <w:jc w:val="both"/>
        <w:ind w:left="1560" w:firstLine="606"/>
        <w:spacing w:after="0" w:line="248" w:lineRule="auto"/>
        <w:tabs>
          <w:tab w:leader="none" w:pos="29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marketable short term money market and similar securities having a rating of at least P-2 or A-2 from either Moody’s or S&amp;P, respectively, and in each case maturing within twenty-four (24) months after the date of creation thereof;</w:t>
      </w:r>
    </w:p>
    <w:p>
      <w:pPr>
        <w:spacing w:after="0" w:line="198" w:lineRule="exact"/>
        <w:rPr>
          <w:rFonts w:ascii="Arial" w:cs="Arial" w:eastAsia="Arial" w:hAnsi="Arial"/>
          <w:sz w:val="18"/>
          <w:szCs w:val="18"/>
          <w:color w:val="auto"/>
        </w:rPr>
      </w:pPr>
    </w:p>
    <w:p>
      <w:pPr>
        <w:jc w:val="both"/>
        <w:ind w:left="1560" w:firstLine="606"/>
        <w:spacing w:after="0" w:line="252" w:lineRule="auto"/>
        <w:tabs>
          <w:tab w:leader="none" w:pos="23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state, commonwealth or territory of the United States or any political subdivision or taxing authority thereof having one of the two highest ratings obtainable from either Moody’s or S&amp;P (or reasonably equivalent ratings of another internationally recognized ratings agency) with maturities of twenty-four</w:t>
      </w:r>
    </w:p>
    <w:p>
      <w:pPr>
        <w:spacing w:after="0" w:line="2" w:lineRule="exact"/>
        <w:rPr>
          <w:rFonts w:ascii="Arial" w:cs="Arial" w:eastAsia="Arial" w:hAnsi="Arial"/>
          <w:sz w:val="17"/>
          <w:szCs w:val="17"/>
          <w:color w:val="auto"/>
        </w:rPr>
      </w:pPr>
    </w:p>
    <w:p>
      <w:pPr>
        <w:ind w:left="1920" w:hanging="356"/>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months or less from the date of acquisition;</w:t>
      </w:r>
    </w:p>
    <w:p>
      <w:pPr>
        <w:spacing w:after="0" w:line="215" w:lineRule="exact"/>
        <w:rPr>
          <w:rFonts w:ascii="Arial" w:cs="Arial" w:eastAsia="Arial" w:hAnsi="Arial"/>
          <w:sz w:val="18"/>
          <w:szCs w:val="18"/>
          <w:color w:val="auto"/>
        </w:rPr>
      </w:pPr>
    </w:p>
    <w:p>
      <w:pPr>
        <w:ind w:left="1560" w:firstLine="606"/>
        <w:spacing w:after="0" w:line="263" w:lineRule="auto"/>
        <w:tabs>
          <w:tab w:leader="none" w:pos="2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in each case, satisfying the requirements of clause (e) of this definition;</w:t>
      </w:r>
    </w:p>
    <w:p>
      <w:pPr>
        <w:spacing w:after="0" w:line="173" w:lineRule="exact"/>
        <w:rPr>
          <w:rFonts w:ascii="Arial" w:cs="Arial" w:eastAsia="Arial" w:hAnsi="Arial"/>
          <w:sz w:val="18"/>
          <w:szCs w:val="18"/>
          <w:color w:val="auto"/>
        </w:rPr>
      </w:pPr>
    </w:p>
    <w:p>
      <w:pPr>
        <w:ind w:left="2960" w:hanging="794"/>
        <w:spacing w:after="0"/>
        <w:tabs>
          <w:tab w:leader="none" w:pos="2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investment funds investing at least 95.00% of their assets in securities of the types described in clauses</w:t>
      </w:r>
    </w:p>
    <w:p>
      <w:pPr>
        <w:spacing w:after="0" w:line="32" w:lineRule="exact"/>
        <w:rPr>
          <w:rFonts w:ascii="Arial" w:cs="Arial" w:eastAsia="Arial" w:hAnsi="Arial"/>
          <w:sz w:val="16"/>
          <w:szCs w:val="16"/>
          <w:color w:val="auto"/>
        </w:rPr>
      </w:pPr>
    </w:p>
    <w:p>
      <w:pPr>
        <w:ind w:left="1560"/>
        <w:spacing w:after="0"/>
        <w:rPr>
          <w:rFonts w:ascii="Arial" w:cs="Arial" w:eastAsia="Arial" w:hAnsi="Arial"/>
          <w:sz w:val="16"/>
          <w:szCs w:val="16"/>
          <w:color w:val="auto"/>
        </w:rPr>
      </w:pPr>
      <w:r>
        <w:rPr>
          <w:rFonts w:ascii="Arial" w:cs="Arial" w:eastAsia="Arial" w:hAnsi="Arial"/>
          <w:sz w:val="18"/>
          <w:szCs w:val="18"/>
          <w:color w:val="auto"/>
        </w:rPr>
        <w:t>(a) through (j) above; and</w:t>
      </w:r>
    </w:p>
    <w:p>
      <w:pPr>
        <w:spacing w:after="0" w:line="215" w:lineRule="exact"/>
        <w:rPr>
          <w:rFonts w:ascii="Arial" w:cs="Arial" w:eastAsia="Arial" w:hAnsi="Arial"/>
          <w:sz w:val="16"/>
          <w:szCs w:val="16"/>
          <w:color w:val="auto"/>
        </w:rPr>
      </w:pPr>
    </w:p>
    <w:p>
      <w:pPr>
        <w:jc w:val="both"/>
        <w:ind w:left="1560" w:firstLine="606"/>
        <w:spacing w:after="0" w:line="248" w:lineRule="auto"/>
        <w:tabs>
          <w:tab w:leader="none" w:pos="2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case of any Restricted Subsidiary organized or having its principal place of business outside of the United States, Investments of comparable tenor and credit quality to those described in the foregoing clauses (a) through (k) customarily utilized in countries in which such Restricted Subsidiary operates.</w:t>
      </w:r>
    </w:p>
    <w:p>
      <w:pPr>
        <w:spacing w:after="0" w:line="198" w:lineRule="exact"/>
        <w:rPr>
          <w:sz w:val="20"/>
          <w:szCs w:val="20"/>
          <w:color w:val="auto"/>
        </w:rPr>
      </w:pPr>
    </w:p>
    <w:p>
      <w:pPr>
        <w:jc w:val="both"/>
        <w:ind w:left="960" w:firstLine="602"/>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Obligations</w:t>
      </w:r>
      <w:r>
        <w:rPr>
          <w:rFonts w:ascii="Arial" w:cs="Arial" w:eastAsia="Arial" w:hAnsi="Arial"/>
          <w:sz w:val="17"/>
          <w:szCs w:val="17"/>
          <w:color w:val="auto"/>
        </w:rPr>
        <w:t>” shall mean all obligations, including guarantees thereof, of the Borrower or any of its Restricted Subsidiaries to any Person that (x) at the time it enters into providing Cash Management Obligations to the Borrower or any of its Restricted Subsidiaries or (y) on the Closing Date, is either an Administrative Agent, a Lender or an Affiliate of an Administrative Agent or Lender, in its capacity as a party to Cash Management Obligations to the Borrower or any of its Restricted Subsidiaries and in each case, that has provided notice to the Administrative Agent that it is providing Cash Management Obligations to the Borrower or any of its Restricted Subsidiaries which constitute obligations (including guarantees thereof) in respect of (i) overdrafts and related liabilities owed to any such bank or financial institution arising from treasury, depositary and cash management services or in connection with any automated clearinghouse transfer of funds, (ii) foreign exchange and currency management services or (iii) purchase cards, credit cards or similar services, in each case, arising from transactions in the ordinary course of business of the Borrower or any of its Restricted Subsidiaries, to the extent such obligations are primary obligations of a Loan Party or a Restricted Subsidiary or are guaranteed by a Loan Party or a Restricted Subsidiary.</w:t>
      </w:r>
    </w:p>
    <w:p>
      <w:pPr>
        <w:spacing w:after="0" w:line="18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CEA</w:t>
      </w:r>
      <w:r>
        <w:rPr>
          <w:rFonts w:ascii="Arial" w:cs="Arial" w:eastAsia="Arial" w:hAnsi="Arial"/>
          <w:sz w:val="18"/>
          <w:szCs w:val="18"/>
          <w:color w:val="auto"/>
        </w:rPr>
        <w:t>” shall mean the Commodity Exchange Act, as amended.</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Securities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6.19</w:t>
      </w:r>
      <w:r>
        <w:rPr>
          <w:rFonts w:ascii="Arial" w:cs="Arial" w:eastAsia="Arial" w:hAnsi="Arial"/>
          <w:sz w:val="18"/>
          <w:szCs w:val="18"/>
          <w:color w:val="auto"/>
        </w:rPr>
        <w:t>.</w:t>
      </w:r>
    </w:p>
    <w:p>
      <w:pPr>
        <w:spacing w:after="0" w:line="295" w:lineRule="exact"/>
        <w:rPr>
          <w:sz w:val="20"/>
          <w:szCs w:val="20"/>
          <w:color w:val="auto"/>
        </w:rPr>
      </w:pPr>
    </w:p>
    <w:p>
      <w:pPr>
        <w:ind w:left="960" w:right="1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shall mean a “controlled foreign corporation” within the meaning of Section 957 of the Code (which shall include, for the avoidance of doubt, Pulse Global Services,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00"/>
          </w:cols>
          <w:pgMar w:left="360" w:top="1326" w:right="839" w:bottom="1440" w:gutter="0" w:footer="0" w:header="0"/>
        </w:sectPr>
      </w:pPr>
    </w:p>
    <w:bookmarkStart w:id="95" w:name="page96"/>
    <w:bookmarkEnd w:id="95"/>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shall mean a Subsidiary of the Borrower that has no material assets other than Equity Interests (or Equity Interests and Indebtedness) of one or more direct or indirect Foreign Subsidiaries of the Borrower that are CFCs.</w:t>
      </w:r>
    </w:p>
    <w:p>
      <w:pPr>
        <w:spacing w:after="0" w:line="18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shall mean the enactment, promulgation, execution or ratification of, or any change in or amendment to, any law, treaty, regulation or rule (or in the official application or interpretation of any law, treaty, regulation or rule, including a holding, judgment or order by a court of competent jurisdiction) relating to taxation.</w:t>
      </w:r>
    </w:p>
    <w:p>
      <w:pPr>
        <w:spacing w:after="0" w:line="186" w:lineRule="exact"/>
        <w:rPr>
          <w:sz w:val="20"/>
          <w:szCs w:val="20"/>
          <w:color w:val="auto"/>
        </w:rPr>
      </w:pPr>
    </w:p>
    <w:p>
      <w:pPr>
        <w:jc w:val="both"/>
        <w:ind w:left="960" w:firstLine="60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 at any time, (a) any “person” or “group,” (within the meaning of Rule 13d-3 (other than sub-section (b) of Rule 13d-3) and Rule 13d-5 under the Securities Exchange Act) other than one or more of the Permitted Holders, individually or cumulatively, shall Beneficially Own Capital Stock of the Borrower representing more than 35.00% of the aggregate ordinary voting power of the Borrower and the percentage of the aggregate ordinary voting power represented by such Capital Stock Beneficially Owned by such person or group exceeds the percentage of the aggregate ordinary voting power represented by Capital Stock of the Borrower then Beneficially Owned by one or more of the Permitted Holders or (b) a “change of control” shall occur under any documentation governing any other Indebtedness in excess of the Threshold Amount.</w:t>
      </w:r>
    </w:p>
    <w:p>
      <w:pPr>
        <w:spacing w:after="0" w:line="19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w:t>
      </w:r>
      <w:r>
        <w:rPr>
          <w:rFonts w:ascii="Arial" w:cs="Arial" w:eastAsia="Arial" w:hAnsi="Arial"/>
          <w:sz w:val="18"/>
          <w:szCs w:val="18"/>
          <w:color w:val="auto"/>
        </w:rPr>
        <w:t>” shall mean any charge, fee, expense, cost, accrual or reserve of any kind.</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shall mean (a) when used with respect to Lenders, whether such Lenders are Revolving Lenders or Term Lenders,</w:t>
      </w:r>
    </w:p>
    <w:p>
      <w:pPr>
        <w:spacing w:after="0" w:line="33" w:lineRule="exact"/>
        <w:rPr>
          <w:sz w:val="20"/>
          <w:szCs w:val="20"/>
          <w:color w:val="auto"/>
        </w:rPr>
      </w:pPr>
    </w:p>
    <w:p>
      <w:pPr>
        <w:jc w:val="both"/>
        <w:ind w:left="960" w:firstLine="3"/>
        <w:spacing w:after="0" w:line="235" w:lineRule="auto"/>
        <w:tabs>
          <w:tab w:leader="none" w:pos="12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used with respect to Commitments, whether such Commitments are Revolving Loan Commitments, Incremental Revolving Loan Commitments, Incremental Term Loan Commitments, Other Revolving Commitments or Other Term Commitments and (c) when used with respect to Loans or a Borrowing, whether such Loans, or the Loans comprising such Borrowing, are Revolving Loans, Incremental Term Loans, Incremental Revolving Loans, Other Term Loans or Other Revolving Loans. Incremental Revolving Loans, Incremental Term Loans, Other Revolving Loans, Other Term Loans, Incremental Revolving Loan Commitments, Incremental Term Loan Commitments, Other Revolving Commitments and Other Term Commitments (and, in each case, the Lenders holding such Loans or Commitments) made pursuant to any Incremental Amendment that have different terms and conditions shall be construed to be in different Classes.</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July 2, 2021.</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95"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mean all property and assets (whether real or personal) with respect to which any security interests have been granted (or purported to have been granted) pursuant to any Security Document to secure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shall not include any Excluded Assets.</w:t>
      </w:r>
    </w:p>
    <w:p>
      <w:pPr>
        <w:spacing w:after="0" w:line="261"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mean the Administrative Agent acting as collateral agent for the Secured Parties pursuant to the Security Documents.</w:t>
      </w:r>
    </w:p>
    <w:p>
      <w:pPr>
        <w:spacing w:after="0" w:line="186"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Exclusions</w:t>
      </w:r>
      <w:r>
        <w:rPr>
          <w:rFonts w:ascii="Arial" w:cs="Arial" w:eastAsia="Arial" w:hAnsi="Arial"/>
          <w:sz w:val="18"/>
          <w:szCs w:val="18"/>
          <w:color w:val="auto"/>
        </w:rPr>
        <w:t>” shall mean (i) customary cash collateral in favor of an agent, letter of credit issuer or similar “fronting” lender, (ii) Liens on property or assets applicable only to periods after the Latest Maturity Date at the time of incurrence and (iii) any Liens on property or assets to the extent that a Lien on such property or asset is also added for the benefit of the Lenders for so long as such Liens secure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00"/>
          </w:cols>
          <w:pgMar w:left="360" w:top="1326" w:right="839" w:bottom="1440" w:gutter="0" w:footer="0" w:header="0"/>
        </w:sectPr>
      </w:pPr>
    </w:p>
    <w:bookmarkStart w:id="96" w:name="page97"/>
    <w:bookmarkEnd w:id="96"/>
    <w:p>
      <w:pPr>
        <w:jc w:val="both"/>
        <w:ind w:left="96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w:t>
      </w:r>
      <w:r>
        <w:rPr>
          <w:rFonts w:ascii="Arial" w:cs="Arial" w:eastAsia="Arial" w:hAnsi="Arial"/>
          <w:sz w:val="18"/>
          <w:szCs w:val="18"/>
          <w:color w:val="auto"/>
        </w:rPr>
        <w:t>” shall mean to (i) pledge and deposit with or deliver to the Collateral Agent or the Issuing Lenders, for the benefit of the Issuing Lenders and the Revolving Lenders, as collateral for the L/C Obligations, cash or deposit account balances (“</w:t>
      </w:r>
      <w:r>
        <w:rPr>
          <w:rFonts w:ascii="Arial" w:cs="Arial" w:eastAsia="Arial" w:hAnsi="Arial"/>
          <w:sz w:val="18"/>
          <w:szCs w:val="18"/>
          <w:u w:val="single" w:color="auto"/>
          <w:color w:val="auto"/>
        </w:rPr>
        <w:t>Cash Collateral</w:t>
      </w:r>
      <w:r>
        <w:rPr>
          <w:rFonts w:ascii="Arial" w:cs="Arial" w:eastAsia="Arial" w:hAnsi="Arial"/>
          <w:sz w:val="18"/>
          <w:szCs w:val="18"/>
          <w:color w:val="auto"/>
        </w:rPr>
        <w:t>”) pursuant to documentation in form and substance reasonably satisfactory to the Collateral Agent or (ii) issue back to back letters of credit for the benefit of the Issuing Lenders in a form and substance (including as to the identity of the issuer thereof) reasonably satisfactory to the Collateral Agent and the Issuing Lenders, in each case in an amount not less than 103.0% of the outstanding L/C Obligations.</w:t>
      </w:r>
    </w:p>
    <w:p>
      <w:pPr>
        <w:spacing w:after="0" w:line="205"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shall mean any of the commitments of any Lender, </w:t>
      </w:r>
      <w:r>
        <w:rPr>
          <w:rFonts w:ascii="Arial" w:cs="Arial" w:eastAsia="Arial" w:hAnsi="Arial"/>
          <w:sz w:val="18"/>
          <w:szCs w:val="18"/>
          <w:u w:val="single" w:color="auto"/>
          <w:color w:val="auto"/>
        </w:rPr>
        <w:t>i.e</w:t>
      </w:r>
      <w:r>
        <w:rPr>
          <w:rFonts w:ascii="Arial" w:cs="Arial" w:eastAsia="Arial" w:hAnsi="Arial"/>
          <w:sz w:val="18"/>
          <w:szCs w:val="18"/>
          <w:color w:val="auto"/>
        </w:rPr>
        <w:t>., a Term Loan Commitment or a Revolving Loan Commitment.</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95"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shall mean that certain Commitment Letter, dated as of June 8, 2021, among the Joint Lead Arrangers (and their respective Affiliates) and the Borrower.</w:t>
      </w:r>
    </w:p>
    <w:p>
      <w:pPr>
        <w:spacing w:after="0" w:line="18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shall mean a person or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98" w:lineRule="exact"/>
        <w:rPr>
          <w:sz w:val="20"/>
          <w:szCs w:val="20"/>
          <w:color w:val="auto"/>
        </w:rPr>
      </w:pPr>
    </w:p>
    <w:p>
      <w:pPr>
        <w:jc w:val="both"/>
        <w:ind w:left="960" w:firstLine="602"/>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Date</w:t>
      </w:r>
      <w:r>
        <w:rPr>
          <w:rFonts w:ascii="Arial" w:cs="Arial" w:eastAsia="Arial" w:hAnsi="Arial"/>
          <w:sz w:val="18"/>
          <w:szCs w:val="18"/>
          <w:color w:val="auto"/>
        </w:rPr>
        <w:t xml:space="preserve">” shall mean any date on which the aggregate principal amount of all Revolving Loans, Swingline Loans and drawn Letters of Credit that have not then been reimbursed pursuant to </w:t>
      </w:r>
      <w:r>
        <w:rPr>
          <w:rFonts w:ascii="Arial" w:cs="Arial" w:eastAsia="Arial" w:hAnsi="Arial"/>
          <w:sz w:val="18"/>
          <w:szCs w:val="18"/>
          <w:u w:val="single" w:color="auto"/>
          <w:color w:val="auto"/>
        </w:rPr>
        <w:t>Section</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3.5</w:t>
      </w:r>
      <w:r>
        <w:rPr>
          <w:rFonts w:ascii="Arial" w:cs="Arial" w:eastAsia="Arial" w:hAnsi="Arial"/>
          <w:sz w:val="18"/>
          <w:szCs w:val="18"/>
          <w:color w:val="auto"/>
        </w:rPr>
        <w:t xml:space="preserve"> exceeds 35.0% of the aggregate amount of the Revolving Loan Commitments at such time.</w:t>
      </w:r>
    </w:p>
    <w:p>
      <w:pPr>
        <w:spacing w:after="0" w:line="27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CEBITDA</w:t>
      </w:r>
      <w:r>
        <w:rPr>
          <w:rFonts w:ascii="Arial" w:cs="Arial" w:eastAsia="Arial" w:hAnsi="Arial"/>
          <w:sz w:val="17"/>
          <w:szCs w:val="17"/>
          <w:color w:val="auto"/>
        </w:rPr>
        <w:t>” shall mean, with respect to the Borrower and its consolidated Restricted Subsidiaries for any</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Test Period:</w:t>
      </w:r>
    </w:p>
    <w:p>
      <w:pPr>
        <w:spacing w:after="0" w:line="216" w:lineRule="exact"/>
        <w:rPr>
          <w:sz w:val="20"/>
          <w:szCs w:val="20"/>
          <w:color w:val="auto"/>
        </w:rPr>
      </w:pPr>
    </w:p>
    <w:p>
      <w:pPr>
        <w:ind w:left="2760" w:hanging="594"/>
        <w:spacing w:after="0"/>
        <w:tabs>
          <w:tab w:leader="none" w:pos="2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u w:val="single" w:color="auto"/>
          <w:color w:val="auto"/>
        </w:rPr>
        <w:t>plus</w:t>
      </w:r>
    </w:p>
    <w:p>
      <w:pPr>
        <w:spacing w:after="0" w:line="294" w:lineRule="exact"/>
        <w:rPr>
          <w:rFonts w:ascii="Arial" w:cs="Arial" w:eastAsia="Arial" w:hAnsi="Arial"/>
          <w:sz w:val="18"/>
          <w:szCs w:val="18"/>
          <w:color w:val="auto"/>
        </w:rPr>
      </w:pPr>
    </w:p>
    <w:p>
      <w:pPr>
        <w:ind w:left="1560" w:right="700" w:firstLine="606"/>
        <w:spacing w:after="0" w:line="263" w:lineRule="auto"/>
        <w:tabs>
          <w:tab w:leader="none" w:pos="29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sum (without duplication), of the following amounts for such period, but solely to the extent decreasing Consolidated Net Income (except as set forth in (b)(xv) and (xvi) below):</w:t>
      </w:r>
    </w:p>
    <w:p>
      <w:pPr>
        <w:spacing w:after="0" w:line="185" w:lineRule="exact"/>
        <w:rPr>
          <w:rFonts w:ascii="Arial" w:cs="Arial" w:eastAsia="Arial" w:hAnsi="Arial"/>
          <w:sz w:val="18"/>
          <w:szCs w:val="18"/>
          <w:color w:val="auto"/>
        </w:rPr>
      </w:pPr>
    </w:p>
    <w:p>
      <w:pPr>
        <w:jc w:val="both"/>
        <w:ind w:left="2160" w:firstLine="608"/>
        <w:spacing w:after="0" w:line="248" w:lineRule="auto"/>
        <w:tabs>
          <w:tab w:leader="none" w:pos="2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Consolidated Interest Expense (and to the extent not reflected in Consolidated Interest Expense, all Charges owed with respect to Indebtedness, letters of credit and bankers’ acceptances and net costs under Swap Agreements in respect of interest rates), </w:t>
      </w:r>
      <w:r>
        <w:rPr>
          <w:rFonts w:ascii="Arial" w:cs="Arial" w:eastAsia="Arial" w:hAnsi="Arial"/>
          <w:sz w:val="18"/>
          <w:szCs w:val="18"/>
          <w:u w:val="single" w:color="auto"/>
          <w:color w:val="auto"/>
        </w:rPr>
        <w:t>plus</w:t>
      </w:r>
    </w:p>
    <w:p>
      <w:pPr>
        <w:spacing w:after="0" w:line="261" w:lineRule="exact"/>
        <w:rPr>
          <w:rFonts w:ascii="Arial" w:cs="Arial" w:eastAsia="Arial" w:hAnsi="Arial"/>
          <w:sz w:val="18"/>
          <w:szCs w:val="18"/>
          <w:color w:val="auto"/>
        </w:rPr>
      </w:pPr>
    </w:p>
    <w:p>
      <w:pPr>
        <w:ind w:left="2160" w:right="140" w:firstLine="608"/>
        <w:spacing w:after="0" w:line="263" w:lineRule="auto"/>
        <w:tabs>
          <w:tab w:leader="none" w:pos="3563"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provisions for Taxes based on income, profits or capital (including federal, foreign, state, local, franchise, excise, and similar Taxes), and stamp duty Taxes, </w:t>
      </w:r>
      <w:r>
        <w:rPr>
          <w:rFonts w:ascii="Arial" w:cs="Arial" w:eastAsia="Arial" w:hAnsi="Arial"/>
          <w:sz w:val="18"/>
          <w:szCs w:val="18"/>
          <w:u w:val="single" w:color="auto"/>
          <w:color w:val="auto"/>
        </w:rPr>
        <w:t>plus</w:t>
      </w:r>
    </w:p>
    <w:p>
      <w:pPr>
        <w:spacing w:after="0" w:line="248" w:lineRule="exact"/>
        <w:rPr>
          <w:rFonts w:ascii="Arial" w:cs="Arial" w:eastAsia="Arial" w:hAnsi="Arial"/>
          <w:sz w:val="18"/>
          <w:szCs w:val="18"/>
          <w:color w:val="auto"/>
        </w:rPr>
      </w:pPr>
    </w:p>
    <w:p>
      <w:pPr>
        <w:jc w:val="both"/>
        <w:ind w:left="2160" w:firstLine="608"/>
        <w:spacing w:after="0" w:line="248" w:lineRule="auto"/>
        <w:tabs>
          <w:tab w:leader="none" w:pos="35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total depreciation and amortization Charges (including amortization or impairment of intangibles (including goodwill) and organization Charges but excluding amortization expense attributable to a prepaid cash item that was paid in a prior Test Period), </w:t>
      </w:r>
      <w:r>
        <w:rPr>
          <w:rFonts w:ascii="Arial" w:cs="Arial" w:eastAsia="Arial" w:hAnsi="Arial"/>
          <w:sz w:val="18"/>
          <w:szCs w:val="18"/>
          <w:u w:val="single" w:color="auto"/>
          <w:color w:val="auto"/>
        </w:rPr>
        <w:t>plus</w:t>
      </w:r>
    </w:p>
    <w:p>
      <w:pPr>
        <w:spacing w:after="0" w:line="273" w:lineRule="exact"/>
        <w:rPr>
          <w:rFonts w:ascii="Arial" w:cs="Arial" w:eastAsia="Arial" w:hAnsi="Arial"/>
          <w:sz w:val="18"/>
          <w:szCs w:val="18"/>
          <w:color w:val="auto"/>
        </w:rPr>
      </w:pPr>
    </w:p>
    <w:p>
      <w:pPr>
        <w:jc w:val="both"/>
        <w:ind w:left="2160" w:firstLine="608"/>
        <w:spacing w:after="0" w:line="262" w:lineRule="auto"/>
        <w:tabs>
          <w:tab w:leader="none" w:pos="355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adjustments and add-backs of the type identified in any quality of earnings report prepared by independent public accountants of nationally recognized standing delivered to the Administrative Agent in connection with any Permitted Acquisition or other Investment permitted hereunder, excluding any such adjustments and add-backs relating to revenue enhancements, run rate projections, and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336550</wp:posOffset>
            </wp:positionV>
            <wp:extent cx="326390" cy="182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00"/>
          </w:cols>
          <w:pgMar w:left="360" w:top="1326" w:right="839" w:bottom="1440" w:gutter="0" w:footer="0" w:header="0"/>
        </w:sectPr>
      </w:pPr>
    </w:p>
    <w:bookmarkStart w:id="97" w:name="page98"/>
    <w:bookmarkEnd w:id="97"/>
    <w:p>
      <w:pPr>
        <w:jc w:val="right"/>
        <w:ind w:right="259"/>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amount added back pursuant to this clause (iv), together with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99"/>
          </w:cols>
          <w:pgMar w:left="360" w:top="1339" w:right="1440" w:bottom="1440" w:gutter="0" w:footer="0" w:header="0"/>
        </w:sectPr>
      </w:pPr>
    </w:p>
    <w:bookmarkStart w:id="98" w:name="page99"/>
    <w:bookmarkEnd w:id="98"/>
    <w:p>
      <w:pPr>
        <w:jc w:val="both"/>
        <w:ind w:left="2160" w:right="20"/>
        <w:spacing w:after="0" w:line="258" w:lineRule="auto"/>
        <w:rPr>
          <w:sz w:val="20"/>
          <w:szCs w:val="20"/>
          <w:color w:val="auto"/>
        </w:rPr>
      </w:pPr>
      <w:r>
        <w:rPr>
          <w:rFonts w:ascii="Arial" w:cs="Arial" w:eastAsia="Arial" w:hAnsi="Arial"/>
          <w:sz w:val="17"/>
          <w:szCs w:val="17"/>
          <w:color w:val="auto"/>
        </w:rPr>
        <w:t xml:space="preserve">amount added back pursuant to clause (xv) and the definition of “Pro Forma Basis”, shall not exceed 30.0% of Consolidated CEBITDA (calculated on a Pro Forma Basis after giving effect to such add-back) for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adjustments and add- backs included in any such quality of earnings report relating to excess commissions, incentives and personal expenses, shareholder compensation and shareholder-related expenses shall not be subject to the cap set forth in the preceding proviso;</w:t>
      </w:r>
    </w:p>
    <w:p>
      <w:pPr>
        <w:spacing w:after="0" w:line="191"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plus</w:t>
      </w:r>
    </w:p>
    <w:p>
      <w:pPr>
        <w:spacing w:after="0" w:line="295" w:lineRule="exact"/>
        <w:rPr>
          <w:sz w:val="20"/>
          <w:szCs w:val="20"/>
          <w:color w:val="auto"/>
        </w:rPr>
      </w:pPr>
    </w:p>
    <w:p>
      <w:pPr>
        <w:ind w:left="2160" w:right="20" w:firstLine="608"/>
        <w:spacing w:after="0" w:line="263" w:lineRule="auto"/>
        <w:tabs>
          <w:tab w:leader="none" w:pos="35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business interruption insurance proceeds to the extent covered by insurance proceeds, losses in connection with casualty events, in each case to the extent actually received in cash, </w:t>
      </w:r>
      <w:r>
        <w:rPr>
          <w:rFonts w:ascii="Arial" w:cs="Arial" w:eastAsia="Arial" w:hAnsi="Arial"/>
          <w:sz w:val="18"/>
          <w:szCs w:val="18"/>
          <w:u w:val="single" w:color="auto"/>
          <w:color w:val="auto"/>
        </w:rPr>
        <w:t>plus</w:t>
      </w:r>
    </w:p>
    <w:p>
      <w:pPr>
        <w:spacing w:after="0" w:line="248" w:lineRule="exact"/>
        <w:rPr>
          <w:rFonts w:ascii="Arial" w:cs="Arial" w:eastAsia="Arial" w:hAnsi="Arial"/>
          <w:sz w:val="18"/>
          <w:szCs w:val="18"/>
          <w:color w:val="auto"/>
        </w:rPr>
      </w:pPr>
    </w:p>
    <w:p>
      <w:pPr>
        <w:jc w:val="both"/>
        <w:ind w:left="2160" w:right="20" w:firstLine="608"/>
        <w:spacing w:after="0" w:line="262" w:lineRule="auto"/>
        <w:tabs>
          <w:tab w:leader="none" w:pos="35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non-cash Charges for employee compensation plans or other non-cash Charges, arising from the sale or issuance of Equity Interests, the granting of options for Equity Interests, the granting of appreciation rights and similar arrangements in respect of Equity Interests (including any repricing, amendment, modification, substitution or change of any such Equity Interests or similar arrangements), </w:t>
      </w:r>
      <w:r>
        <w:rPr>
          <w:rFonts w:ascii="Arial" w:cs="Arial" w:eastAsia="Arial" w:hAnsi="Arial"/>
          <w:sz w:val="17"/>
          <w:szCs w:val="17"/>
          <w:u w:val="single" w:color="auto"/>
          <w:color w:val="auto"/>
        </w:rPr>
        <w:t>plus</w:t>
      </w:r>
    </w:p>
    <w:p>
      <w:pPr>
        <w:spacing w:after="0" w:line="249" w:lineRule="exact"/>
        <w:rPr>
          <w:rFonts w:ascii="Arial" w:cs="Arial" w:eastAsia="Arial" w:hAnsi="Arial"/>
          <w:sz w:val="17"/>
          <w:szCs w:val="17"/>
          <w:color w:val="auto"/>
        </w:rPr>
      </w:pPr>
    </w:p>
    <w:p>
      <w:pPr>
        <w:jc w:val="both"/>
        <w:ind w:left="2160" w:firstLine="608"/>
        <w:spacing w:after="0" w:line="277" w:lineRule="auto"/>
        <w:tabs>
          <w:tab w:leader="none" w:pos="35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Charges and payments that are covered by indemnification or purchase price adjustment provisions in any agreement entered into in connection with a Permitted Acquisition or proposed acquisition that was reasonably expected to be a Permitted Acquisition, in each case, to the extent actually received in cash and (y) Charges and payments covered by indemnification, insurance, reimbursement, guaranty, purchase price adjustment or similar arrangements to the extent such Charges and payments have been paid or reimbursed in cash, </w:t>
      </w:r>
      <w:r>
        <w:rPr>
          <w:rFonts w:ascii="Arial" w:cs="Arial" w:eastAsia="Arial" w:hAnsi="Arial"/>
          <w:sz w:val="16"/>
          <w:szCs w:val="16"/>
          <w:u w:val="single" w:color="auto"/>
          <w:color w:val="auto"/>
        </w:rPr>
        <w:t>plus</w:t>
      </w:r>
    </w:p>
    <w:p>
      <w:pPr>
        <w:spacing w:after="0" w:line="242" w:lineRule="exact"/>
        <w:rPr>
          <w:rFonts w:ascii="Arial" w:cs="Arial" w:eastAsia="Arial" w:hAnsi="Arial"/>
          <w:sz w:val="16"/>
          <w:szCs w:val="16"/>
          <w:color w:val="auto"/>
        </w:rPr>
      </w:pPr>
    </w:p>
    <w:p>
      <w:pPr>
        <w:ind w:left="2160" w:right="20" w:firstLine="608"/>
        <w:spacing w:after="0" w:line="293" w:lineRule="auto"/>
        <w:tabs>
          <w:tab w:leader="none" w:pos="35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earn-outs and other contingent payments in connection with acquisitions, to the extent such earn-outs or payments are expensed on the financial statements of the Borrower and its Subsidiaries, </w:t>
      </w:r>
      <w:r>
        <w:rPr>
          <w:rFonts w:ascii="Arial" w:cs="Arial" w:eastAsia="Arial" w:hAnsi="Arial"/>
          <w:sz w:val="17"/>
          <w:szCs w:val="17"/>
          <w:u w:val="single" w:color="auto"/>
          <w:color w:val="auto"/>
        </w:rPr>
        <w:t>plus</w:t>
      </w:r>
    </w:p>
    <w:p>
      <w:pPr>
        <w:spacing w:after="0" w:line="224" w:lineRule="exact"/>
        <w:rPr>
          <w:rFonts w:ascii="Arial" w:cs="Arial" w:eastAsia="Arial" w:hAnsi="Arial"/>
          <w:sz w:val="17"/>
          <w:szCs w:val="17"/>
          <w:color w:val="auto"/>
        </w:rPr>
      </w:pPr>
    </w:p>
    <w:p>
      <w:pPr>
        <w:jc w:val="both"/>
        <w:ind w:left="2160" w:right="20" w:firstLine="608"/>
        <w:spacing w:after="0" w:line="248" w:lineRule="auto"/>
        <w:tabs>
          <w:tab w:leader="none" w:pos="35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reasonable expense reimbursements and indemnities and fees, in each case, of the board of directors of the Borrower and its Subsidiaries paid in cash by the Borrower or its Subsidiaries during such period in an amount, </w:t>
      </w:r>
      <w:r>
        <w:rPr>
          <w:rFonts w:ascii="Arial" w:cs="Arial" w:eastAsia="Arial" w:hAnsi="Arial"/>
          <w:sz w:val="18"/>
          <w:szCs w:val="18"/>
          <w:u w:val="single" w:color="auto"/>
          <w:color w:val="auto"/>
        </w:rPr>
        <w:t>plus</w:t>
      </w:r>
    </w:p>
    <w:p>
      <w:pPr>
        <w:spacing w:after="0" w:line="273" w:lineRule="exact"/>
        <w:rPr>
          <w:rFonts w:ascii="Arial" w:cs="Arial" w:eastAsia="Arial" w:hAnsi="Arial"/>
          <w:sz w:val="18"/>
          <w:szCs w:val="18"/>
          <w:color w:val="auto"/>
        </w:rPr>
      </w:pPr>
    </w:p>
    <w:p>
      <w:pPr>
        <w:ind w:left="2160" w:right="520" w:firstLine="608"/>
        <w:spacing w:after="0" w:line="263" w:lineRule="auto"/>
        <w:tabs>
          <w:tab w:leader="none" w:pos="35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expense reimbursements paid in cash to Investors or their Affiliates by the Borrower or its Subsidiaries during such Test Period, </w:t>
      </w:r>
      <w:r>
        <w:rPr>
          <w:rFonts w:ascii="Arial" w:cs="Arial" w:eastAsia="Arial" w:hAnsi="Arial"/>
          <w:sz w:val="18"/>
          <w:szCs w:val="18"/>
          <w:u w:val="single" w:color="auto"/>
          <w:color w:val="auto"/>
        </w:rPr>
        <w:t>plus</w:t>
      </w:r>
    </w:p>
    <w:p>
      <w:pPr>
        <w:spacing w:after="0" w:line="248" w:lineRule="exact"/>
        <w:rPr>
          <w:rFonts w:ascii="Arial" w:cs="Arial" w:eastAsia="Arial" w:hAnsi="Arial"/>
          <w:sz w:val="18"/>
          <w:szCs w:val="18"/>
          <w:color w:val="auto"/>
        </w:rPr>
      </w:pPr>
    </w:p>
    <w:p>
      <w:pPr>
        <w:jc w:val="both"/>
        <w:ind w:left="2160" w:right="20" w:firstLine="608"/>
        <w:spacing w:after="0" w:line="248" w:lineRule="auto"/>
        <w:tabs>
          <w:tab w:leader="none" w:pos="35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other Charges paid in cash during such Test Period to the extent such Charges are reimbursed in cash within the same period of add-back by third-party Persons, other than the Borrower or its Restricted Subsidiaries, </w:t>
      </w:r>
      <w:r>
        <w:rPr>
          <w:rFonts w:ascii="Arial" w:cs="Arial" w:eastAsia="Arial" w:hAnsi="Arial"/>
          <w:sz w:val="18"/>
          <w:szCs w:val="18"/>
          <w:u w:val="single" w:color="auto"/>
          <w:color w:val="auto"/>
        </w:rPr>
        <w:t>plus</w:t>
      </w:r>
    </w:p>
    <w:p>
      <w:pPr>
        <w:spacing w:after="0" w:line="261" w:lineRule="exact"/>
        <w:rPr>
          <w:rFonts w:ascii="Arial" w:cs="Arial" w:eastAsia="Arial" w:hAnsi="Arial"/>
          <w:sz w:val="18"/>
          <w:szCs w:val="18"/>
          <w:color w:val="auto"/>
        </w:rPr>
      </w:pPr>
    </w:p>
    <w:p>
      <w:pPr>
        <w:jc w:val="both"/>
        <w:ind w:left="2160" w:right="20" w:firstLine="608"/>
        <w:spacing w:after="0" w:line="242" w:lineRule="auto"/>
        <w:tabs>
          <w:tab w:leader="none" w:pos="35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consultant fees, advisory fees and management fees paid to the Investors;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aggregate amount added back pursuant to this clause (xii) shall not exceed the greater of (a) $20,000,000 and (b) 20.0% of Consolidated CEBITDA (calculated on a Pro Forma Basis after giving effect to such add-back) for such Test Period, </w:t>
      </w:r>
      <w:r>
        <w:rPr>
          <w:rFonts w:ascii="Arial" w:cs="Arial" w:eastAsia="Arial" w:hAnsi="Arial"/>
          <w:sz w:val="18"/>
          <w:szCs w:val="18"/>
          <w:u w:val="single" w:color="auto"/>
          <w:color w:val="auto"/>
        </w:rPr>
        <w:t>plus</w:t>
      </w:r>
    </w:p>
    <w:p>
      <w:pPr>
        <w:spacing w:after="0" w:line="268" w:lineRule="exact"/>
        <w:rPr>
          <w:rFonts w:ascii="Arial" w:cs="Arial" w:eastAsia="Arial" w:hAnsi="Arial"/>
          <w:sz w:val="18"/>
          <w:szCs w:val="18"/>
          <w:color w:val="auto"/>
        </w:rPr>
      </w:pPr>
    </w:p>
    <w:p>
      <w:pPr>
        <w:ind w:left="2160" w:right="80" w:firstLine="608"/>
        <w:spacing w:after="0" w:line="263" w:lineRule="auto"/>
        <w:tabs>
          <w:tab w:leader="none" w:pos="35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non-cash losses on the sale of assets, other than sales of assets in the ordinary course of business and in connection with any Recovery Event, </w:t>
      </w:r>
      <w:r>
        <w:rPr>
          <w:rFonts w:ascii="Arial" w:cs="Arial" w:eastAsia="Arial" w:hAnsi="Arial"/>
          <w:sz w:val="18"/>
          <w:szCs w:val="18"/>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20"/>
          </w:cols>
          <w:pgMar w:left="360" w:top="1326" w:right="819" w:bottom="1440" w:gutter="0" w:footer="0" w:header="0"/>
        </w:sectPr>
      </w:pPr>
    </w:p>
    <w:bookmarkStart w:id="99" w:name="page100"/>
    <w:bookmarkEnd w:id="99"/>
    <w:p>
      <w:pPr>
        <w:ind w:left="3560" w:hanging="792"/>
        <w:spacing w:after="0"/>
        <w:tabs>
          <w:tab w:leader="none" w:pos="35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Charges incurred in connection with any waiver, consent or amendment required under any Loan</w:t>
      </w:r>
    </w:p>
    <w:p>
      <w:pPr>
        <w:spacing w:after="0" w:line="32" w:lineRule="exact"/>
        <w:rPr>
          <w:rFonts w:ascii="Arial" w:cs="Arial" w:eastAsia="Arial" w:hAnsi="Arial"/>
          <w:sz w:val="16"/>
          <w:szCs w:val="16"/>
          <w:color w:val="auto"/>
        </w:rPr>
      </w:pPr>
    </w:p>
    <w:p>
      <w:pPr>
        <w:ind w:left="2160"/>
        <w:spacing w:after="0"/>
        <w:rPr>
          <w:rFonts w:ascii="Arial" w:cs="Arial" w:eastAsia="Arial" w:hAnsi="Arial"/>
          <w:sz w:val="16"/>
          <w:szCs w:val="16"/>
          <w:color w:val="auto"/>
        </w:rPr>
      </w:pPr>
      <w:r>
        <w:rPr>
          <w:rFonts w:ascii="Arial" w:cs="Arial" w:eastAsia="Arial" w:hAnsi="Arial"/>
          <w:sz w:val="18"/>
          <w:szCs w:val="18"/>
          <w:color w:val="auto"/>
        </w:rPr>
        <w:t xml:space="preserve">Document, </w:t>
      </w:r>
      <w:r>
        <w:rPr>
          <w:rFonts w:ascii="Arial" w:cs="Arial" w:eastAsia="Arial" w:hAnsi="Arial"/>
          <w:sz w:val="18"/>
          <w:szCs w:val="18"/>
          <w:u w:val="single" w:color="auto"/>
          <w:color w:val="auto"/>
        </w:rPr>
        <w:t>plus</w:t>
      </w:r>
    </w:p>
    <w:p>
      <w:pPr>
        <w:spacing w:after="0" w:line="291" w:lineRule="exact"/>
        <w:rPr>
          <w:rFonts w:ascii="Arial" w:cs="Arial" w:eastAsia="Arial" w:hAnsi="Arial"/>
          <w:sz w:val="16"/>
          <w:szCs w:val="16"/>
          <w:color w:val="auto"/>
        </w:rPr>
      </w:pPr>
    </w:p>
    <w:p>
      <w:pPr>
        <w:jc w:val="both"/>
        <w:ind w:left="2160" w:firstLine="608"/>
        <w:spacing w:after="0" w:line="248" w:lineRule="auto"/>
        <w:tabs>
          <w:tab w:leader="none" w:pos="3557"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amount of expected “run rate” cost savings, operating expense reductions, restructuring Charges and cost-saving synergies reasonably projected by the Borrower in connection with acquisitions, Investments or other initiatives in good faith to be realized as a result of actions taken or expected to be taken (calculated on a Pro Forma Basis as though such cost savings, operating expense reductions, restructuring Charges and cost-saving synergies had been realized on the first day of such Test Period) related to the transactions contemplated hereby, which are (A) reasonably expected to have a continuing impact on the Borrower and its Subsidiaries and (B) reasonably expected to be realized within twenty-four (24) months after the last day of such Test Period (in the good faith determination of the Borrower), minus the amount of actual benefits realized during such Test Period from such actions, and minus amounts previously added back under this clause</w:t>
      </w:r>
    </w:p>
    <w:p>
      <w:pPr>
        <w:spacing w:after="0" w:line="3" w:lineRule="exact"/>
        <w:rPr>
          <w:rFonts w:ascii="Arial" w:cs="Arial" w:eastAsia="Arial" w:hAnsi="Arial"/>
          <w:sz w:val="17"/>
          <w:szCs w:val="17"/>
          <w:color w:val="auto"/>
        </w:rPr>
      </w:pPr>
    </w:p>
    <w:p>
      <w:pPr>
        <w:jc w:val="both"/>
        <w:ind w:left="2160" w:right="20" w:firstLine="6"/>
        <w:spacing w:after="0" w:line="236" w:lineRule="auto"/>
        <w:tabs>
          <w:tab w:leader="none" w:pos="2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that were not actually realized during the projected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amount added back pursuant to this clause (xv), together with the aggregate amount added back pursuant to clause (iv) (other than as set forth in the second proviso thereto) and the definition of “Pro Forma Basis”, shall not exceed 30.0% of Consolidated CEBITDA (calculated on a Pro Forma Basis after giving effect to such add-back) for such Test Period, </w:t>
      </w:r>
      <w:r>
        <w:rPr>
          <w:rFonts w:ascii="Arial" w:cs="Arial" w:eastAsia="Arial" w:hAnsi="Arial"/>
          <w:sz w:val="18"/>
          <w:szCs w:val="18"/>
          <w:u w:val="single" w:color="auto"/>
          <w:color w:val="auto"/>
        </w:rPr>
        <w:t>plus</w:t>
      </w:r>
    </w:p>
    <w:p>
      <w:pPr>
        <w:spacing w:after="0" w:line="270" w:lineRule="exact"/>
        <w:rPr>
          <w:rFonts w:ascii="Arial" w:cs="Arial" w:eastAsia="Arial" w:hAnsi="Arial"/>
          <w:sz w:val="18"/>
          <w:szCs w:val="18"/>
          <w:color w:val="auto"/>
        </w:rPr>
      </w:pPr>
    </w:p>
    <w:p>
      <w:pPr>
        <w:jc w:val="both"/>
        <w:ind w:left="2160" w:right="20" w:firstLine="608"/>
        <w:spacing w:after="0" w:line="238" w:lineRule="auto"/>
        <w:tabs>
          <w:tab w:leader="none" w:pos="35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net amount, if any, by which consolidated deferred revenues of the Borrower and its consolidated Subsidiaries increased during such Test Period (excluding any non-cash purchase accounting adjustment (including, but not limited to deferred revenue write down) and any adjustments as required or permitted by the application of FASB Accounting Standards Codification 805 (requiring the use of purchase method of accounting for acquisitions and consolidations), FASB Accounting Standards Codification 350 (relating to changes in accounting for the amortization of good will and certain other intangibles) and FASB Accounting Standards Codification 360 (relating to the write downs of long-lived assets)), </w:t>
      </w:r>
      <w:r>
        <w:rPr>
          <w:rFonts w:ascii="Arial" w:cs="Arial" w:eastAsia="Arial" w:hAnsi="Arial"/>
          <w:sz w:val="18"/>
          <w:szCs w:val="18"/>
          <w:u w:val="single" w:color="auto"/>
          <w:color w:val="auto"/>
        </w:rPr>
        <w:t>plus</w:t>
      </w:r>
    </w:p>
    <w:p>
      <w:pPr>
        <w:spacing w:after="0" w:line="268" w:lineRule="exact"/>
        <w:rPr>
          <w:rFonts w:ascii="Arial" w:cs="Arial" w:eastAsia="Arial" w:hAnsi="Arial"/>
          <w:sz w:val="18"/>
          <w:szCs w:val="18"/>
          <w:color w:val="auto"/>
        </w:rPr>
      </w:pPr>
    </w:p>
    <w:p>
      <w:pPr>
        <w:jc w:val="both"/>
        <w:ind w:left="2160" w:right="20" w:firstLine="608"/>
        <w:spacing w:after="0"/>
        <w:tabs>
          <w:tab w:leader="none" w:pos="3559"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any Charges incurred by the Borrower or a Restricted Subsidiary of the Borrower during such Test Period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Borrower or Net Cash Proceeds of an issuance of Equity Interest of the Borrower (other than Disqualified Stock), </w:t>
      </w:r>
      <w:r>
        <w:rPr>
          <w:rFonts w:ascii="Arial" w:cs="Arial" w:eastAsia="Arial" w:hAnsi="Arial"/>
          <w:sz w:val="18"/>
          <w:szCs w:val="18"/>
          <w:u w:val="single" w:color="auto"/>
          <w:color w:val="auto"/>
        </w:rPr>
        <w:t>plus</w:t>
      </w:r>
    </w:p>
    <w:p>
      <w:pPr>
        <w:spacing w:after="0" w:line="269" w:lineRule="exact"/>
        <w:rPr>
          <w:rFonts w:ascii="Arial" w:cs="Arial" w:eastAsia="Arial" w:hAnsi="Arial"/>
          <w:sz w:val="18"/>
          <w:szCs w:val="18"/>
          <w:color w:val="auto"/>
        </w:rPr>
      </w:pPr>
    </w:p>
    <w:p>
      <w:pPr>
        <w:ind w:left="3560" w:hanging="792"/>
        <w:spacing w:after="0"/>
        <w:tabs>
          <w:tab w:leader="none" w:pos="35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actual Charges incurred in such Test Period in connection with obtaining and maintaining credit</w:t>
      </w:r>
    </w:p>
    <w:p>
      <w:pPr>
        <w:spacing w:after="0" w:line="21"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8"/>
          <w:szCs w:val="18"/>
          <w:color w:val="auto"/>
        </w:rPr>
        <w:t xml:space="preserve">ratings, </w:t>
      </w:r>
      <w:r>
        <w:rPr>
          <w:rFonts w:ascii="Arial" w:cs="Arial" w:eastAsia="Arial" w:hAnsi="Arial"/>
          <w:sz w:val="18"/>
          <w:szCs w:val="18"/>
          <w:u w:val="single" w:color="auto"/>
          <w:color w:val="auto"/>
        </w:rPr>
        <w:t>plus</w:t>
      </w:r>
    </w:p>
    <w:p>
      <w:pPr>
        <w:spacing w:after="0" w:line="278" w:lineRule="exact"/>
        <w:rPr>
          <w:rFonts w:ascii="Arial" w:cs="Arial" w:eastAsia="Arial" w:hAnsi="Arial"/>
          <w:sz w:val="17"/>
          <w:szCs w:val="17"/>
          <w:color w:val="auto"/>
        </w:rPr>
      </w:pPr>
    </w:p>
    <w:p>
      <w:pPr>
        <w:jc w:val="both"/>
        <w:ind w:left="2160" w:right="20" w:firstLine="608"/>
        <w:spacing w:after="0" w:line="248" w:lineRule="auto"/>
        <w:tabs>
          <w:tab w:leader="none" w:pos="35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any net loss resulting in such Test Period from currency translation gains or losses related to currency re-measurements of Indebtedness (including any net loss or gain resulting from Swap Agreements for currency exchange risk), </w:t>
      </w:r>
      <w:r>
        <w:rPr>
          <w:rFonts w:ascii="Arial" w:cs="Arial" w:eastAsia="Arial" w:hAnsi="Arial"/>
          <w:sz w:val="18"/>
          <w:szCs w:val="18"/>
          <w:u w:val="single" w:color="auto"/>
          <w:color w:val="auto"/>
        </w:rPr>
        <w:t>plus</w:t>
      </w:r>
    </w:p>
    <w:p>
      <w:pPr>
        <w:spacing w:after="0" w:line="261" w:lineRule="exact"/>
        <w:rPr>
          <w:rFonts w:ascii="Arial" w:cs="Arial" w:eastAsia="Arial" w:hAnsi="Arial"/>
          <w:sz w:val="18"/>
          <w:szCs w:val="18"/>
          <w:color w:val="auto"/>
        </w:rPr>
      </w:pPr>
    </w:p>
    <w:p>
      <w:pPr>
        <w:jc w:val="both"/>
        <w:ind w:left="2160" w:right="20" w:firstLine="608"/>
        <w:spacing w:after="0" w:line="262" w:lineRule="auto"/>
        <w:tabs>
          <w:tab w:leader="none" w:pos="355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Charges of the Borrower or its direct or indirect parent company in connection with the Sarbanes Oxley Act of 2002, as amended, and the rules and regulations promulgated in connection therewith and costs relating to compliance with the provisions of the Securities Act and the Exchange Act or any other comparable body of laws, rules or regulations, as applicable to companies with equity securities held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336550</wp:posOffset>
            </wp:positionV>
            <wp:extent cx="326390" cy="182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360" w:top="1326" w:right="819" w:bottom="1440" w:gutter="0" w:footer="0" w:header="0"/>
        </w:sectPr>
      </w:pPr>
    </w:p>
    <w:bookmarkStart w:id="100" w:name="page101"/>
    <w:bookmarkEnd w:id="100"/>
    <w:p>
      <w:pPr>
        <w:jc w:val="right"/>
        <w:ind w:right="179"/>
        <w:spacing w:after="0"/>
        <w:rPr>
          <w:sz w:val="20"/>
          <w:szCs w:val="20"/>
          <w:color w:val="auto"/>
        </w:rPr>
      </w:pPr>
      <w:r>
        <w:rPr>
          <w:rFonts w:ascii="Arial" w:cs="Arial" w:eastAsia="Arial" w:hAnsi="Arial"/>
          <w:sz w:val="18"/>
          <w:szCs w:val="18"/>
          <w:color w:val="auto"/>
        </w:rPr>
        <w:t>public, the rules of national securities exchange companies with listed equity, initial or non-recurring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99"/>
          </w:cols>
          <w:pgMar w:left="360" w:top="1339" w:right="1440" w:bottom="1440" w:gutter="0" w:footer="0" w:header="0"/>
        </w:sectPr>
      </w:pPr>
    </w:p>
    <w:bookmarkStart w:id="101" w:name="page102"/>
    <w:bookmarkEnd w:id="101"/>
    <w:p>
      <w:pPr>
        <w:jc w:val="both"/>
        <w:ind w:left="2160"/>
        <w:spacing w:after="0" w:line="269" w:lineRule="auto"/>
        <w:rPr>
          <w:sz w:val="20"/>
          <w:szCs w:val="20"/>
          <w:color w:val="auto"/>
        </w:rPr>
      </w:pPr>
      <w:r>
        <w:rPr>
          <w:rFonts w:ascii="Arial" w:cs="Arial" w:eastAsia="Arial" w:hAnsi="Arial"/>
          <w:sz w:val="17"/>
          <w:szCs w:val="17"/>
          <w:color w:val="auto"/>
        </w:rPr>
        <w:t xml:space="preserve">and costs relating to investor relations and other executive costs, legal and other initial or non-recurring professional fees, and listing fees, in each case to the extent arising solely by virtue of the listing of the Borrower’s (or the Borrower’s direct or indirect holding company’s) equity securities on a national securities exchange, </w:t>
      </w:r>
      <w:r>
        <w:rPr>
          <w:rFonts w:ascii="Arial" w:cs="Arial" w:eastAsia="Arial" w:hAnsi="Arial"/>
          <w:sz w:val="17"/>
          <w:szCs w:val="17"/>
          <w:u w:val="single" w:color="auto"/>
          <w:color w:val="auto"/>
        </w:rPr>
        <w:t>plus</w:t>
      </w:r>
    </w:p>
    <w:p>
      <w:pPr>
        <w:spacing w:after="0" w:line="258" w:lineRule="exact"/>
        <w:rPr>
          <w:sz w:val="20"/>
          <w:szCs w:val="20"/>
          <w:color w:val="auto"/>
        </w:rPr>
      </w:pPr>
    </w:p>
    <w:p>
      <w:pPr>
        <w:ind w:left="3560" w:hanging="792"/>
        <w:spacing w:after="0"/>
        <w:tabs>
          <w:tab w:leader="none" w:pos="35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cumulative effect of a change in accounting principles during such Test Period shall be</w:t>
      </w:r>
    </w:p>
    <w:p>
      <w:pPr>
        <w:spacing w:after="0" w:line="21"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8"/>
          <w:szCs w:val="18"/>
          <w:color w:val="auto"/>
        </w:rPr>
        <w:t xml:space="preserve">excluded, </w:t>
      </w:r>
      <w:r>
        <w:rPr>
          <w:rFonts w:ascii="Arial" w:cs="Arial" w:eastAsia="Arial" w:hAnsi="Arial"/>
          <w:sz w:val="18"/>
          <w:szCs w:val="18"/>
          <w:u w:val="single" w:color="auto"/>
          <w:color w:val="auto"/>
        </w:rPr>
        <w:t>minus</w:t>
      </w:r>
    </w:p>
    <w:p>
      <w:pPr>
        <w:spacing w:after="0" w:line="278" w:lineRule="exact"/>
        <w:rPr>
          <w:rFonts w:ascii="Arial" w:cs="Arial" w:eastAsia="Arial" w:hAnsi="Arial"/>
          <w:sz w:val="17"/>
          <w:szCs w:val="17"/>
          <w:color w:val="auto"/>
        </w:rPr>
      </w:pPr>
    </w:p>
    <w:p>
      <w:pPr>
        <w:ind w:left="1560" w:right="20" w:firstLine="606"/>
        <w:spacing w:after="0" w:line="263" w:lineRule="auto"/>
        <w:tabs>
          <w:tab w:leader="none" w:pos="2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(without duplication), of the following amounts for such Test Period, but solely to the extent increasing Consolidated Net Income for such Test Period (except as set forth in clause (c)(vi)):</w:t>
      </w:r>
    </w:p>
    <w:p>
      <w:pPr>
        <w:spacing w:after="0" w:line="173" w:lineRule="exact"/>
        <w:rPr>
          <w:rFonts w:ascii="Arial" w:cs="Arial" w:eastAsia="Arial" w:hAnsi="Arial"/>
          <w:sz w:val="18"/>
          <w:szCs w:val="18"/>
          <w:color w:val="auto"/>
        </w:rPr>
      </w:pPr>
    </w:p>
    <w:p>
      <w:pPr>
        <w:ind w:left="2160" w:right="20" w:firstLine="609"/>
        <w:spacing w:after="0" w:line="263" w:lineRule="auto"/>
        <w:tabs>
          <w:tab w:leader="none" w:pos="2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any cash payment made with respect to any non-cash items added back in computing Consolidated CEBITDA for any prior Test Period pursuant to clause (b) above, </w:t>
      </w:r>
      <w:r>
        <w:rPr>
          <w:rFonts w:ascii="Arial" w:cs="Arial" w:eastAsia="Arial" w:hAnsi="Arial"/>
          <w:sz w:val="18"/>
          <w:szCs w:val="18"/>
          <w:u w:val="single" w:color="auto"/>
          <w:color w:val="auto"/>
        </w:rPr>
        <w:t>plus</w:t>
      </w:r>
    </w:p>
    <w:p>
      <w:pPr>
        <w:spacing w:after="0" w:line="248" w:lineRule="exact"/>
        <w:rPr>
          <w:rFonts w:ascii="Arial" w:cs="Arial" w:eastAsia="Arial" w:hAnsi="Arial"/>
          <w:sz w:val="18"/>
          <w:szCs w:val="18"/>
          <w:color w:val="auto"/>
        </w:rPr>
      </w:pPr>
    </w:p>
    <w:p>
      <w:pPr>
        <w:ind w:left="3360" w:hanging="592"/>
        <w:spacing w:after="0"/>
        <w:tabs>
          <w:tab w:leader="none" w:pos="3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extraordinary or non-recurring gains, </w:t>
      </w:r>
      <w:r>
        <w:rPr>
          <w:rFonts w:ascii="Arial" w:cs="Arial" w:eastAsia="Arial" w:hAnsi="Arial"/>
          <w:sz w:val="18"/>
          <w:szCs w:val="18"/>
          <w:u w:val="single" w:color="auto"/>
          <w:color w:val="auto"/>
        </w:rPr>
        <w:t>plus</w:t>
      </w:r>
    </w:p>
    <w:p>
      <w:pPr>
        <w:spacing w:after="0" w:line="307" w:lineRule="exact"/>
        <w:rPr>
          <w:rFonts w:ascii="Arial" w:cs="Arial" w:eastAsia="Arial" w:hAnsi="Arial"/>
          <w:sz w:val="18"/>
          <w:szCs w:val="18"/>
          <w:color w:val="auto"/>
        </w:rPr>
      </w:pPr>
    </w:p>
    <w:p>
      <w:pPr>
        <w:ind w:left="3360" w:hanging="592"/>
        <w:spacing w:after="0"/>
        <w:tabs>
          <w:tab w:leader="none" w:pos="3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non-cash gains for employee compensation plans, </w:t>
      </w:r>
      <w:r>
        <w:rPr>
          <w:rFonts w:ascii="Arial" w:cs="Arial" w:eastAsia="Arial" w:hAnsi="Arial"/>
          <w:sz w:val="18"/>
          <w:szCs w:val="18"/>
          <w:u w:val="single" w:color="auto"/>
          <w:color w:val="auto"/>
        </w:rPr>
        <w:t>plus</w:t>
      </w:r>
    </w:p>
    <w:p>
      <w:pPr>
        <w:spacing w:after="0" w:line="294" w:lineRule="exact"/>
        <w:rPr>
          <w:rFonts w:ascii="Arial" w:cs="Arial" w:eastAsia="Arial" w:hAnsi="Arial"/>
          <w:sz w:val="18"/>
          <w:szCs w:val="18"/>
          <w:color w:val="auto"/>
        </w:rPr>
      </w:pPr>
    </w:p>
    <w:p>
      <w:pPr>
        <w:ind w:left="2160" w:right="20" w:firstLine="608"/>
        <w:spacing w:after="0" w:line="263" w:lineRule="auto"/>
        <w:tabs>
          <w:tab w:leader="none" w:pos="355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other non-cash gains (excluding any such non-cash gain to the extent that it represents the reversal of an accrual or reserve for potential cash items in any prior Test Period), </w:t>
      </w:r>
      <w:r>
        <w:rPr>
          <w:rFonts w:ascii="Arial" w:cs="Arial" w:eastAsia="Arial" w:hAnsi="Arial"/>
          <w:sz w:val="18"/>
          <w:szCs w:val="18"/>
          <w:u w:val="single" w:color="auto"/>
          <w:color w:val="auto"/>
        </w:rPr>
        <w:t>plus</w:t>
      </w:r>
    </w:p>
    <w:p>
      <w:pPr>
        <w:spacing w:after="0" w:line="248" w:lineRule="exact"/>
        <w:rPr>
          <w:rFonts w:ascii="Arial" w:cs="Arial" w:eastAsia="Arial" w:hAnsi="Arial"/>
          <w:sz w:val="18"/>
          <w:szCs w:val="18"/>
          <w:color w:val="auto"/>
        </w:rPr>
      </w:pPr>
    </w:p>
    <w:p>
      <w:pPr>
        <w:jc w:val="both"/>
        <w:ind w:left="2160" w:right="20" w:firstLine="608"/>
        <w:spacing w:after="0" w:line="248" w:lineRule="auto"/>
        <w:tabs>
          <w:tab w:leader="none" w:pos="355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any net gains resulting in such Test Period from currency translation gains or losses related to currency remeasurements of Indebtedness (including any net loss or gain resulting from Swap Agreements for currency exchange risk (but excluding inter- company transactions)), </w:t>
      </w:r>
      <w:r>
        <w:rPr>
          <w:rFonts w:ascii="Arial" w:cs="Arial" w:eastAsia="Arial" w:hAnsi="Arial"/>
          <w:sz w:val="18"/>
          <w:szCs w:val="18"/>
          <w:u w:val="single" w:color="auto"/>
          <w:color w:val="auto"/>
        </w:rPr>
        <w:t>plus</w:t>
      </w:r>
    </w:p>
    <w:p>
      <w:pPr>
        <w:spacing w:after="0" w:line="273" w:lineRule="exact"/>
        <w:rPr>
          <w:rFonts w:ascii="Arial" w:cs="Arial" w:eastAsia="Arial" w:hAnsi="Arial"/>
          <w:sz w:val="18"/>
          <w:szCs w:val="18"/>
          <w:color w:val="auto"/>
        </w:rPr>
      </w:pPr>
    </w:p>
    <w:p>
      <w:pPr>
        <w:ind w:left="2160" w:right="720" w:firstLine="608"/>
        <w:spacing w:after="0" w:line="263" w:lineRule="auto"/>
        <w:tabs>
          <w:tab w:leader="none" w:pos="355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net amount, if any, by which consolidated deferred revenues of the Borrower and its consolidated Subsidiaries decreased during such Test Period.</w:t>
      </w:r>
    </w:p>
    <w:p>
      <w:pPr>
        <w:spacing w:after="0" w:line="186" w:lineRule="exact"/>
        <w:rPr>
          <w:sz w:val="20"/>
          <w:szCs w:val="20"/>
          <w:color w:val="auto"/>
        </w:rPr>
      </w:pPr>
    </w:p>
    <w:p>
      <w:pPr>
        <w:jc w:val="both"/>
        <w:ind w:left="960" w:right="2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shall mean, with reference to any Test Period, total interest expense (including that attributable to Capital Lease Obligations) of the Borrower and its Restricted Subsidiaries for such Test Period with respect to all outstanding Indebtedness of the Borrower and its Restricted Subsidiaries (including all commissions, discounts and other fees and charges owed with respect to letters of credit and bankers’ acceptances and net costs under Swap Agreements in respect of interest rates, to the extent paid or required to be paid in cash for such Test Period, to the extent such net costs are allocable to such Test Period in accordance with GAAP), calculated for the Borrower and its Restricted Subsidiaries on a consolidated basis for such Test Period in accordance with GAAP.</w:t>
      </w:r>
    </w:p>
    <w:p>
      <w:pPr>
        <w:spacing w:after="0" w:line="193"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shall mean with respect to the Borrower and its Restricted Subsidiaries for any Test Period, the aggregate of the Net Income of the Borrower and its Restricted Subsidiaries for such Test Period, on a consolidated basis, and otherwise determined in accordance with GAAP;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without duplication:</w:t>
      </w:r>
    </w:p>
    <w:p>
      <w:pPr>
        <w:spacing w:after="0" w:line="261" w:lineRule="exact"/>
        <w:rPr>
          <w:sz w:val="20"/>
          <w:szCs w:val="20"/>
          <w:color w:val="auto"/>
        </w:rPr>
      </w:pPr>
    </w:p>
    <w:p>
      <w:pPr>
        <w:jc w:val="both"/>
        <w:ind w:left="1560" w:right="20" w:firstLine="606"/>
        <w:spacing w:after="0" w:line="248" w:lineRule="auto"/>
        <w:tabs>
          <w:tab w:leader="none" w:pos="2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(x) extraordinary, non-recurring or unusual gains or losses, and (y) business optimization Charges and restructuring Charges and carve-out related items shall be excluded, which will include Charges in connection with Investments in the average revenue per user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20"/>
          </w:cols>
          <w:pgMar w:left="360" w:top="1326" w:right="819" w:bottom="1440" w:gutter="0" w:footer="0" w:header="0"/>
        </w:sectPr>
      </w:pPr>
    </w:p>
    <w:bookmarkStart w:id="102" w:name="page103"/>
    <w:bookmarkEnd w:id="102"/>
    <w:p>
      <w:pPr>
        <w:ind w:left="2960" w:hanging="794"/>
        <w:spacing w:after="0"/>
        <w:tabs>
          <w:tab w:leader="none" w:pos="2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cumulative effect of a change in accounting principles during such Test Period shall be excluded;</w:t>
      </w:r>
    </w:p>
    <w:p>
      <w:pPr>
        <w:spacing w:after="0" w:line="243" w:lineRule="exact"/>
        <w:rPr>
          <w:rFonts w:ascii="Arial" w:cs="Arial" w:eastAsia="Arial" w:hAnsi="Arial"/>
          <w:sz w:val="17"/>
          <w:szCs w:val="17"/>
          <w:color w:val="auto"/>
        </w:rPr>
      </w:pPr>
    </w:p>
    <w:p>
      <w:pPr>
        <w:jc w:val="both"/>
        <w:ind w:left="1560" w:right="20" w:firstLine="606"/>
        <w:spacing w:after="0" w:line="248" w:lineRule="auto"/>
        <w:tabs>
          <w:tab w:leader="none" w:pos="2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income (loss) attributable to disposed, abandoned, transferred closed or discontinued operations and any gains or losses on disposal of disposed, abandoned, transferred, closed or discontinued operations or fixed assets shall be excluded;</w:t>
      </w:r>
    </w:p>
    <w:p>
      <w:pPr>
        <w:spacing w:after="0" w:line="185" w:lineRule="exact"/>
        <w:rPr>
          <w:rFonts w:ascii="Arial" w:cs="Arial" w:eastAsia="Arial" w:hAnsi="Arial"/>
          <w:sz w:val="18"/>
          <w:szCs w:val="18"/>
          <w:color w:val="auto"/>
        </w:rPr>
      </w:pPr>
    </w:p>
    <w:p>
      <w:pPr>
        <w:ind w:left="1560" w:right="20" w:firstLine="606"/>
        <w:spacing w:after="0" w:line="263" w:lineRule="auto"/>
        <w:tabs>
          <w:tab w:leader="none" w:pos="29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gains or losses (less all fees and expenses relating thereto) attributable to asset dispositions other than in the ordinary course of business, as determined in good faith by the Borrower, shall be excluded;</w:t>
      </w:r>
    </w:p>
    <w:p>
      <w:pPr>
        <w:spacing w:after="0" w:line="185" w:lineRule="exact"/>
        <w:rPr>
          <w:rFonts w:ascii="Arial" w:cs="Arial" w:eastAsia="Arial" w:hAnsi="Arial"/>
          <w:sz w:val="18"/>
          <w:szCs w:val="18"/>
          <w:color w:val="auto"/>
        </w:rPr>
      </w:pPr>
    </w:p>
    <w:p>
      <w:pPr>
        <w:jc w:val="both"/>
        <w:ind w:left="1560" w:right="20" w:firstLine="606"/>
        <w:spacing w:after="0" w:line="255" w:lineRule="auto"/>
        <w:tabs>
          <w:tab w:leader="none" w:pos="2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Net Income for such Test Period of any Person that is not a Subsidiary, or is an Unrestricted Subsidiary, or that is accounted for by the equity method of accounting, shall be excluded; provided that Consolidated Net Income of the Borrower and its Restricted Subsidiaries shall be increased by the amount of dividends or distributions or other payments that are actually paid in cash (or to the extent converted into cash) to the Borrower or a Restricted Subsidiary thereof in respect of such Test Period by such Person and shall be decreased by the amount of any losses that have been funded with cash from the Borrower or a Restricted Subsidiary during such period;</w:t>
      </w:r>
    </w:p>
    <w:p>
      <w:pPr>
        <w:spacing w:after="0" w:line="196" w:lineRule="exact"/>
        <w:rPr>
          <w:sz w:val="20"/>
          <w:szCs w:val="20"/>
          <w:color w:val="auto"/>
        </w:rPr>
      </w:pPr>
    </w:p>
    <w:p>
      <w:pPr>
        <w:jc w:val="both"/>
        <w:ind w:left="1560" w:firstLine="602"/>
        <w:spacing w:after="0" w:line="252" w:lineRule="auto"/>
        <w:rPr>
          <w:sz w:val="20"/>
          <w:szCs w:val="20"/>
          <w:color w:val="auto"/>
        </w:rPr>
      </w:pPr>
      <w:r>
        <w:rPr>
          <w:rFonts w:ascii="Arial" w:cs="Arial" w:eastAsia="Arial" w:hAnsi="Arial"/>
          <w:sz w:val="17"/>
          <w:szCs w:val="17"/>
          <w:color w:val="auto"/>
        </w:rPr>
        <w:t xml:space="preserve">(f)solely for the purpose of determining the amount available for Restricted Payments under </w:t>
      </w:r>
      <w:r>
        <w:rPr>
          <w:rFonts w:ascii="Arial" w:cs="Arial" w:eastAsia="Arial" w:hAnsi="Arial"/>
          <w:sz w:val="17"/>
          <w:szCs w:val="17"/>
          <w:u w:val="single" w:color="auto"/>
          <w:color w:val="auto"/>
        </w:rPr>
        <w:t>Section 9.2(a)(v)(C)</w:t>
      </w:r>
      <w:r>
        <w:rPr>
          <w:rFonts w:ascii="Arial" w:cs="Arial" w:eastAsia="Arial" w:hAnsi="Arial"/>
          <w:sz w:val="17"/>
          <w:szCs w:val="17"/>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color w:val="auto"/>
        </w:rPr>
        <w:t>, the Net Income for such Test Period of any Restricted Subsidiary (other than any Loan Party) shall be excluded if the declaration or payment of dividends or similar distributions by that Restricted Subsidiary of its Net Income is not at the date of determination permitted,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provided that Consolidated Net Income of the Borrower will be increased by the amount of dividends or other distributions or other payments actually paid in cash (or to the extent converted into cash) to the Borrower or a Restricted Subsidiary thereof in respect of such Test Period, to the extent not already included therein;</w:t>
      </w:r>
    </w:p>
    <w:p>
      <w:pPr>
        <w:spacing w:after="0" w:line="184" w:lineRule="exact"/>
        <w:rPr>
          <w:sz w:val="20"/>
          <w:szCs w:val="20"/>
          <w:color w:val="auto"/>
        </w:rPr>
      </w:pPr>
    </w:p>
    <w:p>
      <w:pPr>
        <w:jc w:val="both"/>
        <w:ind w:left="1560" w:firstLine="607"/>
        <w:spacing w:after="0" w:line="252" w:lineRule="auto"/>
        <w:tabs>
          <w:tab w:leader="none" w:pos="29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effects of adjustments (including the effects of such adjustments pushed down to the Borrower and its Restricted Subsidiaries) in the property and equipment, software and other intangible assets, deferred revenue, debt line items, current assets and current liabilities in such Person’s consolidated financial statements pursuant to GAAP resulting from the application of purchase accounting in relation to any consummated acquisition and any increase in amortization or depreciation or other non-cash Charges resulting therefrom and any write-off of any amounts thereof, net of Taxes and any adjustments as required or permitted by the application of FASB Accounting Standards Codification 805 (requiring the use of purchase method of accounting for acquisitions and consolidations), FASB Accounting Standards Codification 350 (relating to changes in accounting for the amortization of good will and certain other intangibles) and FASB Accounting Standards Codification 360 (relating to the write downs of long-lived assets), shall be excluded;</w:t>
      </w:r>
    </w:p>
    <w:p>
      <w:pPr>
        <w:spacing w:after="0" w:line="196" w:lineRule="exact"/>
        <w:rPr>
          <w:rFonts w:ascii="Arial" w:cs="Arial" w:eastAsia="Arial" w:hAnsi="Arial"/>
          <w:sz w:val="17"/>
          <w:szCs w:val="17"/>
          <w:color w:val="auto"/>
        </w:rPr>
      </w:pPr>
    </w:p>
    <w:p>
      <w:pPr>
        <w:jc w:val="both"/>
        <w:ind w:left="1560" w:right="20" w:firstLine="606"/>
        <w:spacing w:after="0" w:line="248" w:lineRule="auto"/>
        <w:tabs>
          <w:tab w:leader="none" w:pos="29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impairment charge or asset write off, in each case pursuant to GAAP, and the amortization of intangibles arising pursuant to GAAP shall be excluded (other than any non-cash item that was included in Consolidated Net Income in a prior Test Period);</w:t>
      </w:r>
    </w:p>
    <w:p>
      <w:pPr>
        <w:spacing w:after="0" w:line="198" w:lineRule="exact"/>
        <w:rPr>
          <w:rFonts w:ascii="Arial" w:cs="Arial" w:eastAsia="Arial" w:hAnsi="Arial"/>
          <w:sz w:val="18"/>
          <w:szCs w:val="18"/>
          <w:color w:val="auto"/>
        </w:rPr>
      </w:pPr>
    </w:p>
    <w:p>
      <w:pPr>
        <w:jc w:val="both"/>
        <w:ind w:left="1560" w:right="20" w:firstLine="607"/>
        <w:spacing w:after="0" w:line="248" w:lineRule="auto"/>
        <w:tabs>
          <w:tab w:leader="none" w:pos="2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Borrower’s option, any non-cash items (including (i) mark-to-market items and timing discrepancies between the time when an item is incurred and when it is recorded under GAAP, due to fluctuations in currency values the amount of non-cash items, (ii) any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360" w:top="1326" w:right="819" w:bottom="1440" w:gutter="0" w:footer="0" w:header="0"/>
        </w:sectPr>
      </w:pPr>
    </w:p>
    <w:bookmarkStart w:id="103" w:name="page104"/>
    <w:bookmarkEnd w:id="103"/>
    <w:p>
      <w:pPr>
        <w:jc w:val="both"/>
        <w:ind w:left="1560"/>
        <w:spacing w:after="0" w:line="269" w:lineRule="auto"/>
        <w:rPr>
          <w:sz w:val="20"/>
          <w:szCs w:val="20"/>
          <w:color w:val="auto"/>
        </w:rPr>
      </w:pPr>
      <w:r>
        <w:rPr>
          <w:rFonts w:ascii="Arial" w:cs="Arial" w:eastAsia="Arial" w:hAnsi="Arial"/>
          <w:sz w:val="17"/>
          <w:szCs w:val="17"/>
          <w:color w:val="auto"/>
        </w:rPr>
        <w:t>charge or asset write-off or write-down related to intangible assets (including goodwill), long-lived assets (including capitalized software), and Investments in debt and equity securities pursuant to GAAP, but (iii) excluding any such non-cash items in respect of an item that was included in Consolidated Net Income in a prior Test Period), shall be excluded;</w:t>
      </w:r>
    </w:p>
    <w:p>
      <w:pPr>
        <w:spacing w:after="0" w:line="183" w:lineRule="exact"/>
        <w:rPr>
          <w:sz w:val="20"/>
          <w:szCs w:val="20"/>
          <w:color w:val="auto"/>
        </w:rPr>
      </w:pPr>
    </w:p>
    <w:p>
      <w:pPr>
        <w:ind w:left="2760" w:hanging="594"/>
        <w:spacing w:after="0"/>
        <w:tabs>
          <w:tab w:leader="none" w:pos="2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Charges incurred in connection with the Transactions shall be excluded;</w:t>
      </w:r>
    </w:p>
    <w:p>
      <w:pPr>
        <w:spacing w:after="0" w:line="219" w:lineRule="exact"/>
        <w:rPr>
          <w:rFonts w:ascii="Arial" w:cs="Arial" w:eastAsia="Arial" w:hAnsi="Arial"/>
          <w:sz w:val="18"/>
          <w:szCs w:val="18"/>
          <w:color w:val="auto"/>
        </w:rPr>
      </w:pPr>
    </w:p>
    <w:p>
      <w:pPr>
        <w:jc w:val="both"/>
        <w:ind w:left="1560" w:firstLine="607"/>
        <w:spacing w:after="0" w:line="242" w:lineRule="auto"/>
        <w:tabs>
          <w:tab w:leader="none" w:pos="29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gains or losses (including the effect of all fees and expenses or charges relating thereto) attributable to the early extinguishment of Indebtedness or Swap Agreements or other derivative agreements (including deferred financing costs written off and premiums paid and any net gain (or loss) from any write-off or forgiveness of Indebtedness) shall be excluded;</w:t>
      </w:r>
    </w:p>
    <w:p>
      <w:pPr>
        <w:spacing w:after="0" w:line="205" w:lineRule="exact"/>
        <w:rPr>
          <w:rFonts w:ascii="Arial" w:cs="Arial" w:eastAsia="Arial" w:hAnsi="Arial"/>
          <w:sz w:val="18"/>
          <w:szCs w:val="18"/>
          <w:color w:val="auto"/>
        </w:rPr>
      </w:pPr>
    </w:p>
    <w:p>
      <w:pPr>
        <w:jc w:val="both"/>
        <w:ind w:left="1560" w:firstLine="607"/>
        <w:spacing w:after="0" w:line="248" w:lineRule="auto"/>
        <w:tabs>
          <w:tab w:leader="none" w:pos="2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unrealized gains and losses relating to hedging transactions, foreign exchange transactions (but excluding inter-company transactions) and other investments, fluctuations in currency values in accordance with GAAP and mark-to-market of Indebtedness resulting from the application of GAAP shall be excluded;</w:t>
      </w:r>
    </w:p>
    <w:p>
      <w:pPr>
        <w:spacing w:after="0" w:line="198" w:lineRule="exact"/>
        <w:rPr>
          <w:rFonts w:ascii="Arial" w:cs="Arial" w:eastAsia="Arial" w:hAnsi="Arial"/>
          <w:sz w:val="18"/>
          <w:szCs w:val="18"/>
          <w:color w:val="auto"/>
        </w:rPr>
      </w:pPr>
    </w:p>
    <w:p>
      <w:pPr>
        <w:jc w:val="both"/>
        <w:ind w:left="1560" w:firstLine="607"/>
        <w:spacing w:after="0" w:line="258" w:lineRule="auto"/>
        <w:tabs>
          <w:tab w:leader="none" w:pos="295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Charges or any amortization thereof related to any Equity Offering, Permitted Investment, acquisition (including earn-out provisions) or disposition, recapitalization or the incurrence or refinancing of Indebtedness permitted to be incurred by the Facilities including a refinancing thereof or preparation for an initial public offering (in each case, whether or not consummated) for such period, including (i) such Charges related to the Facilities and (ii) any amendment or other modification to the terms of any such transactions shall, in each case, be excluded;</w:t>
      </w:r>
    </w:p>
    <w:p>
      <w:pPr>
        <w:spacing w:after="0" w:line="178" w:lineRule="exact"/>
        <w:rPr>
          <w:rFonts w:ascii="Arial" w:cs="Arial" w:eastAsia="Arial" w:hAnsi="Arial"/>
          <w:sz w:val="17"/>
          <w:szCs w:val="17"/>
          <w:color w:val="auto"/>
        </w:rPr>
      </w:pPr>
    </w:p>
    <w:p>
      <w:pPr>
        <w:jc w:val="both"/>
        <w:ind w:left="1560" w:firstLine="606"/>
        <w:spacing w:after="0"/>
        <w:tabs>
          <w:tab w:leader="none" w:pos="2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any non-cash compensation expense realized from employee benefit plans or other post-employment benefit plans or recorded from grants of stock appreciation or similar rights, phantom equity, stock options, restricted stock or other rights to officers, directors, managers or employees and management compensation plans or equity incentive programs or the treatment of such options under variable plan accounting and (ii) non-cash income (loss) attributable to deferred compensation plans or trusts, shall be excluded; and</w:t>
      </w:r>
    </w:p>
    <w:p>
      <w:pPr>
        <w:spacing w:after="0" w:line="206" w:lineRule="exact"/>
        <w:rPr>
          <w:rFonts w:ascii="Arial" w:cs="Arial" w:eastAsia="Arial" w:hAnsi="Arial"/>
          <w:sz w:val="18"/>
          <w:szCs w:val="18"/>
          <w:color w:val="auto"/>
        </w:rPr>
      </w:pPr>
    </w:p>
    <w:p>
      <w:pPr>
        <w:jc w:val="both"/>
        <w:ind w:left="1560" w:firstLine="607"/>
        <w:spacing w:after="0" w:line="270" w:lineRule="auto"/>
        <w:tabs>
          <w:tab w:leader="none" w:pos="2953"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(x) Charges that are covered by indemnification or other reimbursement provisions in connection with any Investment, acquisition or any sale, conveyance, transfer or other disposition of assets permitted under this Agreement, or (y) Charges with respect to liability or casualty events or business interruption covered by insurance, in each case to the extent actually reimbursed, or, so long as the Borrower has made a determination that reasonable evidence exists that such indemnification or reimbursement will be made, and only to the extent that such amount is (i) not denied by the applicable indemnifying party, obligor or insurer in writing within 365 days after such determination and (ii) in fact indemnified or reimbursed within 365 days after such determination (with a deduction in the applicable future period for any amount so added back to the extent not so indemnified or reimbursed within such 365 day period), shall be excluded.</w:t>
      </w:r>
    </w:p>
    <w:p>
      <w:pPr>
        <w:spacing w:after="0" w:line="187" w:lineRule="exact"/>
        <w:rPr>
          <w:sz w:val="20"/>
          <w:szCs w:val="20"/>
          <w:color w:val="auto"/>
        </w:rPr>
      </w:pPr>
    </w:p>
    <w:p>
      <w:pPr>
        <w:jc w:val="both"/>
        <w:ind w:left="960" w:firstLine="602"/>
        <w:spacing w:after="0" w:line="262" w:lineRule="auto"/>
        <w:rPr>
          <w:sz w:val="20"/>
          <w:szCs w:val="20"/>
          <w:color w:val="auto"/>
        </w:rPr>
      </w:pPr>
      <w:r>
        <w:rPr>
          <w:rFonts w:ascii="Arial" w:cs="Arial" w:eastAsia="Arial" w:hAnsi="Arial"/>
          <w:sz w:val="17"/>
          <w:szCs w:val="17"/>
          <w:color w:val="auto"/>
        </w:rPr>
        <w:t>Solely for purposes of calculating Consolidated CEBITDA, the Net Income of the Borrower and its Restricted Subsidiaries shall be calculated without deducting the income attributable to the minority Equity Interests of third parties in any non-Wholly Owned Subsidiary that is a Restricted Subsidiary except to the extent of dividends declared or paid in respect of such period or any prior period on the shares of Equity Interests of such Restricted Subsidiary held by such third parties.</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 xml:space="preserve">In addition, notwithstanding the foregoing, for the purpose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only (other than clauses </w:t>
      </w:r>
      <w:r>
        <w:rPr>
          <w:rFonts w:ascii="Arial" w:cs="Arial" w:eastAsia="Arial" w:hAnsi="Arial"/>
          <w:sz w:val="16"/>
          <w:szCs w:val="16"/>
          <w:u w:val="single" w:color="auto"/>
          <w:color w:val="auto"/>
        </w:rPr>
        <w:t>(a)(v)(C)(4)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(a)(v)(C)</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(5)</w:t>
      </w:r>
      <w:r>
        <w:rPr>
          <w:rFonts w:ascii="Arial" w:cs="Arial" w:eastAsia="Arial" w:hAnsi="Arial"/>
          <w:sz w:val="18"/>
          <w:szCs w:val="18"/>
          <w:color w:val="auto"/>
        </w:rPr>
        <w:t>), there shall be excluded from Consolidated Net Income any income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354965</wp:posOffset>
            </wp:positionV>
            <wp:extent cx="326390" cy="182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00"/>
          </w:cols>
          <w:pgMar w:left="360" w:top="1326" w:right="839" w:bottom="1440" w:gutter="0" w:footer="0" w:header="0"/>
        </w:sectPr>
      </w:pPr>
    </w:p>
    <w:bookmarkStart w:id="104" w:name="page105"/>
    <w:bookmarkEnd w:id="104"/>
    <w:p>
      <w:pPr>
        <w:jc w:val="both"/>
        <w:ind w:left="960" w:right="20"/>
        <w:spacing w:after="0" w:line="258" w:lineRule="auto"/>
        <w:rPr>
          <w:sz w:val="20"/>
          <w:szCs w:val="20"/>
          <w:color w:val="auto"/>
        </w:rPr>
      </w:pPr>
      <w:r>
        <w:rPr>
          <w:rFonts w:ascii="Arial" w:cs="Arial" w:eastAsia="Arial" w:hAnsi="Arial"/>
          <w:sz w:val="17"/>
          <w:szCs w:val="17"/>
          <w:color w:val="auto"/>
        </w:rPr>
        <w:t xml:space="preserve">from any sale or other disposition of Restricted Investments made by the Borrower and its Restricted Subsidiaries, any repurchases and redemptions of Restricted Investments from the Borrower and its Restricted Subsidiaries, any repayments of loans and advances which constitute Restricted Investments by the Borrower or any of its Restricted Subsidiaries, any sale of the stock of an Unrestricted Subsidiary or any distribution or dividend from an Unrestricted Subsidiary, in each case only to the extent such amounts increase the amount of Restricted Payments permitted under </w:t>
      </w:r>
      <w:r>
        <w:rPr>
          <w:rFonts w:ascii="Arial" w:cs="Arial" w:eastAsia="Arial" w:hAnsi="Arial"/>
          <w:sz w:val="17"/>
          <w:szCs w:val="17"/>
          <w:u w:val="single" w:color="auto"/>
          <w:color w:val="auto"/>
        </w:rPr>
        <w:t>Sections 9.2(a)(v)(C)(4)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(a)(v)(C)(5)</w:t>
      </w:r>
      <w:r>
        <w:rPr>
          <w:rFonts w:ascii="Arial" w:cs="Arial" w:eastAsia="Arial" w:hAnsi="Arial"/>
          <w:sz w:val="17"/>
          <w:szCs w:val="17"/>
          <w:color w:val="auto"/>
        </w:rPr>
        <w:t>.</w:t>
      </w:r>
    </w:p>
    <w:p>
      <w:pPr>
        <w:spacing w:after="0" w:line="253" w:lineRule="exact"/>
        <w:rPr>
          <w:sz w:val="20"/>
          <w:szCs w:val="20"/>
          <w:color w:val="auto"/>
        </w:rPr>
      </w:pPr>
    </w:p>
    <w:p>
      <w:pPr>
        <w:jc w:val="both"/>
        <w:ind w:left="96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Cash</w:t>
      </w:r>
      <w:r>
        <w:rPr>
          <w:rFonts w:ascii="Arial" w:cs="Arial" w:eastAsia="Arial" w:hAnsi="Arial"/>
          <w:sz w:val="18"/>
          <w:szCs w:val="18"/>
          <w:color w:val="auto"/>
        </w:rPr>
        <w:t xml:space="preserve">” shall mean, on any date, an amount equal to the Unrestricted cash and Cash Equivalents of the Borrower and its Restricted Subsidiaries on such date and cash and Cash Equivalents Restricted in favor of the Administrative Agent (which may also include cash and Cash Equivalents securing other Indebtedness secured by a Lien on the Collateral along with the Facilities, so long as the Lien of such other Indebtedness on such cash or Cash Equivalents does not benefit from a control agreement or other steps to perfect on such cash or Cash Equivalents that the Administrative Agent has not taken on behalf of the Lenders) or of any lender under any other Indebtedness permitted to be Incurred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that is secured on a </w:t>
      </w:r>
      <w:r>
        <w:rPr>
          <w:rFonts w:ascii="Arial" w:cs="Arial" w:eastAsia="Arial" w:hAnsi="Arial"/>
          <w:sz w:val="18"/>
          <w:szCs w:val="18"/>
          <w:u w:val="single" w:color="auto"/>
          <w:color w:val="auto"/>
        </w:rPr>
        <w:t>pari</w:t>
      </w:r>
      <w:r>
        <w:rPr>
          <w:rFonts w:ascii="Arial" w:cs="Arial" w:eastAsia="Arial" w:hAnsi="Arial"/>
          <w:sz w:val="18"/>
          <w:szCs w:val="18"/>
          <w:color w:val="auto"/>
        </w:rPr>
        <w:t xml:space="preserve"> </w:t>
      </w:r>
      <w:r>
        <w:rPr>
          <w:rFonts w:ascii="Arial" w:cs="Arial" w:eastAsia="Arial" w:hAnsi="Arial"/>
          <w:sz w:val="18"/>
          <w:szCs w:val="18"/>
          <w:u w:val="single" w:color="auto"/>
          <w:color w:val="auto"/>
        </w:rPr>
        <w:t>passu</w:t>
      </w:r>
      <w:r>
        <w:rPr>
          <w:rFonts w:ascii="Arial" w:cs="Arial" w:eastAsia="Arial" w:hAnsi="Arial"/>
          <w:sz w:val="18"/>
          <w:szCs w:val="18"/>
          <w:color w:val="auto"/>
        </w:rPr>
        <w:t xml:space="preserve"> or junior basis with the Facilities, in each case with such Unrestricted cash and Restricted cash and Cash Equivalents to be determined in accordance with GAAP.</w:t>
      </w:r>
    </w:p>
    <w:p>
      <w:pPr>
        <w:spacing w:after="0" w:line="208" w:lineRule="exact"/>
        <w:rPr>
          <w:sz w:val="20"/>
          <w:szCs w:val="20"/>
          <w:color w:val="auto"/>
        </w:rPr>
      </w:pPr>
    </w:p>
    <w:p>
      <w:pPr>
        <w:jc w:val="both"/>
        <w:ind w:left="960" w:firstLine="602"/>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means all Indebtedness of a Person and its Restricted Subsidiaries for borrowed money, excluding obligations in respect of letters of credit, bankers’ acceptances, bank guarantees, surety bonds, performance bonds, advance payment guarantees or bonds, warranties, bid guarantees or bonds and similar instruments except to the extent of unreimbursed amounts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unreimbursed amount under commercial letters of credit shall not be counted as Consolidated Total Debt until three Business Days after such amount is drawn). The amount of Consolidated Total Debt for which recourse is limited either to a specified amount or to an identified asset of such Person shall be deemed to be equal to such specified amount or, if less, the fair market value of such identified asset. For the avoidance of doubt, Consolidated Total Debt shall not include (i) undrawn letters of credit, (ii) net obligations under any Swap Agreement, (iii) any earn-out obligations, (iv) any deferred compensation arrangements or (v) any non-compete or consulting obligations.</w:t>
      </w:r>
    </w:p>
    <w:p>
      <w:pPr>
        <w:spacing w:after="0" w:line="184"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shall mean, with respect to any Person, any obligation of such Person guaranteeing any leases, dividends or other obligations that do not constitute Indebtedness (such obligations,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any obligation of such Person, whether or not contingent,</w:t>
      </w:r>
    </w:p>
    <w:p>
      <w:pPr>
        <w:spacing w:after="0" w:line="206" w:lineRule="exact"/>
        <w:rPr>
          <w:sz w:val="20"/>
          <w:szCs w:val="20"/>
          <w:color w:val="auto"/>
        </w:rPr>
      </w:pPr>
    </w:p>
    <w:p>
      <w:pPr>
        <w:ind w:left="2960" w:hanging="793"/>
        <w:spacing w:after="0"/>
        <w:tabs>
          <w:tab w:leader="none" w:pos="2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w:t>
      </w:r>
    </w:p>
    <w:p>
      <w:pPr>
        <w:spacing w:after="0" w:line="9"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therefore,</w:t>
      </w:r>
    </w:p>
    <w:p>
      <w:pPr>
        <w:spacing w:after="0" w:line="215" w:lineRule="exact"/>
        <w:rPr>
          <w:rFonts w:ascii="Arial" w:cs="Arial" w:eastAsia="Arial" w:hAnsi="Arial"/>
          <w:sz w:val="18"/>
          <w:szCs w:val="18"/>
          <w:color w:val="auto"/>
        </w:rPr>
      </w:pPr>
    </w:p>
    <w:p>
      <w:pPr>
        <w:ind w:left="2760" w:hanging="594"/>
        <w:spacing w:after="0"/>
        <w:tabs>
          <w:tab w:leader="none" w:pos="2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95" w:lineRule="exact"/>
        <w:rPr>
          <w:sz w:val="20"/>
          <w:szCs w:val="20"/>
          <w:color w:val="auto"/>
        </w:rPr>
      </w:pPr>
    </w:p>
    <w:p>
      <w:pPr>
        <w:ind w:left="4560" w:hanging="517"/>
        <w:spacing w:after="0"/>
        <w:tabs>
          <w:tab w:leader="none" w:pos="4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the purchase or payment of any such Primary</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Obligation, or</w:t>
      </w:r>
    </w:p>
    <w:p>
      <w:pPr>
        <w:spacing w:after="0" w:line="279" w:lineRule="exact"/>
        <w:rPr>
          <w:sz w:val="20"/>
          <w:szCs w:val="20"/>
          <w:color w:val="auto"/>
        </w:rPr>
      </w:pPr>
    </w:p>
    <w:p>
      <w:pPr>
        <w:ind w:left="2160" w:right="20" w:firstLine="1826"/>
        <w:spacing w:after="0" w:line="263" w:lineRule="auto"/>
        <w:tabs>
          <w:tab w:leader="none" w:pos="476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185" w:lineRule="exact"/>
        <w:rPr>
          <w:rFonts w:ascii="Arial" w:cs="Arial" w:eastAsia="Arial" w:hAnsi="Arial"/>
          <w:sz w:val="18"/>
          <w:szCs w:val="18"/>
          <w:color w:val="auto"/>
        </w:rPr>
      </w:pPr>
    </w:p>
    <w:p>
      <w:pPr>
        <w:jc w:val="both"/>
        <w:ind w:left="1560" w:right="20" w:firstLine="607"/>
        <w:spacing w:after="0" w:line="248" w:lineRule="auto"/>
        <w:tabs>
          <w:tab w:leader="none" w:pos="2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of such Primary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360" w:top="1326" w:right="819" w:bottom="1440" w:gutter="0" w:footer="0" w:header="0"/>
        </w:sectPr>
      </w:pPr>
    </w:p>
    <w:bookmarkStart w:id="105" w:name="page106"/>
    <w:bookmarkEnd w:id="105"/>
    <w:p>
      <w:pPr>
        <w:jc w:val="both"/>
        <w:ind w:left="960" w:right="20" w:firstLine="602"/>
        <w:spacing w:after="0" w:line="27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Contingent Obligation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Contingent Obligation shall be deemed to be an amount equal to the stated or determinable amount of the related Primary Obligation, or portion thereof, in respect of which such Contingent Obligation is made or, if not stated or determinable, the maximum reasonably anticipated liability in respect thereof as determined in good faith by an Authorized Officer.</w:t>
      </w:r>
    </w:p>
    <w:p>
      <w:pPr>
        <w:spacing w:after="0" w:line="182" w:lineRule="exact"/>
        <w:rPr>
          <w:sz w:val="20"/>
          <w:szCs w:val="20"/>
          <w:color w:val="auto"/>
        </w:rPr>
      </w:pPr>
    </w:p>
    <w:p>
      <w:pPr>
        <w:jc w:val="both"/>
        <w:ind w:left="960" w:right="20" w:firstLine="602"/>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shall mean, with respect to any Person, any provision of any security issued by such Person or of any agreement, instrument or other undertaking to which such Person is a party or by which it or any of its property is bound.</w:t>
      </w:r>
    </w:p>
    <w:p>
      <w:pPr>
        <w:spacing w:after="0" w:line="150"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274" w:lineRule="exact"/>
        <w:rPr>
          <w:sz w:val="20"/>
          <w:szCs w:val="20"/>
          <w:color w:val="auto"/>
        </w:rPr>
      </w:pPr>
    </w:p>
    <w:p>
      <w:pPr>
        <w:jc w:val="both"/>
        <w:ind w:left="960" w:right="20" w:firstLine="602"/>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Investment Affiliate</w:t>
      </w:r>
      <w:r>
        <w:rPr>
          <w:rFonts w:ascii="Arial" w:cs="Arial" w:eastAsia="Arial" w:hAnsi="Arial"/>
          <w:sz w:val="18"/>
          <w:szCs w:val="18"/>
          <w:color w:val="auto"/>
        </w:rPr>
        <w:t>” shall mean, with respect to any Person, any other Person that (a) directly or indirectly, is in Control of, is Controlled by, or is under common Control with, such Person and</w:t>
      </w:r>
    </w:p>
    <w:p>
      <w:pPr>
        <w:spacing w:after="0" w:line="2" w:lineRule="exact"/>
        <w:rPr>
          <w:sz w:val="20"/>
          <w:szCs w:val="20"/>
          <w:color w:val="auto"/>
        </w:rPr>
      </w:pPr>
    </w:p>
    <w:p>
      <w:pPr>
        <w:ind w:left="1760" w:hanging="797"/>
        <w:spacing w:after="0"/>
        <w:tabs>
          <w:tab w:leader="none" w:pos="1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organized by such Person primarily for the purpose of making equity or debt investments in one or more companies.</w:t>
      </w:r>
    </w:p>
    <w:p>
      <w:pPr>
        <w:spacing w:after="0" w:line="227" w:lineRule="exact"/>
        <w:rPr>
          <w:sz w:val="20"/>
          <w:szCs w:val="20"/>
          <w:color w:val="auto"/>
        </w:rPr>
      </w:pPr>
    </w:p>
    <w:p>
      <w:pPr>
        <w:jc w:val="both"/>
        <w:ind w:left="960" w:right="2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0"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Refinancing Debt</w:t>
      </w:r>
      <w:r>
        <w:rPr>
          <w:rFonts w:ascii="Arial" w:cs="Arial" w:eastAsia="Arial" w:hAnsi="Arial"/>
          <w:sz w:val="17"/>
          <w:szCs w:val="17"/>
          <w:color w:val="auto"/>
        </w:rPr>
        <w:t>” shall mean (a) First Priority Credit Agreement Refinancing Debt or (b) Indebtedness incurred or Other Revolving Commitments obtained pursuant to a Refinancing Amendment that complies with the Credit Agreement Refinancing Requirements,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Loan Commitments hereunder (including any successive Credit Agreement Refinancing Debt) (any such extended, renewed, replaced or refinanced Term Loans, Revolving Loans or Revolving Loan Commitments, “</w:t>
      </w:r>
      <w:r>
        <w:rPr>
          <w:rFonts w:ascii="Arial" w:cs="Arial" w:eastAsia="Arial" w:hAnsi="Arial"/>
          <w:sz w:val="17"/>
          <w:szCs w:val="17"/>
          <w:u w:val="single" w:color="auto"/>
          <w:color w:val="auto"/>
        </w:rPr>
        <w:t>Refinanced Credit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extending, renewing or refinancing Indebtedness (including, if such Indebtedness includes or relates to any Other Revolving Commitments, the unused portion of such Other Revolving Commitments) is in an original aggregate principal amount (or accreted value, if applicable) not greater than the aggregate principal amount (or accreted value, if applicable) of the Refinanced Credit Agreement Debt (and, in the case of Refinanced Credit Agreement Debt consisting, in whole or in part, of unused Revolving Loan Commitments or Other Revolving Commitments, the amount thereof) plus an amount equal to unpaid and accrued interest and premium thereon plus other reasonable and customary fees and expenses (including upfront fees and original issue discount) and (ii) such Refinanced Credit Agreement Debt shall be repaid, defeased or satisfied and discharged, and all accrued interest, fees and premiums (if any) in connection therewith shall be paid, on the date such Credit Agreement Refinancing Debt is issued, incurred or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Refinanced Credit Agreement Debt consists, in whole or in part, of Revolving Loan Commitments or Other Revolving Commitments (or Revolving Loans or Other Revolving Loans incurred pursuant to any Revolving Loan Commitments or Other Revolving Commitments), such Revolving Loan Commitments or Other Revolving Commitments, as applicable, shall be terminated, and all accrued fees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352425</wp:posOffset>
            </wp:positionV>
            <wp:extent cx="326390" cy="182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20"/>
          </w:cols>
          <w:pgMar w:left="360" w:top="1326" w:right="81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color w:val="auto"/>
        </w:rPr>
        <w:t>connection therewith shall be paid, on the date such Credit Agreement Refinancing Debt is issued, incurred or obtained.</w:t>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Refinancing Requirements</w:t>
      </w:r>
      <w:r>
        <w:rPr>
          <w:rFonts w:ascii="Arial" w:cs="Arial" w:eastAsia="Arial" w:hAnsi="Arial"/>
          <w:sz w:val="17"/>
          <w:szCs w:val="17"/>
          <w:color w:val="auto"/>
        </w:rPr>
        <w:t>” shall mean, with respect to any Indebtedness incurred by the Borrower to</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Refinance, in whole or part, any other tranche of Indebtedness (such other Indebtedness, “</w:t>
      </w:r>
      <w:r>
        <w:rPr>
          <w:rFonts w:ascii="Arial" w:cs="Arial" w:eastAsia="Arial" w:hAnsi="Arial"/>
          <w:sz w:val="18"/>
          <w:szCs w:val="18"/>
          <w:u w:val="single" w:color="auto"/>
          <w:color w:val="auto"/>
        </w:rPr>
        <w:t>Refinanced Debt</w:t>
      </w:r>
      <w:r>
        <w:rPr>
          <w:rFonts w:ascii="Arial" w:cs="Arial" w:eastAsia="Arial" w:hAnsi="Arial"/>
          <w:sz w:val="18"/>
          <w:szCs w:val="18"/>
          <w:color w:val="auto"/>
        </w:rPr>
        <w:t>”):</w:t>
      </w:r>
    </w:p>
    <w:p>
      <w:pPr>
        <w:spacing w:after="0" w:line="279" w:lineRule="exact"/>
        <w:rPr>
          <w:sz w:val="20"/>
          <w:szCs w:val="20"/>
          <w:color w:val="auto"/>
        </w:rPr>
      </w:pPr>
    </w:p>
    <w:p>
      <w:pPr>
        <w:ind w:left="2760" w:hanging="594"/>
        <w:spacing w:after="0"/>
        <w:tabs>
          <w:tab w:leader="none" w:pos="2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all such Indebtedness:</w:t>
      </w:r>
    </w:p>
    <w:p>
      <w:pPr>
        <w:spacing w:after="0" w:line="219" w:lineRule="exact"/>
        <w:rPr>
          <w:rFonts w:ascii="Arial" w:cs="Arial" w:eastAsia="Arial" w:hAnsi="Arial"/>
          <w:sz w:val="18"/>
          <w:szCs w:val="18"/>
          <w:color w:val="auto"/>
        </w:rPr>
      </w:pPr>
    </w:p>
    <w:p>
      <w:pPr>
        <w:jc w:val="both"/>
        <w:ind w:left="2160" w:firstLine="1882"/>
        <w:spacing w:after="0" w:line="251" w:lineRule="auto"/>
        <w:tabs>
          <w:tab w:leader="none" w:pos="4761"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other terms and conditions of such Indebtedness (excluding pricing, fees, rate floors and optional prepayment or redemption terms and covenants (x) applicable only to periods after the Latest Maturity Date or (y) that are also made for the benefit of the Lenders) (I) reflect market terms and conditions (taken as a whole) at the time of incurrence or issuance (as determined by the Borrower in good faith),</w:t>
      </w:r>
    </w:p>
    <w:p>
      <w:pPr>
        <w:jc w:val="both"/>
        <w:ind w:left="2160"/>
        <w:spacing w:after="0" w:line="236" w:lineRule="auto"/>
        <w:rPr>
          <w:rFonts w:ascii="Arial" w:cs="Arial" w:eastAsia="Arial" w:hAnsi="Arial"/>
          <w:sz w:val="17"/>
          <w:szCs w:val="17"/>
          <w:color w:val="auto"/>
        </w:rPr>
      </w:pPr>
      <w:r>
        <w:rPr>
          <w:rFonts w:ascii="Arial" w:cs="Arial" w:eastAsia="Arial" w:hAnsi="Arial"/>
          <w:sz w:val="18"/>
          <w:szCs w:val="18"/>
          <w:color w:val="auto"/>
        </w:rPr>
        <w:t xml:space="preserve">(II) are substantially identical to, or (taken as a whole) are no more favorable to the providers of such Indebtedness (in each case, as determined by the Borrower in good faith) than, those applicable to the Refinanced Debt or (III) are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of any such Indebtedness shall not provide for any financial covenant unless such covenant shall also apply for the benefit of the Revolving Lenders; and</w:t>
      </w:r>
    </w:p>
    <w:p>
      <w:pPr>
        <w:spacing w:after="0" w:line="207" w:lineRule="exact"/>
        <w:rPr>
          <w:rFonts w:ascii="Arial" w:cs="Arial" w:eastAsia="Arial" w:hAnsi="Arial"/>
          <w:sz w:val="17"/>
          <w:szCs w:val="17"/>
          <w:color w:val="auto"/>
        </w:rPr>
      </w:pPr>
    </w:p>
    <w:p>
      <w:pPr>
        <w:ind w:left="2160" w:firstLine="1825"/>
        <w:spacing w:after="0" w:line="263" w:lineRule="auto"/>
        <w:tabs>
          <w:tab w:leader="none" w:pos="47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Indebtedness will not be guaranteed by any person that is not a Guarantor or secured by any asset that is not Collateral (except the Collateral Exclusions);</w:t>
      </w:r>
    </w:p>
    <w:p>
      <w:pPr>
        <w:spacing w:after="0" w:line="185" w:lineRule="exact"/>
        <w:rPr>
          <w:rFonts w:ascii="Arial" w:cs="Arial" w:eastAsia="Arial" w:hAnsi="Arial"/>
          <w:sz w:val="18"/>
          <w:szCs w:val="18"/>
          <w:color w:val="auto"/>
        </w:rPr>
      </w:pPr>
    </w:p>
    <w:p>
      <w:pPr>
        <w:ind w:left="2760" w:hanging="595"/>
        <w:spacing w:after="0"/>
        <w:tabs>
          <w:tab w:leader="none" w:pos="2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Indebtedness constitutes Refinancing Revolving Debt:</w:t>
      </w:r>
    </w:p>
    <w:p>
      <w:pPr>
        <w:spacing w:after="0" w:line="219" w:lineRule="exact"/>
        <w:rPr>
          <w:rFonts w:ascii="Arial" w:cs="Arial" w:eastAsia="Arial" w:hAnsi="Arial"/>
          <w:sz w:val="18"/>
          <w:szCs w:val="18"/>
          <w:color w:val="auto"/>
        </w:rPr>
      </w:pPr>
    </w:p>
    <w:p>
      <w:pPr>
        <w:ind w:left="2160" w:firstLine="1882"/>
        <w:spacing w:after="0" w:line="263" w:lineRule="auto"/>
        <w:tabs>
          <w:tab w:leader="none" w:pos="4761"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Indebtedness does not mature (or require mandatory prepayment, commitment reductions or amortization) prior to the final stated maturity date of the Refinanced Debt;</w:t>
      </w:r>
    </w:p>
    <w:p>
      <w:pPr>
        <w:spacing w:after="0" w:line="185" w:lineRule="exact"/>
        <w:rPr>
          <w:rFonts w:ascii="Arial" w:cs="Arial" w:eastAsia="Arial" w:hAnsi="Arial"/>
          <w:sz w:val="18"/>
          <w:szCs w:val="18"/>
          <w:color w:val="auto"/>
        </w:rPr>
      </w:pPr>
    </w:p>
    <w:p>
      <w:pPr>
        <w:jc w:val="both"/>
        <w:ind w:left="2160" w:firstLine="1825"/>
        <w:spacing w:after="0" w:line="248" w:lineRule="auto"/>
        <w:tabs>
          <w:tab w:leader="none" w:pos="47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such Indebtedness includes provisions providing for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treatment of payment, repayment, borrowings, participations and commitment reductions of the Revolving Facility and such Indebtedness reasonably acceptable to the Administrative Agent and the Borrower; and</w:t>
      </w:r>
    </w:p>
    <w:p>
      <w:pPr>
        <w:spacing w:after="0" w:line="185" w:lineRule="exact"/>
        <w:rPr>
          <w:rFonts w:ascii="Arial" w:cs="Arial" w:eastAsia="Arial" w:hAnsi="Arial"/>
          <w:sz w:val="18"/>
          <w:szCs w:val="18"/>
          <w:color w:val="auto"/>
        </w:rPr>
      </w:pPr>
    </w:p>
    <w:p>
      <w:pPr>
        <w:jc w:val="both"/>
        <w:ind w:left="2160" w:firstLine="1826"/>
        <w:spacing w:after="0" w:line="269" w:lineRule="auto"/>
        <w:tabs>
          <w:tab w:leader="none" w:pos="4756"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proceeds of such Indebtedness are applied, substantially concurrently with the incurrence thereof, to the prepayment of the outstanding amount (and, if such Indebtedness constitutes Refinancing Revolving Debt, reductions of the Revolving Loan Commitments) of the Refinanced Debt;</w:t>
      </w:r>
    </w:p>
    <w:p>
      <w:pPr>
        <w:spacing w:after="0" w:line="182" w:lineRule="exact"/>
        <w:rPr>
          <w:rFonts w:ascii="Arial" w:cs="Arial" w:eastAsia="Arial" w:hAnsi="Arial"/>
          <w:sz w:val="17"/>
          <w:szCs w:val="17"/>
          <w:color w:val="auto"/>
        </w:rPr>
      </w:pPr>
    </w:p>
    <w:p>
      <w:pPr>
        <w:ind w:left="2760" w:hanging="594"/>
        <w:spacing w:after="0"/>
        <w:tabs>
          <w:tab w:leader="none" w:pos="2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Indebtedness constitutes Refinancing Term Debt:</w:t>
      </w:r>
    </w:p>
    <w:p>
      <w:pPr>
        <w:spacing w:after="0" w:line="219" w:lineRule="exact"/>
        <w:rPr>
          <w:rFonts w:ascii="Arial" w:cs="Arial" w:eastAsia="Arial" w:hAnsi="Arial"/>
          <w:sz w:val="18"/>
          <w:szCs w:val="18"/>
          <w:color w:val="auto"/>
        </w:rPr>
      </w:pPr>
    </w:p>
    <w:p>
      <w:pPr>
        <w:jc w:val="both"/>
        <w:ind w:left="2160" w:firstLine="1883"/>
        <w:spacing w:after="0" w:line="248" w:lineRule="auto"/>
        <w:tabs>
          <w:tab w:leader="none" w:pos="4761" w:val="left"/>
        </w:tabs>
        <w:numPr>
          <w:ilvl w:val="1"/>
          <w:numId w:val="56"/>
        </w:numPr>
        <w:rPr>
          <w:rFonts w:ascii="Arial" w:cs="Arial" w:eastAsia="Arial" w:hAnsi="Arial"/>
          <w:sz w:val="18"/>
          <w:szCs w:val="18"/>
          <w:color w:val="auto"/>
        </w:rPr>
      </w:pPr>
      <w:r>
        <w:rPr>
          <w:rFonts w:ascii="Arial" w:cs="Arial" w:eastAsia="Arial" w:hAnsi="Arial"/>
          <w:sz w:val="18"/>
          <w:szCs w:val="18"/>
          <w:color w:val="auto"/>
        </w:rPr>
        <w:t>other than Customary Bridge Facilities and the Permitted Earlier Maturity Indebtedness Exception, such Indebtedness does not mature prior to , or have a shorter Weighted Average Life to Maturity than, the Refinanced Debt; and</w:t>
      </w:r>
    </w:p>
    <w:p>
      <w:pPr>
        <w:spacing w:after="0" w:line="198" w:lineRule="exact"/>
        <w:rPr>
          <w:rFonts w:ascii="Arial" w:cs="Arial" w:eastAsia="Arial" w:hAnsi="Arial"/>
          <w:sz w:val="18"/>
          <w:szCs w:val="18"/>
          <w:color w:val="auto"/>
        </w:rPr>
      </w:pPr>
    </w:p>
    <w:p>
      <w:pPr>
        <w:ind w:left="2160" w:firstLine="1826"/>
        <w:spacing w:after="0" w:line="263" w:lineRule="auto"/>
        <w:tabs>
          <w:tab w:leader="none" w:pos="47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Indebtedness shares not greater than ratably in any mandatory prepayments of any Term Loans then outstanding;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00"/>
          </w:cols>
          <w:pgMar w:left="360" w:top="1326" w:right="839" w:bottom="1440" w:gutter="0" w:footer="0" w:header="0"/>
        </w:sectPr>
      </w:pPr>
    </w:p>
    <w:bookmarkStart w:id="107" w:name="page108"/>
    <w:bookmarkEnd w:id="107"/>
    <w:p>
      <w:pPr>
        <w:jc w:val="both"/>
        <w:ind w:left="1560" w:right="20" w:firstLine="606"/>
        <w:spacing w:after="0" w:line="258" w:lineRule="auto"/>
        <w:tabs>
          <w:tab w:leader="none" w:pos="29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if such Indebtedness is secured and is not incurred pursuant to a Refinancing Amendment, a Senior Representative acting on behalf of the providers of such Indebtedness shall have become party to an Intercreditor Agreement (or any Intercreditor Agreement shall have been amended or replaced in a manner reasonably acceptable to the Borrower and the Administrative Agent, which results in such Senior Representative having rights to share in the Collateral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(but without regard to the control of remedies) with the Obligations.</w:t>
      </w:r>
    </w:p>
    <w:p>
      <w:pPr>
        <w:spacing w:after="0" w:line="253"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Customary Bridge Facilities</w:t>
      </w:r>
      <w:r>
        <w:rPr>
          <w:rFonts w:ascii="Arial" w:cs="Arial" w:eastAsia="Arial" w:hAnsi="Arial"/>
          <w:sz w:val="18"/>
          <w:szCs w:val="18"/>
          <w:color w:val="auto"/>
        </w:rPr>
        <w:t>” shall mean customary “bridge” facilities that automatically convert into or are exchanged for permanent financing that does not provide for either (a) an earlier final maturity date than the Latest Maturity Date of all Classes of Commitments and Loans then in effect or (b) a shorter Weighted Average Life to Maturity than the remaining Weighted Average Life to Maturity of all Classes of Commitments and Loans then in effect.</w:t>
      </w:r>
    </w:p>
    <w:p>
      <w:pPr>
        <w:spacing w:after="0" w:line="206" w:lineRule="exact"/>
        <w:rPr>
          <w:sz w:val="20"/>
          <w:szCs w:val="20"/>
          <w:color w:val="auto"/>
        </w:rPr>
      </w:pPr>
    </w:p>
    <w:p>
      <w:pPr>
        <w:jc w:val="both"/>
        <w:ind w:left="960" w:right="20" w:firstLine="601"/>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shall mean any event, act or condition which with notice or lapse of time, or both, would constitute an Event of</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Default.</w:t>
      </w:r>
    </w:p>
    <w:p>
      <w:pPr>
        <w:spacing w:after="0" w:line="21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shall mean any Lender with respect to which a Lender Default is in effect.</w:t>
      </w:r>
    </w:p>
    <w:p>
      <w:pPr>
        <w:spacing w:after="0" w:line="295" w:lineRule="exact"/>
        <w:rPr>
          <w:sz w:val="20"/>
          <w:szCs w:val="20"/>
          <w:color w:val="auto"/>
        </w:rPr>
      </w:pPr>
    </w:p>
    <w:p>
      <w:pPr>
        <w:jc w:val="both"/>
        <w:ind w:left="960" w:right="2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shall mean the fair market value of non-cash consideration received by the Borrower or any of its Restricted Subsidiaries in connection with an Asset Sale that is so designated as Designated Non-Cash Consideration pursuant to a certificate of an Authorized Officer setting forth the basis of such valuation,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amount of cash or Cash Equivalents received in connection with a subsequent sale of or collection on such Designated Non-Cash Consideration.</w:t>
      </w:r>
    </w:p>
    <w:p>
      <w:pPr>
        <w:spacing w:after="0" w:line="175"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xml:space="preserve">” shall mean preferred stock of the Borrower or any direct or indirect parent of the Borrower (in each case other than Disqualified Stock) that is issued for cash (other than to the Borrower or a Restricted Subsidiary or an employee stock ownership plan or trust established by the Borrower or any of its Subsidiaries) and is so designated as Designated Preferred Stock, pursuant to a certificate of an Authorized Officer of the Borrower, on the issuance date thereof, the cash proceeds of which are excluded from the calculation set forth in </w:t>
      </w:r>
      <w:r>
        <w:rPr>
          <w:rFonts w:ascii="Arial" w:cs="Arial" w:eastAsia="Arial" w:hAnsi="Arial"/>
          <w:sz w:val="18"/>
          <w:szCs w:val="18"/>
          <w:u w:val="single" w:color="auto"/>
          <w:color w:val="auto"/>
        </w:rPr>
        <w:t>Section 9.2(a)(v)</w:t>
      </w:r>
      <w:r>
        <w:rPr>
          <w:rFonts w:ascii="Arial" w:cs="Arial" w:eastAsia="Arial" w:hAnsi="Arial"/>
          <w:sz w:val="18"/>
          <w:szCs w:val="18"/>
          <w:color w:val="auto"/>
        </w:rPr>
        <w:t>.</w:t>
      </w:r>
    </w:p>
    <w:p>
      <w:pPr>
        <w:spacing w:after="0" w:line="26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shall have the meaning set forth in the definition of “Asset Sale.”</w:t>
      </w:r>
    </w:p>
    <w:p>
      <w:pPr>
        <w:spacing w:after="0" w:line="295" w:lineRule="exact"/>
        <w:rPr>
          <w:sz w:val="20"/>
          <w:szCs w:val="20"/>
          <w:color w:val="auto"/>
        </w:rPr>
      </w:pPr>
    </w:p>
    <w:p>
      <w:pPr>
        <w:jc w:val="both"/>
        <w:ind w:left="960" w:firstLine="60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xml:space="preserve">” shall mean the Persons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as such schedule may be updated from time to time solely with respect to any competitor of the Borrower and its Subsidiaries following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updates to the Disqualified Lender schedule after a relevant trade date shall not retroactively disqualify a Lender that was not a Disqualified Lender on such trade date and (ii) to the extent the Borrower has consented (in writing in its sole and absolute discretion), a Person will not be considered a Disqualified Lender. The list of Disqualified Lenders shall be made available to any Lender at all times, at the request of such Lender. The Administrative Agent shall have the right, and the Borrower hereby expressly authorizes the Administrative Agent, to post the list of Disqualified Lenders provided by the Borrower and any updates thereto from time to time on the Platform, including that portion of the Platform that is designated for “public-side”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341630</wp:posOffset>
            </wp:positionV>
            <wp:extent cx="326390" cy="182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360" w:top="1326" w:right="819" w:bottom="1440" w:gutter="0" w:footer="0" w:header="0"/>
        </w:sectPr>
      </w:pPr>
    </w:p>
    <w:bookmarkStart w:id="108" w:name="page109"/>
    <w:bookmarkEnd w:id="108"/>
    <w:p>
      <w:pPr>
        <w:jc w:val="both"/>
        <w:ind w:left="960" w:firstLine="60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that is ninety-one (91) days after the Latest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w:t>
      </w:r>
    </w:p>
    <w:p>
      <w:pPr>
        <w:spacing w:after="0" w:line="27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Distressed Person</w:t>
      </w:r>
      <w:r>
        <w:rPr>
          <w:rFonts w:ascii="Arial" w:cs="Arial" w:eastAsia="Arial" w:hAnsi="Arial"/>
          <w:sz w:val="18"/>
          <w:szCs w:val="18"/>
          <w:color w:val="auto"/>
        </w:rPr>
        <w:t>” shall have the meaning set forth in the definition of “Lender-Related Distress</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Event.”</w:t>
      </w:r>
    </w:p>
    <w:p>
      <w:pPr>
        <w:spacing w:after="0" w:line="27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shall have the meaning set forth in the definition of “Division.”</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 Successor</w:t>
      </w:r>
      <w:r>
        <w:rPr>
          <w:rFonts w:ascii="Arial" w:cs="Arial" w:eastAsia="Arial" w:hAnsi="Arial"/>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20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Denominated Loan</w:t>
      </w:r>
      <w:r>
        <w:rPr>
          <w:rFonts w:ascii="Arial" w:cs="Arial" w:eastAsia="Arial" w:hAnsi="Arial"/>
          <w:sz w:val="18"/>
          <w:szCs w:val="18"/>
          <w:color w:val="auto"/>
        </w:rPr>
        <w:t>” shall mean each Loan denominated in Dollars, which shall include each Incremental Term Loan denominated in Dollars and each Dollar Denominated Revolving Loan and each Swingline Loan.</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Denominated Revolving Loan</w:t>
      </w:r>
      <w:r>
        <w:rPr>
          <w:rFonts w:ascii="Arial" w:cs="Arial" w:eastAsia="Arial" w:hAnsi="Arial"/>
          <w:sz w:val="18"/>
          <w:szCs w:val="18"/>
          <w:color w:val="auto"/>
        </w:rPr>
        <w:t>” shall mean each Revolving Loan denominated in Dollars.</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shall mean, with respect to any amount denominated in an Alternate Currency as of any date of determination by the Administrative Agent (or the applicable Issuing Lender, as the case may be), the Spot Currency Exchange Rate (determined in respect of the most recent Revaluation Date).</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shall each mean freely transferable lawful money of the United States.</w:t>
      </w:r>
    </w:p>
    <w:p>
      <w:pPr>
        <w:spacing w:after="0" w:line="295"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shall mean, with respect to any Person, any Subsidiary of such Person incorporated in, or organized under the laws of, the United States, any state thereof or the District of Columbia.</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0"/>
          </w:cols>
          <w:pgMar w:left="360" w:top="1326" w:right="819" w:bottom="1440" w:gutter="0" w:footer="0" w:header="0"/>
        </w:sectPr>
      </w:pPr>
    </w:p>
    <w:bookmarkStart w:id="109" w:name="page110"/>
    <w:bookmarkEnd w:id="109"/>
    <w:p>
      <w:pPr>
        <w:jc w:val="both"/>
        <w:ind w:left="960" w:right="1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Government Obligation</w:t>
      </w:r>
      <w:r>
        <w:rPr>
          <w:rFonts w:ascii="Arial" w:cs="Arial" w:eastAsia="Arial" w:hAnsi="Arial"/>
          <w:sz w:val="18"/>
          <w:szCs w:val="18"/>
          <w:color w:val="auto"/>
        </w:rPr>
        <w:t xml:space="preserve">” shall mean direct non-callable obligations of the United Kingdom and any EMU member for the payment of which obligations the full faith and credit of the respective nation is pledged;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nation has a credit rating at least equal to that of the highest rated member nation of the European Economic Area.</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shall mean any of the member states of the European Union, Iceland, Liechtenstein and Norway.</w:t>
      </w:r>
    </w:p>
    <w:p>
      <w:pPr>
        <w:spacing w:after="0" w:line="231" w:lineRule="exact"/>
        <w:rPr>
          <w:sz w:val="20"/>
          <w:szCs w:val="20"/>
          <w:color w:val="auto"/>
        </w:rPr>
      </w:pPr>
    </w:p>
    <w:p>
      <w:pPr>
        <w:jc w:val="both"/>
        <w:ind w:left="960" w:right="1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shall mean any Person that meets the requirements to be an assignee under </w:t>
      </w:r>
      <w:r>
        <w:rPr>
          <w:rFonts w:ascii="Arial" w:cs="Arial" w:eastAsia="Arial" w:hAnsi="Arial"/>
          <w:sz w:val="16"/>
          <w:szCs w:val="16"/>
          <w:u w:val="single" w:color="auto"/>
          <w:color w:val="auto"/>
        </w:rPr>
        <w:t>Section 13.4(a)(i)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(a)(ii)</w:t>
      </w:r>
    </w:p>
    <w:p>
      <w:pPr>
        <w:spacing w:after="0" w:line="33" w:lineRule="exact"/>
        <w:rPr>
          <w:sz w:val="20"/>
          <w:szCs w:val="20"/>
          <w:color w:val="auto"/>
        </w:rPr>
      </w:pPr>
    </w:p>
    <w:p>
      <w:pPr>
        <w:ind w:left="960" w:right="120" w:firstLine="3"/>
        <w:spacing w:after="0" w:line="273" w:lineRule="auto"/>
        <w:tabs>
          <w:tab w:leader="none" w:pos="1277" w:val="left"/>
        </w:tabs>
        <w:numPr>
          <w:ilvl w:val="0"/>
          <w:numId w:val="58"/>
        </w:numPr>
        <w:rPr>
          <w:rFonts w:ascii="Arial" w:cs="Arial" w:eastAsia="Arial" w:hAnsi="Arial"/>
          <w:sz w:val="17"/>
          <w:szCs w:val="17"/>
          <w:u w:val="single" w:color="auto"/>
          <w:color w:val="auto"/>
        </w:rPr>
      </w:pPr>
      <w:r>
        <w:rPr>
          <w:rFonts w:ascii="Arial" w:cs="Arial" w:eastAsia="Arial" w:hAnsi="Arial"/>
          <w:sz w:val="17"/>
          <w:szCs w:val="17"/>
          <w:color w:val="auto"/>
        </w:rPr>
        <w:t xml:space="preserve">(subject to such consents, if any, as may be required under </w:t>
      </w:r>
      <w:r>
        <w:rPr>
          <w:rFonts w:ascii="Arial" w:cs="Arial" w:eastAsia="Arial" w:hAnsi="Arial"/>
          <w:sz w:val="17"/>
          <w:szCs w:val="17"/>
          <w:u w:val="single" w:color="auto"/>
          <w:color w:val="auto"/>
        </w:rPr>
        <w:t>Section 13.4(a)(i)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“Eligible Assignee” shall not include any natural person, any Defaulting Lenders, any Disqualified Lenders or the Borrower or any of the Borrower’s Affiliates.</w:t>
      </w:r>
    </w:p>
    <w:p>
      <w:pPr>
        <w:spacing w:after="0" w:line="17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shall mean the Economic and Monetary Union as contemplated in the EU Treaty.</w:t>
      </w:r>
    </w:p>
    <w:p>
      <w:pPr>
        <w:spacing w:after="0" w:line="295"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shall mean the legislative measures of the EMU for the introduction of, changeover to, or operation of the Euro in one or more member states.</w:t>
      </w:r>
    </w:p>
    <w:p>
      <w:pPr>
        <w:spacing w:after="0" w:line="18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shall have the meaning set forth in the definition of “Applicable Margin.”</w:t>
      </w:r>
    </w:p>
    <w:p>
      <w:pPr>
        <w:spacing w:after="0" w:line="295" w:lineRule="exact"/>
        <w:rPr>
          <w:sz w:val="20"/>
          <w:szCs w:val="20"/>
          <w:color w:val="auto"/>
        </w:rPr>
      </w:pPr>
    </w:p>
    <w:p>
      <w:pPr>
        <w:jc w:val="both"/>
        <w:ind w:left="960" w:right="12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shall mean any and all foreign, federal, state, local or municipal Requirements of Law regulating, relating to or imposing liability or standards of conduct concerning Materials of Environmental Concern, human health and safety with respect to exposure to Materials of Environmental Concern, and protection or restoration of the environment.</w:t>
      </w:r>
    </w:p>
    <w:p>
      <w:pPr>
        <w:spacing w:after="0" w:line="18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Orders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6.17(b)</w:t>
      </w:r>
      <w:r>
        <w:rPr>
          <w:rFonts w:ascii="Arial" w:cs="Arial" w:eastAsia="Arial" w:hAnsi="Arial"/>
          <w:sz w:val="18"/>
          <w:szCs w:val="18"/>
          <w:color w:val="auto"/>
        </w:rPr>
        <w:t>.</w:t>
      </w:r>
    </w:p>
    <w:p>
      <w:pPr>
        <w:spacing w:after="0" w:line="29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Proceedings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6.17(b)</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Cure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95" w:lineRule="exact"/>
        <w:rPr>
          <w:sz w:val="20"/>
          <w:szCs w:val="20"/>
          <w:color w:val="auto"/>
        </w:rPr>
      </w:pPr>
    </w:p>
    <w:p>
      <w:pPr>
        <w:jc w:val="both"/>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73" w:lineRule="exact"/>
        <w:rPr>
          <w:sz w:val="20"/>
          <w:szCs w:val="20"/>
          <w:color w:val="auto"/>
        </w:rPr>
      </w:pPr>
    </w:p>
    <w:p>
      <w:pPr>
        <w:jc w:val="both"/>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shall mean any public or private sale of common stock or Preferred Stock of the Borrower or any of its direct or indirect parent companies.</w:t>
      </w:r>
    </w:p>
    <w:p>
      <w:pPr>
        <w:spacing w:after="0" w:line="186" w:lineRule="exact"/>
        <w:rPr>
          <w:sz w:val="20"/>
          <w:szCs w:val="20"/>
          <w:color w:val="auto"/>
        </w:rPr>
      </w:pPr>
    </w:p>
    <w:p>
      <w:pPr>
        <w:jc w:val="both"/>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from time to time, and the rules and regulations promulgated thereunder.</w:t>
      </w:r>
    </w:p>
    <w:p>
      <w:pPr>
        <w:spacing w:after="0" w:line="186" w:lineRule="exact"/>
        <w:rPr>
          <w:sz w:val="20"/>
          <w:szCs w:val="20"/>
          <w:color w:val="auto"/>
        </w:rPr>
      </w:pPr>
    </w:p>
    <w:p>
      <w:pPr>
        <w:jc w:val="both"/>
        <w:ind w:left="960" w:right="1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414(c) of the Code or, solely for purposes of Section 412 of the Code and Section 302 of ERISA, is treated as a single employer under Section 414 of the Code.</w:t>
      </w:r>
    </w:p>
    <w:p>
      <w:pPr>
        <w:spacing w:after="0" w:line="186" w:lineRule="exact"/>
        <w:rPr>
          <w:sz w:val="20"/>
          <w:szCs w:val="20"/>
          <w:color w:val="auto"/>
        </w:rPr>
      </w:pPr>
    </w:p>
    <w:p>
      <w:pPr>
        <w:jc w:val="both"/>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20"/>
          </w:cols>
          <w:pgMar w:left="360" w:top="1326" w:right="719" w:bottom="1440" w:gutter="0" w:footer="0" w:header="0"/>
        </w:sectPr>
      </w:pPr>
    </w:p>
    <w:bookmarkStart w:id="110" w:name="page111"/>
    <w:bookmarkEnd w:id="110"/>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Treaty</w:t>
      </w:r>
      <w:r>
        <w:rPr>
          <w:rFonts w:ascii="Arial" w:cs="Arial" w:eastAsia="Arial" w:hAnsi="Arial"/>
          <w:sz w:val="18"/>
          <w:szCs w:val="18"/>
          <w:color w:val="auto"/>
        </w:rPr>
        <w:t>” shall mean the Treaty on European Union.</w:t>
      </w:r>
    </w:p>
    <w:p>
      <w:pPr>
        <w:spacing w:after="0" w:line="295" w:lineRule="exact"/>
        <w:rPr>
          <w:sz w:val="20"/>
          <w:szCs w:val="20"/>
          <w:color w:val="auto"/>
        </w:rPr>
      </w:pPr>
    </w:p>
    <w:p>
      <w:pPr>
        <w:jc w:val="both"/>
        <w:ind w:left="960" w:right="2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Interpolated Rate</w:t>
      </w:r>
      <w:r>
        <w:rPr>
          <w:rFonts w:ascii="Arial" w:cs="Arial" w:eastAsia="Arial" w:hAnsi="Arial"/>
          <w:sz w:val="18"/>
          <w:szCs w:val="18"/>
          <w:color w:val="auto"/>
        </w:rPr>
        <w:t>” shall mean, at any time, with respect to each Borrowing of Euro Denominated Loans,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zero, such rate shall be deemed to be zero for the purposes of this Agreement.</w:t>
      </w:r>
    </w:p>
    <w:p>
      <w:pPr>
        <w:spacing w:after="0" w:line="208"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Rate</w:t>
      </w:r>
      <w:r>
        <w:rPr>
          <w:rFonts w:ascii="Arial" w:cs="Arial" w:eastAsia="Arial" w:hAnsi="Arial"/>
          <w:sz w:val="18"/>
          <w:szCs w:val="18"/>
          <w:color w:val="auto"/>
        </w:rPr>
        <w:t>” shall mean, with respect to each Borrowing of Euro Denominated Loans, the EURIBOR Screen Rate at approximately 11:00 a.m., Brussels time, two TARGET Days prior to the commencement of such Interest Period; provided that, if the EURIBOR Screen Rate shall not be available at such time for such Interest Period (an “</w:t>
      </w:r>
      <w:r>
        <w:rPr>
          <w:rFonts w:ascii="Arial" w:cs="Arial" w:eastAsia="Arial" w:hAnsi="Arial"/>
          <w:sz w:val="18"/>
          <w:szCs w:val="18"/>
          <w:u w:val="single" w:color="auto"/>
          <w:color w:val="auto"/>
        </w:rPr>
        <w:t>Impacted EURIBOR Rate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with respect to Euros then the EURIBOR Rate shall be the EURIBOR Interpolated Rate.</w:t>
      </w:r>
    </w:p>
    <w:p>
      <w:pPr>
        <w:spacing w:after="0" w:line="193" w:lineRule="exact"/>
        <w:rPr>
          <w:sz w:val="20"/>
          <w:szCs w:val="20"/>
          <w:color w:val="auto"/>
        </w:rPr>
      </w:pPr>
    </w:p>
    <w:p>
      <w:pPr>
        <w:jc w:val="both"/>
        <w:ind w:left="960" w:firstLine="60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Screen Rate</w:t>
      </w:r>
      <w:r>
        <w:rPr>
          <w:rFonts w:ascii="Arial" w:cs="Arial" w:eastAsia="Arial" w:hAnsi="Arial"/>
          <w:sz w:val="17"/>
          <w:szCs w:val="17"/>
          <w:color w:val="auto"/>
        </w:rPr>
        <w:t>” shall mean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195"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the single currency of the Participating Member States introduced in accordance with the provisions of Article 109(i)4 of the EU Treaty.</w:t>
      </w:r>
    </w:p>
    <w:p>
      <w:pPr>
        <w:spacing w:after="0" w:line="18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Denominated Loan</w:t>
      </w:r>
      <w:r>
        <w:rPr>
          <w:rFonts w:ascii="Arial" w:cs="Arial" w:eastAsia="Arial" w:hAnsi="Arial"/>
          <w:sz w:val="18"/>
          <w:szCs w:val="18"/>
          <w:color w:val="auto"/>
        </w:rPr>
        <w:t>” shall mean each Loan denominated in Euros, which shall include each Incremental Term Loan denominated in Euros and each Revolving Loan denominated in Euros.</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shall mean:</w:t>
      </w:r>
    </w:p>
    <w:p>
      <w:pPr>
        <w:spacing w:after="0" w:line="295" w:lineRule="exact"/>
        <w:rPr>
          <w:sz w:val="20"/>
          <w:szCs w:val="20"/>
          <w:color w:val="auto"/>
        </w:rPr>
      </w:pPr>
    </w:p>
    <w:p>
      <w:pPr>
        <w:ind w:left="2760" w:hanging="594"/>
        <w:spacing w:after="0"/>
        <w:tabs>
          <w:tab w:leader="none" w:pos="2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fee-owned Real Property and all Real Property constituting Leaseholds;</w:t>
      </w:r>
    </w:p>
    <w:p>
      <w:pPr>
        <w:spacing w:after="0" w:line="231" w:lineRule="exact"/>
        <w:rPr>
          <w:rFonts w:ascii="Arial" w:cs="Arial" w:eastAsia="Arial" w:hAnsi="Arial"/>
          <w:sz w:val="18"/>
          <w:szCs w:val="18"/>
          <w:color w:val="auto"/>
        </w:rPr>
      </w:pPr>
    </w:p>
    <w:p>
      <w:pPr>
        <w:jc w:val="both"/>
        <w:ind w:left="1560" w:right="20" w:firstLine="606"/>
        <w:spacing w:after="0" w:line="239" w:lineRule="auto"/>
        <w:tabs>
          <w:tab w:leader="none" w:pos="29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commercial tort claims in an amount less than $2,000,000 (except to the extent a security interest therein can be perfected by the filing of a UCC financing statement or the equivalent under other applicable law), (b) any vehicles and other assets subject to certificates of title (except to the extent a security interest therein can be perfected by the filing of a UCC financing statement or the equivalent under other applicable law) and (c) any letter of credit rights (except to the extent a security interest therein can be perfected by the filing of a UCC financing statement or the equivalent under other applicable law);</w:t>
      </w:r>
    </w:p>
    <w:p>
      <w:pPr>
        <w:spacing w:after="0" w:line="192" w:lineRule="exact"/>
        <w:rPr>
          <w:rFonts w:ascii="Arial" w:cs="Arial" w:eastAsia="Arial" w:hAnsi="Arial"/>
          <w:sz w:val="18"/>
          <w:szCs w:val="18"/>
          <w:color w:val="auto"/>
        </w:rPr>
      </w:pPr>
    </w:p>
    <w:p>
      <w:pPr>
        <w:ind w:left="1560" w:right="20" w:firstLine="606"/>
        <w:spacing w:after="0" w:line="263" w:lineRule="auto"/>
        <w:tabs>
          <w:tab w:leader="none" w:pos="2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assets where the grant of a security interest therein is prohibited by law (including restrictions in respect of Margin Stock and financial assistance, fraudulent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360" w:top="1326" w:right="819" w:bottom="1440" w:gutter="0" w:footer="0" w:header="0"/>
        </w:sectPr>
      </w:pPr>
    </w:p>
    <w:bookmarkStart w:id="111" w:name="page112"/>
    <w:bookmarkEnd w:id="111"/>
    <w:p>
      <w:pPr>
        <w:jc w:val="both"/>
        <w:ind w:left="1560"/>
        <w:spacing w:after="0" w:line="238" w:lineRule="auto"/>
        <w:rPr>
          <w:sz w:val="20"/>
          <w:szCs w:val="20"/>
          <w:color w:val="auto"/>
        </w:rPr>
      </w:pPr>
      <w:r>
        <w:rPr>
          <w:rFonts w:ascii="Arial" w:cs="Arial" w:eastAsia="Arial" w:hAnsi="Arial"/>
          <w:sz w:val="18"/>
          <w:szCs w:val="18"/>
          <w:color w:val="auto"/>
        </w:rPr>
        <w:t>preference, thin capitalization or other similar laws or regulations) or contract permitted hereunder and binding on such property at the time of its acquisition and not entered into in contemplation thereof, requires governmental or third party consents required pursuant to applicable law that have not been obtained, in each case, after giving effect to applicable anti-assignment provisions of the UCC or other applicable law, other than the proceeds and receivables thereof the assignment of which is effective under the UCC or other applicable law notwithstanding such prohibition or restriction or would result in material adverse accounting, Tax or regulatory consequences as reasonably determined by the Borrower in consultation with the Administrative Agent;</w:t>
      </w:r>
    </w:p>
    <w:p>
      <w:pPr>
        <w:spacing w:after="0" w:line="206" w:lineRule="exact"/>
        <w:rPr>
          <w:sz w:val="20"/>
          <w:szCs w:val="20"/>
          <w:color w:val="auto"/>
        </w:rPr>
      </w:pPr>
    </w:p>
    <w:p>
      <w:pPr>
        <w:jc w:val="both"/>
        <w:ind w:left="1560" w:right="20" w:firstLine="606"/>
        <w:spacing w:after="0" w:line="277" w:lineRule="auto"/>
        <w:tabs>
          <w:tab w:leader="none" w:pos="29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Margin Stock and Equity Interests in any Person other than Wholly Owned Subsidiaries that are Restricted Subsidiaries to the extent not permitted by the terms of such Person’s Organizational Documents or joint venture documents except to the extent such prohibition is rendered ineffective after giving effect to applicable anti-assignment provisions of the UCC or other applicable law, other than the proceeds and receivables thereof the assignment of which is expressly deemed effective under the UCC or other applicable law notwithstanding such prohibition or restriction;</w:t>
      </w:r>
    </w:p>
    <w:p>
      <w:pPr>
        <w:spacing w:after="0" w:line="167" w:lineRule="exact"/>
        <w:rPr>
          <w:rFonts w:ascii="Arial" w:cs="Arial" w:eastAsia="Arial" w:hAnsi="Arial"/>
          <w:sz w:val="16"/>
          <w:szCs w:val="16"/>
          <w:color w:val="auto"/>
        </w:rPr>
      </w:pPr>
    </w:p>
    <w:p>
      <w:pPr>
        <w:jc w:val="both"/>
        <w:ind w:left="1560" w:right="20" w:firstLine="607"/>
        <w:spacing w:after="0" w:line="248" w:lineRule="auto"/>
        <w:tabs>
          <w:tab w:leader="none" w:pos="29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assets where the cost of obtaining a security interest in, or perfection of, such assets (including the cost of all applicable legal fees) exceeds the practical benefit to the Lenders afforded thereby (as reasonably determined by the Borrower and the Administrative Agent);</w:t>
      </w:r>
    </w:p>
    <w:p>
      <w:pPr>
        <w:spacing w:after="0" w:line="198" w:lineRule="exact"/>
        <w:rPr>
          <w:rFonts w:ascii="Arial" w:cs="Arial" w:eastAsia="Arial" w:hAnsi="Arial"/>
          <w:sz w:val="18"/>
          <w:szCs w:val="18"/>
          <w:color w:val="auto"/>
        </w:rPr>
      </w:pPr>
    </w:p>
    <w:p>
      <w:pPr>
        <w:jc w:val="both"/>
        <w:ind w:left="1560" w:right="20" w:firstLine="606"/>
        <w:spacing w:after="0"/>
        <w:tabs>
          <w:tab w:leader="none" w:pos="29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governmental licenses or state or local franchises, charters and authorizations, to the extent a security interest in any such license, franchise, charter or authorization is prohibited or restricted thereby after giving effect to the applicable anti-assignment provisions of the UCC or other applicable law, other than the proceeds and receivables thereof the assignment of which is expressly deemed effective under the UCC or other applicable law notwithstanding such prohibition or restriction;</w:t>
      </w:r>
    </w:p>
    <w:p>
      <w:pPr>
        <w:spacing w:after="0" w:line="206" w:lineRule="exact"/>
        <w:rPr>
          <w:rFonts w:ascii="Arial" w:cs="Arial" w:eastAsia="Arial" w:hAnsi="Arial"/>
          <w:sz w:val="18"/>
          <w:szCs w:val="18"/>
          <w:color w:val="auto"/>
        </w:rPr>
      </w:pPr>
    </w:p>
    <w:p>
      <w:pPr>
        <w:jc w:val="both"/>
        <w:ind w:left="1560" w:firstLine="607"/>
        <w:spacing w:after="0" w:line="270" w:lineRule="auto"/>
        <w:tabs>
          <w:tab w:leader="none" w:pos="29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lease, license, contract, similar third party arrangement or other agreement or any property subject to a purchase money security interest, Capital Lease Obligation or similar arrangement permitted by the Loan Documents to the extent that a grant of a security interest therein would violate or invalidate such lease, license or agreement or purchase money, Capital Lease Obligation or similar arrangement or create a right of termination in favor of any other party thereto (other than a Loan Party) or otherwise materially adversely amend any rights, benefits or obligations or require the taking of any action that would be materially adverse to any Loan Party after giving effect to the applicable anti-assignment provisions of the UCC or other applicable law, other than the proceeds and receivables thereof the assignment of which is expressly deemed effective under the UCC or other applicable law notwithstanding such prohibition or restriction;</w:t>
      </w:r>
    </w:p>
    <w:p>
      <w:pPr>
        <w:spacing w:after="0" w:line="174" w:lineRule="exact"/>
        <w:rPr>
          <w:rFonts w:ascii="Arial" w:cs="Arial" w:eastAsia="Arial" w:hAnsi="Arial"/>
          <w:sz w:val="16"/>
          <w:szCs w:val="16"/>
          <w:color w:val="auto"/>
        </w:rPr>
      </w:pPr>
    </w:p>
    <w:p>
      <w:pPr>
        <w:jc w:val="both"/>
        <w:ind w:left="1560" w:right="20" w:firstLine="607"/>
        <w:spacing w:after="0" w:line="242" w:lineRule="auto"/>
        <w:tabs>
          <w:tab w:leader="none" w:pos="29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U.S. federal law;</w:t>
      </w:r>
    </w:p>
    <w:p>
      <w:pPr>
        <w:spacing w:after="0" w:line="205" w:lineRule="exact"/>
        <w:rPr>
          <w:rFonts w:ascii="Arial" w:cs="Arial" w:eastAsia="Arial" w:hAnsi="Arial"/>
          <w:sz w:val="18"/>
          <w:szCs w:val="18"/>
          <w:color w:val="auto"/>
        </w:rPr>
      </w:pPr>
    </w:p>
    <w:p>
      <w:pPr>
        <w:ind w:left="2760" w:hanging="594"/>
        <w:spacing w:after="0"/>
        <w:tabs>
          <w:tab w:leader="none" w:pos="2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assets of, or Indebtedness owned by, any Subsidiary that is not a Loan Party;</w:t>
      </w:r>
    </w:p>
    <w:p>
      <w:pPr>
        <w:spacing w:after="0" w:line="231" w:lineRule="exact"/>
        <w:rPr>
          <w:rFonts w:ascii="Arial" w:cs="Arial" w:eastAsia="Arial" w:hAnsi="Arial"/>
          <w:sz w:val="18"/>
          <w:szCs w:val="18"/>
          <w:color w:val="auto"/>
        </w:rPr>
      </w:pPr>
    </w:p>
    <w:p>
      <w:pPr>
        <w:jc w:val="both"/>
        <w:ind w:left="1560" w:right="20" w:firstLine="607"/>
        <w:spacing w:after="0" w:line="248" w:lineRule="auto"/>
        <w:tabs>
          <w:tab w:leader="none" w:pos="29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property acquired after the Closing Date that is secured by pre-existing Liens securing pre-existing secured Indebtedness permitted pursuant to this Agreement and not incurred in anticipation of the acquisition by the Borrower or applicable Guarantor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0"/>
          </w:cols>
          <w:pgMar w:left="360" w:top="1326" w:right="819" w:bottom="1440" w:gutter="0" w:footer="0" w:header="0"/>
        </w:sectPr>
      </w:pPr>
    </w:p>
    <w:bookmarkStart w:id="112" w:name="page113"/>
    <w:bookmarkEnd w:id="112"/>
    <w:p>
      <w:pPr>
        <w:ind w:left="1560"/>
        <w:spacing w:after="0" w:line="263" w:lineRule="auto"/>
        <w:rPr>
          <w:sz w:val="20"/>
          <w:szCs w:val="20"/>
          <w:color w:val="auto"/>
        </w:rPr>
      </w:pPr>
      <w:r>
        <w:rPr>
          <w:rFonts w:ascii="Arial" w:cs="Arial" w:eastAsia="Arial" w:hAnsi="Arial"/>
          <w:sz w:val="18"/>
          <w:szCs w:val="18"/>
          <w:color w:val="auto"/>
        </w:rPr>
        <w:t>property, to the extent that the granting of a security interest in such property would be prohibited under the terms of such secured Indebtedness after giving effect to the applicable anti-assignment provisions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0"/>
          </w:cols>
          <w:pgMar w:left="360" w:top="1264" w:right="839" w:bottom="1440" w:gutter="0" w:footer="0" w:header="0"/>
        </w:sectPr>
      </w:pPr>
    </w:p>
    <w:bookmarkStart w:id="113" w:name="page114"/>
    <w:bookmarkEnd w:id="113"/>
    <w:p>
      <w:pPr>
        <w:ind w:left="1560"/>
        <w:spacing w:after="0" w:line="263" w:lineRule="auto"/>
        <w:rPr>
          <w:sz w:val="20"/>
          <w:szCs w:val="20"/>
          <w:color w:val="auto"/>
        </w:rPr>
      </w:pPr>
      <w:r>
        <w:rPr>
          <w:rFonts w:ascii="Arial" w:cs="Arial" w:eastAsia="Arial" w:hAnsi="Arial"/>
          <w:sz w:val="18"/>
          <w:szCs w:val="18"/>
          <w:color w:val="auto"/>
        </w:rPr>
        <w:t>UCC or other applicable law, other than the proceeds and receivables thereof the assignment of which is expressly deemed effective under the UCC or other applicable law notwithstanding such prohibition or restriction;</w:t>
      </w:r>
    </w:p>
    <w:p>
      <w:pPr>
        <w:spacing w:after="0" w:line="186" w:lineRule="exact"/>
        <w:rPr>
          <w:sz w:val="20"/>
          <w:szCs w:val="20"/>
          <w:color w:val="auto"/>
        </w:rPr>
      </w:pPr>
    </w:p>
    <w:p>
      <w:pPr>
        <w:ind w:left="1560" w:firstLine="607"/>
        <w:spacing w:after="0" w:line="263" w:lineRule="auto"/>
        <w:tabs>
          <w:tab w:leader="none" w:pos="29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Equity Interests in Unrestricted Subsidiaries, captive insurance companies and special purpose entities (other than 9900 Spectrum LLC);</w:t>
      </w:r>
    </w:p>
    <w:p>
      <w:pPr>
        <w:spacing w:after="0" w:line="173" w:lineRule="exact"/>
        <w:rPr>
          <w:rFonts w:ascii="Arial" w:cs="Arial" w:eastAsia="Arial" w:hAnsi="Arial"/>
          <w:sz w:val="18"/>
          <w:szCs w:val="18"/>
          <w:color w:val="auto"/>
        </w:rPr>
      </w:pPr>
    </w:p>
    <w:p>
      <w:pPr>
        <w:jc w:val="both"/>
        <w:ind w:left="1560" w:firstLine="607"/>
        <w:spacing w:after="0"/>
        <w:tabs>
          <w:tab w:leader="none" w:pos="2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used exclusively to hold funds in trust for the benefit of third parties (other than the Borrower or any Restricted Subsidiary), (A) payroll, healthcare and other employee wage and benefit accounts, (B) tax accounts, including, without limitation, sales tax accounts, (C) escrow, defeasance and redemption accounts, (D) fiduciary or trust accounts and (E) in the case of clauses (A) through (D) above, the funds or other property held in or maintained in any such account; and</w:t>
      </w:r>
    </w:p>
    <w:p>
      <w:pPr>
        <w:spacing w:after="0" w:line="206" w:lineRule="exact"/>
        <w:rPr>
          <w:rFonts w:ascii="Arial" w:cs="Arial" w:eastAsia="Arial" w:hAnsi="Arial"/>
          <w:sz w:val="18"/>
          <w:szCs w:val="18"/>
          <w:color w:val="auto"/>
        </w:rPr>
      </w:pPr>
    </w:p>
    <w:p>
      <w:pPr>
        <w:jc w:val="both"/>
        <w:ind w:left="1560" w:firstLine="607"/>
        <w:spacing w:after="0" w:line="248" w:lineRule="auto"/>
        <w:tabs>
          <w:tab w:leader="none" w:pos="29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Equity Interests of any Subsidiary that is a CFC or CFC Holdco, other than 65.0% of the total outstanding voting Equity Interests and 100.0% of the total outstanding non- voting Equity Interests of a CFC or a CFC Holdco that, in each case, is directly owned by a Loan Party.</w:t>
      </w:r>
    </w:p>
    <w:p>
      <w:pPr>
        <w:spacing w:after="0" w:line="198" w:lineRule="exact"/>
        <w:rPr>
          <w:sz w:val="20"/>
          <w:szCs w:val="20"/>
          <w:color w:val="auto"/>
        </w:rPr>
      </w:pPr>
    </w:p>
    <w:p>
      <w:pPr>
        <w:ind w:left="1560" w:firstLine="602"/>
        <w:spacing w:after="0" w:line="272" w:lineRule="auto"/>
        <w:rPr>
          <w:sz w:val="20"/>
          <w:szCs w:val="20"/>
          <w:color w:val="auto"/>
        </w:rPr>
      </w:pPr>
      <w:r>
        <w:rPr>
          <w:rFonts w:ascii="Arial" w:cs="Arial" w:eastAsia="Arial" w:hAnsi="Arial"/>
          <w:sz w:val="16"/>
          <w:szCs w:val="16"/>
          <w:color w:val="auto"/>
        </w:rPr>
        <w:t>In addition, (i) no action shall be required to be taken in order to perfect assets requiring perfection through control or similar agreements or by “control” (including deposit accounts, other bank accounts or securities accounts) (other than</w:t>
      </w:r>
    </w:p>
    <w:p>
      <w:pPr>
        <w:jc w:val="both"/>
        <w:ind w:left="1560" w:firstLine="5"/>
        <w:spacing w:after="0" w:line="250" w:lineRule="auto"/>
        <w:tabs>
          <w:tab w:leader="none" w:pos="182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delivery of Certificated Securities in the Borrower and wholly owned Restricted Subsidiaries required to be pledged under the Loan Documents and (y) intercompany notes and other promissory notes held by the Borrower or any Guarantor with a principal amount in excess of $1,000,000 individually or in the aggregate), (ii) no action shall be required to be taken in any non-U.S. jurisdiction to create any security interest in assets located or titled outside of the U.S. (including any Intellectual Property registered in any non-U.S. jurisdiction) or perfect any security interest in such assets or enter into any security agreements or pledge agreements governed by the laws of any such non-U.S. jurisdiction and (iii) the Loan Parties shall not be required to obtain any landlord waivers, estoppels or collateral access letters.</w:t>
      </w:r>
    </w:p>
    <w:p>
      <w:pPr>
        <w:spacing w:after="0" w:line="18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Contribution</w:t>
      </w:r>
      <w:r>
        <w:rPr>
          <w:rFonts w:ascii="Arial" w:cs="Arial" w:eastAsia="Arial" w:hAnsi="Arial"/>
          <w:sz w:val="16"/>
          <w:szCs w:val="16"/>
          <w:color w:val="auto"/>
        </w:rPr>
        <w:t>” shall mean Net Cash Proceeds received by the Borrower since immediately after the Closing Date</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from:</w:t>
      </w:r>
    </w:p>
    <w:p>
      <w:pPr>
        <w:spacing w:after="0" w:line="216" w:lineRule="exact"/>
        <w:rPr>
          <w:sz w:val="20"/>
          <w:szCs w:val="20"/>
          <w:color w:val="auto"/>
        </w:rPr>
      </w:pPr>
    </w:p>
    <w:p>
      <w:pPr>
        <w:ind w:left="2760" w:hanging="594"/>
        <w:spacing w:after="0"/>
        <w:tabs>
          <w:tab w:leader="none" w:pos="2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231" w:lineRule="exact"/>
        <w:rPr>
          <w:rFonts w:ascii="Arial" w:cs="Arial" w:eastAsia="Arial" w:hAnsi="Arial"/>
          <w:sz w:val="18"/>
          <w:szCs w:val="18"/>
          <w:color w:val="auto"/>
        </w:rPr>
      </w:pPr>
    </w:p>
    <w:p>
      <w:pPr>
        <w:jc w:val="both"/>
        <w:ind w:left="1560" w:firstLine="607"/>
        <w:spacing w:after="0" w:line="242" w:lineRule="auto"/>
        <w:tabs>
          <w:tab w:leader="none" w:pos="29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sale (other than to the Borrower or a Restricted Subsidiary or to any management equity plan or stock option plan or any other management or employee benefit plan or agreement of the Borrower or any Restricted Subsidiary) of Capital Stock of the Borrower (other than Disqualified Stock and other than to the extent used to incur Indebtedness pursuant to </w:t>
      </w:r>
      <w:r>
        <w:rPr>
          <w:rFonts w:ascii="Arial" w:cs="Arial" w:eastAsia="Arial" w:hAnsi="Arial"/>
          <w:sz w:val="18"/>
          <w:szCs w:val="18"/>
          <w:u w:val="single" w:color="auto"/>
          <w:color w:val="auto"/>
        </w:rPr>
        <w:t>Section 9.4(b)(xxv</w:t>
      </w:r>
      <w:r>
        <w:rPr>
          <w:rFonts w:ascii="Arial" w:cs="Arial" w:eastAsia="Arial" w:hAnsi="Arial"/>
          <w:sz w:val="18"/>
          <w:szCs w:val="18"/>
          <w:color w:val="auto"/>
        </w:rPr>
        <w:t>)),</w:t>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in each case that are excluded from the calculation set forth in </w:t>
      </w:r>
      <w:r>
        <w:rPr>
          <w:rFonts w:ascii="Arial" w:cs="Arial" w:eastAsia="Arial" w:hAnsi="Arial"/>
          <w:sz w:val="18"/>
          <w:szCs w:val="18"/>
          <w:u w:val="single" w:color="auto"/>
          <w:color w:val="auto"/>
        </w:rPr>
        <w:t>Section 9.2(a)(v)</w:t>
      </w:r>
      <w:r>
        <w:rPr>
          <w:rFonts w:ascii="Arial" w:cs="Arial" w:eastAsia="Arial" w:hAnsi="Arial"/>
          <w:sz w:val="18"/>
          <w:szCs w:val="18"/>
          <w:color w:val="auto"/>
        </w:rPr>
        <w:t>.</w:t>
      </w:r>
    </w:p>
    <w:p>
      <w:pPr>
        <w:spacing w:after="0" w:line="295" w:lineRule="exact"/>
        <w:rPr>
          <w:sz w:val="20"/>
          <w:szCs w:val="20"/>
          <w:color w:val="auto"/>
        </w:rPr>
      </w:pPr>
    </w:p>
    <w:p>
      <w:pPr>
        <w:jc w:val="both"/>
        <w:ind w:left="960" w:firstLine="60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shall mean (i) any Restricted Subsidiary that is not a Wholly Owned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Excluded Subsidiary shall cease to be an Excluded Subsidiary at the time such Subsidiary becomes a Wholly Owned Subsidiary, (ii) any Subsidiary that is a captive insurance company, not-for-profit Subsidiary or special purpose entity (other than 9900 Spectrum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Excluded Subsidiary shall cease to be an Excluded Subsidiary at the time such Subsidiary is no longer a captive insurance company, not-for-profit Subsidiary or special purpose entity, (iii)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00"/>
          </w:cols>
          <w:pgMar w:left="360" w:top="1326" w:right="839" w:bottom="1440" w:gutter="0" w:footer="0" w:header="0"/>
        </w:sectPr>
      </w:pPr>
    </w:p>
    <w:bookmarkStart w:id="114" w:name="page115"/>
    <w:bookmarkEnd w:id="114"/>
    <w:p>
      <w:pPr>
        <w:jc w:val="both"/>
        <w:ind w:left="960"/>
        <w:spacing w:after="0" w:line="266" w:lineRule="auto"/>
        <w:rPr>
          <w:sz w:val="20"/>
          <w:szCs w:val="20"/>
          <w:color w:val="auto"/>
        </w:rPr>
      </w:pPr>
      <w:r>
        <w:rPr>
          <w:rFonts w:ascii="Arial" w:cs="Arial" w:eastAsia="Arial" w:hAnsi="Arial"/>
          <w:sz w:val="16"/>
          <w:szCs w:val="16"/>
          <w:color w:val="auto"/>
        </w:rPr>
        <w:t xml:space="preserve">Restricted Subsidiary designated as an Unrestricted Subsidiary after the Closing Date in accordance with, and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Excluded Subsidiary shall cease to be an Excluded Subsidiary at the time such Subsidiary becomes a Restricted Subsidiary, (iv) any Restricted Subsidiary that is prohibited by applicable law or regulation (including financial assistance, fraudulent conveyance, preference, thin capitalization or other similar laws and regulations) or contractual provision (including any requirement to obtain the consent, license, authorization, or approval of any Governmental Authority or other third party that has not been obtained; provided that the Borrower will use commercially reasonable efforts to obtain such consent) existing on the Closing Date (or, if later, on the date such Person became a Subsidiary and not entered into in contemplation thereof) from Guaranteeing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Excluded Subsidiary shall cease to be an Excluded Subsidiary at the time any such prohibition ceases to exist or apply, (v) any Subsidiary that is (a) a Foreign Subsidiary, (b) a CFC Holdco or (c) a Subsidiary of a CFC or a CFC Holdco, (vi) any Subsidiary to the extent that the burden or cost of obtaining a guarantee is excessive in relation to the benefit (or potential benefit, taking into account the likelihood of any meaningful recovery under such guarantee) afforded thereby as reasonably determined by the Borrower and the Administrative Agent and (vii) any Subsidiary for which the provision of a Guarantee would result in material adverse accounting, Tax or regulatory consequences as reasonably determined in good faith by the Borrower in consultation with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clauses (i) through (vii), the Borrower may in its sole discretion designate any Excluded Subsidiary as a Subsidiary Guarantor.</w:t>
      </w:r>
    </w:p>
    <w:p>
      <w:pPr>
        <w:spacing w:after="0" w:line="189" w:lineRule="exact"/>
        <w:rPr>
          <w:sz w:val="20"/>
          <w:szCs w:val="20"/>
          <w:color w:val="auto"/>
        </w:rPr>
      </w:pPr>
    </w:p>
    <w:p>
      <w:pPr>
        <w:jc w:val="both"/>
        <w:ind w:left="960" w:right="2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shall mean, with respect to any Guarantor at any time, any obligation (a “</w:t>
      </w:r>
      <w:r>
        <w:rPr>
          <w:rFonts w:ascii="Arial" w:cs="Arial" w:eastAsia="Arial" w:hAnsi="Arial"/>
          <w:sz w:val="17"/>
          <w:szCs w:val="17"/>
          <w:u w:val="single" w:color="auto"/>
          <w:color w:val="auto"/>
        </w:rPr>
        <w:t>Swap Obligation</w:t>
      </w:r>
      <w:r>
        <w:rPr>
          <w:rFonts w:ascii="Arial" w:cs="Arial" w:eastAsia="Arial" w:hAnsi="Arial"/>
          <w:sz w:val="17"/>
          <w:szCs w:val="17"/>
          <w:color w:val="auto"/>
        </w:rPr>
        <w:t>”) to pay or perform under any agreement, contract or transaction that constitutes a “swap” within the meaning of Section 1a(47) of the CEA, if, and to the extent that, all or a portion of the guarantee of such Guarantor of, or the grant by such Guarantor of a security interest to secure, such Swap Obligation (or any guarantee thereof) is illegal at such time under the CEA or any rule, regulation or order of the Commodity Futures Trading Commission (or the application or official interpretation of any thereof) by virtue of such Guarantor’s failure for any reason to constitute an “eligible contract participant” as defined in the CEA.</w:t>
      </w:r>
    </w:p>
    <w:p>
      <w:pPr>
        <w:spacing w:after="0" w:line="183" w:lineRule="exact"/>
        <w:rPr>
          <w:sz w:val="20"/>
          <w:szCs w:val="20"/>
          <w:color w:val="auto"/>
        </w:rPr>
      </w:pPr>
    </w:p>
    <w:p>
      <w:pPr>
        <w:jc w:val="both"/>
        <w:ind w:left="960" w:firstLine="602"/>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shall mean, with respect to the Administrative Agent, any Lender, any Issuing Lender, or any other recipient of any payment to be made by or on behalf of the Borrower or any Guarantor hereunder or under any other Loan Document, (i) any Tax imposed on or measured by its net income (however denominated), and any franchise taxes imposed on it and any branch profits Taxes, in each case, imposed (a) as a result of such recipient being organized under the laws of, or having its principal office or applicable lending office in the jurisdiction imposing such Tax, or any political subdivision thereof or therein, or</w:t>
      </w:r>
    </w:p>
    <w:p>
      <w:pPr>
        <w:spacing w:after="0" w:line="3" w:lineRule="exact"/>
        <w:rPr>
          <w:sz w:val="20"/>
          <w:szCs w:val="20"/>
          <w:color w:val="auto"/>
        </w:rPr>
      </w:pPr>
    </w:p>
    <w:p>
      <w:pPr>
        <w:jc w:val="both"/>
        <w:ind w:left="960" w:firstLine="2"/>
        <w:spacing w:after="0" w:line="266" w:lineRule="auto"/>
        <w:tabs>
          <w:tab w:leader="none" w:pos="1244"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as a result of any other present or former connection between such recipient and the jurisdiction imposing such Tax or any political subdivision thereof or therein (other than any connection arising from such recipient having executed, delivered, become a party to, performed its obligations under, received payments under, received or perfected a security interest under, engaged in any other transaction pursuant to, or enforced, any Loan Documents), (ii) any Tax imposed under FATCA, (iii) any withholding Tax that is attributable to the Administrative Agent’s, a Lender’s or an Issuing Lender’s failure to comply with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(iv) any U.S. federal withholding Tax that is imposed on amounts payable to a Lender (other than any Lender becoming a party hereto pursuant to the Borrower’s request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pursuant to a law in effect at the time such Lender becomes a party hereto (or designates a new lending office), except to the extent such Lender or, in the case of an assignment following a Change in Tax Law, its assignor, was entitled, immediately prior to the time of such assignment (or designation of a new lending office), to receive additional amounts from the Borrower or Guarantor with respect to such withholding Tax pursuant to </w:t>
      </w:r>
      <w:r>
        <w:rPr>
          <w:rFonts w:ascii="Arial" w:cs="Arial" w:eastAsia="Arial" w:hAnsi="Arial"/>
          <w:sz w:val="16"/>
          <w:szCs w:val="16"/>
          <w:u w:val="single" w:color="auto"/>
          <w:color w:val="auto"/>
        </w:rPr>
        <w:t>Section 5.5(a)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337820</wp:posOffset>
            </wp:positionV>
            <wp:extent cx="326390" cy="182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360" w:top="1326" w:right="819" w:bottom="1440" w:gutter="0" w:footer="0" w:header="0"/>
        </w:sectPr>
      </w:pPr>
    </w:p>
    <w:bookmarkStart w:id="115" w:name="page116"/>
    <w:bookmarkEnd w:id="115"/>
    <w:p>
      <w:pPr>
        <w:jc w:val="both"/>
        <w:ind w:left="960" w:right="38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shall mean the Amended First Lien Credit and Guaranty Agreement, dated as of November 23, 2018, among the Borrower, the Subsidiary Guarantors party thereto, the lenders party thereto and JPMorgan Chase Bank, N.A., as administrative agent.</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or “</w:t>
      </w:r>
      <w:r>
        <w:rPr>
          <w:rFonts w:ascii="Arial" w:cs="Arial" w:eastAsia="Arial" w:hAnsi="Arial"/>
          <w:sz w:val="18"/>
          <w:szCs w:val="18"/>
          <w:u w:val="single" w:color="auto"/>
          <w:color w:val="auto"/>
        </w:rPr>
        <w:t>Facilities</w:t>
      </w:r>
      <w:r>
        <w:rPr>
          <w:rFonts w:ascii="Arial" w:cs="Arial" w:eastAsia="Arial" w:hAnsi="Arial"/>
          <w:sz w:val="18"/>
          <w:szCs w:val="18"/>
          <w:color w:val="auto"/>
        </w:rPr>
        <w:t>” shall mean (a) any Term Facility and (b) any Revolving Facility, as the context may require.</w:t>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Facing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95" w:lineRule="exact"/>
        <w:rPr>
          <w:sz w:val="20"/>
          <w:szCs w:val="20"/>
          <w:color w:val="auto"/>
        </w:rPr>
      </w:pPr>
    </w:p>
    <w:p>
      <w:pPr>
        <w:jc w:val="both"/>
        <w:ind w:left="960" w:right="4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with respect to any asset or liability, the fair market value of such asset or liability as determined by the Borrower in good faith.</w:t>
      </w:r>
    </w:p>
    <w:p>
      <w:pPr>
        <w:spacing w:after="0" w:line="186" w:lineRule="exact"/>
        <w:rPr>
          <w:sz w:val="20"/>
          <w:szCs w:val="20"/>
          <w:color w:val="auto"/>
        </w:rPr>
      </w:pPr>
    </w:p>
    <w:p>
      <w:pPr>
        <w:jc w:val="both"/>
        <w:ind w:left="960" w:right="4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w:t>
      </w:r>
      <w:r>
        <w:rPr>
          <w:rFonts w:ascii="Arial" w:cs="Arial" w:eastAsia="Arial" w:hAnsi="Arial"/>
          <w:sz w:val="18"/>
          <w:szCs w:val="18"/>
          <w:color w:val="auto"/>
        </w:rPr>
        <w:t>” shall mean the Financial Accounting Standards Board of the American Institute of Certified Public Accountants or any successor thereto.</w:t>
      </w:r>
    </w:p>
    <w:p>
      <w:pPr>
        <w:spacing w:after="0" w:line="186" w:lineRule="exact"/>
        <w:rPr>
          <w:sz w:val="20"/>
          <w:szCs w:val="20"/>
          <w:color w:val="auto"/>
        </w:rPr>
      </w:pPr>
    </w:p>
    <w:p>
      <w:pPr>
        <w:jc w:val="both"/>
        <w:ind w:left="960" w:right="40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substantially comparable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amended, or successor version imposes criteria that are not materially more onerous than those contained in such Sections as enacted on the date of this Agreement), and any current or future regulations or official interpretations thereof, any agreements entered into pursuant to current Section 1471(b)(1) of the Code (or any amended or successor version described above) and any U.S. or non-U.S. fiscal or regulatory legislation, rules or practices adopted pursuant to any intergovernmental agreement, treaty or convention among Governmental Authorities entered into in connection with the implementation of the foregoing.</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shall mean the U.K. Financial Conduct Authority.</w:t>
      </w:r>
    </w:p>
    <w:p>
      <w:pPr>
        <w:spacing w:after="0" w:line="295" w:lineRule="exact"/>
        <w:rPr>
          <w:sz w:val="20"/>
          <w:szCs w:val="20"/>
          <w:color w:val="auto"/>
        </w:rPr>
      </w:pPr>
    </w:p>
    <w:p>
      <w:pPr>
        <w:jc w:val="both"/>
        <w:ind w:left="960" w:right="400" w:firstLine="60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shall mean, for any day, the rate per annum equal to the weighted average of the rates on overnight Federal funds transactions with members of the Federal Reserve System, as published for such day by the Federal Reserve Bank of New York on the Business Day next succeeding;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 and</w:t>
      </w:r>
    </w:p>
    <w:p>
      <w:pPr>
        <w:spacing w:after="0" w:line="1" w:lineRule="exact"/>
        <w:rPr>
          <w:sz w:val="20"/>
          <w:szCs w:val="20"/>
          <w:color w:val="auto"/>
        </w:rPr>
      </w:pPr>
    </w:p>
    <w:p>
      <w:pPr>
        <w:jc w:val="both"/>
        <w:ind w:left="960" w:right="400" w:firstLine="3"/>
        <w:spacing w:after="0" w:line="237" w:lineRule="auto"/>
        <w:tabs>
          <w:tab w:leader="none" w:pos="17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no such rate is so published on such next succeeding Business Day, the Federal Funds Rate for such day shall be the average rate (rounded upward, if necessary, to a whole multiple of 1/100 of 1.00%) charged to JPMorgan Chase Bank, N.A. on such day on such transactions as determined by the Administrative Agent;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rate shall not be less than zero for purposes of this Agreement.</w:t>
      </w:r>
    </w:p>
    <w:p>
      <w:pPr>
        <w:spacing w:after="0" w:line="270"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shall mean that certain Administrative Agent Fee Letter, dated as of June 8, 2021, between the Administrative Agent and the Borrower.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95" w:lineRule="exact"/>
        <w:rPr>
          <w:sz w:val="20"/>
          <w:szCs w:val="20"/>
          <w:color w:val="auto"/>
        </w:rPr>
      </w:pPr>
    </w:p>
    <w:p>
      <w:pPr>
        <w:ind w:left="960" w:right="68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Document</w:t>
      </w:r>
      <w:r>
        <w:rPr>
          <w:rFonts w:ascii="Arial" w:cs="Arial" w:eastAsia="Arial" w:hAnsi="Arial"/>
          <w:sz w:val="18"/>
          <w:szCs w:val="18"/>
          <w:color w:val="auto"/>
        </w:rPr>
        <w:t>” shall mean any Loan Documents, the Fee Letter and any other document designated as such by the Administrative Agent and the Borrower.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shall mean the financial covenant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95" w:lineRule="exact"/>
        <w:rPr>
          <w:sz w:val="20"/>
          <w:szCs w:val="20"/>
          <w:color w:val="auto"/>
        </w:rPr>
      </w:pPr>
    </w:p>
    <w:p>
      <w:pPr>
        <w:ind w:left="960" w:right="2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 Certificate</w:t>
      </w:r>
      <w:r>
        <w:rPr>
          <w:rFonts w:ascii="Arial" w:cs="Arial" w:eastAsia="Arial" w:hAnsi="Arial"/>
          <w:sz w:val="18"/>
          <w:szCs w:val="18"/>
          <w:color w:val="auto"/>
        </w:rPr>
        <w:t xml:space="preserve">” shall mean a certificate duly executed by an Authorized Officer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60" w:top="1326" w:right="439" w:bottom="1440" w:gutter="0" w:footer="0" w:header="0"/>
        </w:sectPr>
      </w:pPr>
    </w:p>
    <w:bookmarkStart w:id="116" w:name="page117"/>
    <w:bookmarkEnd w:id="116"/>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 shall have the meaning set forth in the definition of “Total Net First Lien Leverage Ratio”.</w:t>
      </w:r>
    </w:p>
    <w:p>
      <w:pPr>
        <w:spacing w:after="0" w:line="232"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Priority Credit Agreement Refinancing Debt</w:t>
      </w:r>
      <w:r>
        <w:rPr>
          <w:rFonts w:ascii="Arial" w:cs="Arial" w:eastAsia="Arial" w:hAnsi="Arial"/>
          <w:sz w:val="16"/>
          <w:szCs w:val="16"/>
          <w:color w:val="auto"/>
        </w:rPr>
        <w:t>” shall mean any secured Indebtedness incurred by the Borrower in the form of one or more series of senior secured notes or senior secured term loans (each, a “</w:t>
      </w:r>
      <w:r>
        <w:rPr>
          <w:rFonts w:ascii="Arial" w:cs="Arial" w:eastAsia="Arial" w:hAnsi="Arial"/>
          <w:sz w:val="16"/>
          <w:szCs w:val="16"/>
          <w:u w:val="single" w:color="auto"/>
          <w:color w:val="auto"/>
        </w:rPr>
        <w:t>First Priority Refinancing Term Debt</w:t>
      </w:r>
      <w:r>
        <w:rPr>
          <w:rFonts w:ascii="Arial" w:cs="Arial" w:eastAsia="Arial" w:hAnsi="Arial"/>
          <w:sz w:val="16"/>
          <w:szCs w:val="16"/>
          <w:color w:val="auto"/>
        </w:rPr>
        <w:t>”) or one or more senior secured revolving credit facilities (each, a “</w:t>
      </w:r>
      <w:r>
        <w:rPr>
          <w:rFonts w:ascii="Arial" w:cs="Arial" w:eastAsia="Arial" w:hAnsi="Arial"/>
          <w:sz w:val="16"/>
          <w:szCs w:val="16"/>
          <w:u w:val="single" w:color="auto"/>
          <w:color w:val="auto"/>
        </w:rPr>
        <w:t>First Priority Refinancing Revolving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(but without regard to the control of remedies) with the Obligations,</w:t>
      </w:r>
    </w:p>
    <w:p>
      <w:pPr>
        <w:spacing w:after="0" w:line="3" w:lineRule="exact"/>
        <w:rPr>
          <w:sz w:val="20"/>
          <w:szCs w:val="20"/>
          <w:color w:val="auto"/>
        </w:rPr>
      </w:pPr>
    </w:p>
    <w:p>
      <w:pPr>
        <w:ind w:left="960" w:firstLine="2"/>
        <w:spacing w:after="0" w:line="245" w:lineRule="auto"/>
        <w:tabs>
          <w:tab w:leader="none" w:pos="12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Indebtedness constitutes Credit Agreement Refinancing Debt and (iii) such Indebtedness complies with the Credit Agreement Refinancing Requirements.</w:t>
      </w:r>
    </w:p>
    <w:p>
      <w:pPr>
        <w:spacing w:after="0" w:line="188"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 Refinancing Revolving Debt</w:t>
      </w:r>
      <w:r>
        <w:rPr>
          <w:rFonts w:ascii="Arial" w:cs="Arial" w:eastAsia="Arial" w:hAnsi="Arial"/>
          <w:sz w:val="18"/>
          <w:szCs w:val="18"/>
          <w:color w:val="auto"/>
        </w:rPr>
        <w:t>” shall have the meaning set forth in the definition of “First Priority Credit Agreement Refinancing Debt.”</w:t>
      </w:r>
    </w:p>
    <w:p>
      <w:pPr>
        <w:spacing w:after="0" w:line="186"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 Refinancing Term Debt</w:t>
      </w:r>
      <w:r>
        <w:rPr>
          <w:rFonts w:ascii="Arial" w:cs="Arial" w:eastAsia="Arial" w:hAnsi="Arial"/>
          <w:sz w:val="18"/>
          <w:szCs w:val="18"/>
          <w:color w:val="auto"/>
        </w:rPr>
        <w:t>” shall have the meaning set forth in the definition of “First Priority Credit Agreement Refinancing Debt.”</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Rate</w:t>
      </w:r>
      <w:r>
        <w:rPr>
          <w:rFonts w:ascii="Arial" w:cs="Arial" w:eastAsia="Arial" w:hAnsi="Arial"/>
          <w:sz w:val="17"/>
          <w:szCs w:val="17"/>
          <w:color w:val="auto"/>
        </w:rPr>
        <w:t>” shall mean and include each of the LIBOR Rate and each Alternate Currency Rate (other than the SONIA</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Rate).</w:t>
      </w:r>
    </w:p>
    <w:p>
      <w:pPr>
        <w:spacing w:after="0" w:line="20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Rate Loan</w:t>
      </w:r>
      <w:r>
        <w:rPr>
          <w:rFonts w:ascii="Arial" w:cs="Arial" w:eastAsia="Arial" w:hAnsi="Arial"/>
          <w:sz w:val="17"/>
          <w:szCs w:val="17"/>
          <w:color w:val="auto"/>
        </w:rPr>
        <w:t>” shall mean each LIBOR Loan and each Alternate Currency Loan (other than each SONIA Rate Loan).</w:t>
      </w:r>
    </w:p>
    <w:p>
      <w:pPr>
        <w:spacing w:after="0" w:line="24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shall mean any Restricted Subsidiary of the Borrower that is not a Domestic Subsidiary.</w:t>
      </w:r>
    </w:p>
    <w:p>
      <w:pPr>
        <w:spacing w:after="0" w:line="219"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xml:space="preserve">” shall mean shall mean, at any time there is a Defaulting Lender, with respect to each Issuing Lender, such 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outstanding Obligations with respect to Letters of Credit issued by such Issuing Lender other than such Obligations as to which such Defaulting Lender’s participation obligation has been reallocated to other Lenders or Cash Collateralized in accordance with the terms hereof.</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Obligations</w:t>
      </w:r>
      <w:r>
        <w:rPr>
          <w:rFonts w:ascii="Arial" w:cs="Arial" w:eastAsia="Arial" w:hAnsi="Arial"/>
          <w:sz w:val="18"/>
          <w:szCs w:val="18"/>
          <w:color w:val="auto"/>
        </w:rPr>
        <w:t>” shall have the meaning set forth in the definition of “Lender Default.”</w:t>
      </w:r>
    </w:p>
    <w:p>
      <w:pPr>
        <w:spacing w:after="0" w:line="295" w:lineRule="exact"/>
        <w:rPr>
          <w:sz w:val="20"/>
          <w:szCs w:val="20"/>
          <w:color w:val="auto"/>
        </w:rPr>
      </w:pPr>
    </w:p>
    <w:p>
      <w:pPr>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shall mean generally accepted accounting principles in the United States of America that are in effect from time to time (but subject </w:t>
      </w:r>
      <w:r>
        <w:rPr>
          <w:rFonts w:ascii="Arial" w:cs="Arial" w:eastAsia="Arial" w:hAnsi="Arial"/>
          <w:sz w:val="18"/>
          <w:szCs w:val="18"/>
          <w:u w:val="single" w:color="auto"/>
          <w:color w:val="auto"/>
        </w:rPr>
        <w:t>to Section 1.5(a)</w:t>
      </w:r>
      <w:r>
        <w:rPr>
          <w:rFonts w:ascii="Arial" w:cs="Arial" w:eastAsia="Arial" w:hAnsi="Arial"/>
          <w:sz w:val="18"/>
          <w:szCs w:val="18"/>
          <w:color w:val="auto"/>
        </w:rPr>
        <w:t>).</w:t>
      </w:r>
    </w:p>
    <w:p>
      <w:pPr>
        <w:spacing w:after="0" w:line="24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Intercompany Note</w:t>
      </w:r>
      <w:r>
        <w:rPr>
          <w:rFonts w:ascii="Arial" w:cs="Arial" w:eastAsia="Arial" w:hAnsi="Arial"/>
          <w:sz w:val="18"/>
          <w:szCs w:val="18"/>
          <w:color w:val="auto"/>
        </w:rPr>
        <w:t xml:space="preserve">” shall mean a note substantially in the form of </w:t>
      </w:r>
      <w:r>
        <w:rPr>
          <w:rFonts w:ascii="Arial" w:cs="Arial" w:eastAsia="Arial" w:hAnsi="Arial"/>
          <w:sz w:val="18"/>
          <w:szCs w:val="18"/>
          <w:u w:val="single" w:color="auto"/>
          <w:color w:val="auto"/>
        </w:rPr>
        <w:t>Exhibit C-3</w:t>
      </w:r>
      <w:r>
        <w:rPr>
          <w:rFonts w:ascii="Arial" w:cs="Arial" w:eastAsia="Arial" w:hAnsi="Arial"/>
          <w:sz w:val="18"/>
          <w:szCs w:val="18"/>
          <w:color w:val="auto"/>
        </w:rPr>
        <w:t xml:space="preserve"> attached</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hereto.</w:t>
      </w:r>
    </w:p>
    <w:p>
      <w:pPr>
        <w:spacing w:after="0" w:line="291" w:lineRule="exact"/>
        <w:rPr>
          <w:sz w:val="20"/>
          <w:szCs w:val="20"/>
          <w:color w:val="auto"/>
        </w:rPr>
      </w:pPr>
    </w:p>
    <w:p>
      <w:pPr>
        <w:jc w:val="both"/>
        <w:ind w:left="960" w:firstLine="602"/>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Approval</w:t>
      </w:r>
      <w:r>
        <w:rPr>
          <w:rFonts w:ascii="Arial" w:cs="Arial" w:eastAsia="Arial" w:hAnsi="Arial"/>
          <w:sz w:val="17"/>
          <w:szCs w:val="17"/>
          <w:color w:val="auto"/>
        </w:rPr>
        <w:t>” shall mean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left="96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the government of the United States, any other nation or any political subdivision thereof, whether state, provincial, county,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336550</wp:posOffset>
            </wp:positionV>
            <wp:extent cx="326390" cy="182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00"/>
          </w:cols>
          <w:pgMar w:left="360" w:top="1326" w:right="839" w:bottom="1440" w:gutter="0" w:footer="0" w:header="0"/>
        </w:sectPr>
      </w:pPr>
    </w:p>
    <w:bookmarkStart w:id="117" w:name="page118"/>
    <w:bookmarkEnd w:id="117"/>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The term “</w:t>
      </w:r>
      <w:r>
        <w:rPr>
          <w:rFonts w:ascii="Arial" w:cs="Arial" w:eastAsia="Arial" w:hAnsi="Arial"/>
          <w:sz w:val="17"/>
          <w:szCs w:val="17"/>
          <w:u w:val="single" w:color="auto"/>
          <w:color w:val="auto"/>
        </w:rPr>
        <w:t>Guaranteeing</w:t>
      </w:r>
      <w:r>
        <w:rPr>
          <w:rFonts w:ascii="Arial" w:cs="Arial" w:eastAsia="Arial" w:hAnsi="Arial"/>
          <w:sz w:val="17"/>
          <w:szCs w:val="17"/>
          <w:color w:val="auto"/>
        </w:rPr>
        <w:t>” shall have a correlative meaning.</w:t>
      </w:r>
    </w:p>
    <w:p>
      <w:pPr>
        <w:spacing w:after="0" w:line="243" w:lineRule="exact"/>
        <w:rPr>
          <w:sz w:val="20"/>
          <w:szCs w:val="20"/>
          <w:color w:val="auto"/>
        </w:rPr>
      </w:pPr>
    </w:p>
    <w:p>
      <w:pPr>
        <w:jc w:val="both"/>
        <w:ind w:left="960" w:right="100" w:firstLine="602"/>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shall mean,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1" w:lineRule="exact"/>
        <w:rPr>
          <w:sz w:val="20"/>
          <w:szCs w:val="20"/>
          <w:color w:val="auto"/>
        </w:rPr>
      </w:pPr>
    </w:p>
    <w:p>
      <w:pPr>
        <w:jc w:val="both"/>
        <w:ind w:left="960" w:right="100" w:firstLine="2"/>
        <w:spacing w:after="0" w:line="248" w:lineRule="auto"/>
        <w:tabs>
          <w:tab w:leader="none" w:pos="1192"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 shall not include endorsements of instruments for deposit or collection in the ordinary course of business. The amount of any Guarantee Obligation of any guaranteeing person shall be deemed to be the lower of (x) an amount equal to the stated or determinable amount of the primary obligation in respect of which such Guarantee Obligation is made and (y)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95"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collectively, the Subsidiary Guarantors and, in the case of Guaranteed Obligations incurred by Loan Parties other than the Borrower, the Borrower.</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Adjustable Applicable Margins</w:t>
      </w:r>
      <w:r>
        <w:rPr>
          <w:rFonts w:ascii="Arial" w:cs="Arial" w:eastAsia="Arial" w:hAnsi="Arial"/>
          <w:sz w:val="18"/>
          <w:szCs w:val="18"/>
          <w:color w:val="auto"/>
        </w:rPr>
        <w:t>” shall have the meaning set forth in the definition of “Applicable Margin.”</w:t>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IASB</w:t>
      </w:r>
      <w:r>
        <w:rPr>
          <w:rFonts w:ascii="Arial" w:cs="Arial" w:eastAsia="Arial" w:hAnsi="Arial"/>
          <w:sz w:val="18"/>
          <w:szCs w:val="18"/>
          <w:color w:val="auto"/>
        </w:rPr>
        <w:t>” shall mean the International Accounting Standards Board or any successor thereto.</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 Election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307" w:lineRule="exact"/>
        <w:rPr>
          <w:sz w:val="20"/>
          <w:szCs w:val="20"/>
          <w:color w:val="auto"/>
        </w:rPr>
      </w:pPr>
    </w:p>
    <w:p>
      <w:pPr>
        <w:jc w:val="both"/>
        <w:ind w:left="960" w:right="10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shall mean each Restricted Subsidiary which, as of the most recent fiscal quarter of the Borrower, for the Test Period then ended, (i) contributed less than 5.00% of the third-party gross revenues of the Borrower and its Restricted Subsidiaries (but excluding Excluded Subsidiaries) for such Test Period and (ii) had assets with a net book value of less than 5.00% of the Total Assets (but excluding Excluded Subsidiaries) as of the end of such fiscal quarter, in each case in clauses (i) and (ii), calculated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 aggregate amount of third-party gross revenues or Total Assets attributable to all Restricted Subsidiaries that are Immaterial Subsidiaries exceeds 10.00% of third-party gross revenues of the Borrower and its Restricted Subsidiaries (but excluding Excluded Subsidiaries) for any such Test Period or 10.00% of Total Assets (but excluding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349885</wp:posOffset>
            </wp:positionV>
            <wp:extent cx="326390" cy="182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20"/>
          </w:cols>
          <w:pgMar w:left="360" w:top="1326" w:right="719" w:bottom="1440" w:gutter="0" w:footer="0" w:header="0"/>
        </w:sectPr>
      </w:pPr>
    </w:p>
    <w:bookmarkStart w:id="118" w:name="page119"/>
    <w:bookmarkEnd w:id="118"/>
    <w:p>
      <w:pPr>
        <w:ind w:left="960"/>
        <w:spacing w:after="0"/>
        <w:rPr>
          <w:sz w:val="20"/>
          <w:szCs w:val="20"/>
          <w:color w:val="auto"/>
        </w:rPr>
      </w:pPr>
      <w:r>
        <w:rPr>
          <w:rFonts w:ascii="Arial" w:cs="Arial" w:eastAsia="Arial" w:hAnsi="Arial"/>
          <w:sz w:val="17"/>
          <w:szCs w:val="17"/>
          <w:color w:val="auto"/>
        </w:rPr>
        <w:t>Subsidiaries) as of the end of any such fiscal quarter, the Borrower (or, in the event the Borrower has failed to do so within twenty</w:t>
      </w:r>
    </w:p>
    <w:p>
      <w:pPr>
        <w:spacing w:after="0" w:line="21" w:lineRule="exact"/>
        <w:rPr>
          <w:sz w:val="20"/>
          <w:szCs w:val="20"/>
          <w:color w:val="auto"/>
        </w:rPr>
      </w:pPr>
    </w:p>
    <w:p>
      <w:pPr>
        <w:jc w:val="both"/>
        <w:ind w:left="960" w:right="60" w:firstLine="2"/>
        <w:spacing w:after="0" w:line="239" w:lineRule="auto"/>
        <w:tabs>
          <w:tab w:leader="none" w:pos="13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Business Days, the Administrative Agent) shall designate sufficient Restricted Subsidiaries (but excluding Excluded Subsidiaries) as Material Subsidiaries to eliminate such excess, and such Restricted Subsidiaries so designated shall no longer constitute Immaterial Subsidiaries under this Agreement.</w:t>
      </w:r>
    </w:p>
    <w:p>
      <w:pPr>
        <w:spacing w:after="0" w:line="206" w:lineRule="exact"/>
        <w:rPr>
          <w:sz w:val="20"/>
          <w:szCs w:val="20"/>
          <w:color w:val="auto"/>
        </w:rPr>
      </w:pPr>
    </w:p>
    <w:p>
      <w:pPr>
        <w:jc w:val="both"/>
        <w:ind w:left="960" w:right="4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shall mean with respect to any individual, such individual’s child, grandchild, parent, grandparent, spouse, former spouse, qualified domestic partner, sibling, mother-in-law, father-in-law, son-in-law and daughter-in-law (including formally adopted relationships) and successors, executors, administrators, heirs, legatees or distributees of any of the foregoing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shall have the meaning set forth in the definition of “EURIBOR Rate”.</w:t>
      </w:r>
    </w:p>
    <w:p>
      <w:pPr>
        <w:spacing w:after="0" w:line="2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2.15(c)</w:t>
      </w:r>
      <w:r>
        <w:rPr>
          <w:rFonts w:ascii="Arial" w:cs="Arial" w:eastAsia="Arial" w:hAnsi="Arial"/>
          <w:sz w:val="18"/>
          <w:szCs w:val="18"/>
          <w:color w:val="auto"/>
        </w:rPr>
        <w:t>.</w:t>
      </w:r>
    </w:p>
    <w:p>
      <w:pPr>
        <w:spacing w:after="0" w:line="295" w:lineRule="exact"/>
        <w:rPr>
          <w:sz w:val="20"/>
          <w:szCs w:val="20"/>
          <w:color w:val="auto"/>
        </w:rPr>
      </w:pPr>
    </w:p>
    <w:p>
      <w:pPr>
        <w:ind w:left="960" w:right="2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shall mean (i) each Incremental Term Loan Commitment and Incremental Term Loan and (ii) each Incremental Revolving Loan and Incremental Revolving Loan Commitment.</w:t>
      </w:r>
    </w:p>
    <w:p>
      <w:pPr>
        <w:spacing w:after="0" w:line="186"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Lenders</w:t>
      </w:r>
      <w:r>
        <w:rPr>
          <w:rFonts w:ascii="Arial" w:cs="Arial" w:eastAsia="Arial" w:hAnsi="Arial"/>
          <w:sz w:val="18"/>
          <w:szCs w:val="18"/>
          <w:color w:val="auto"/>
        </w:rPr>
        <w:t>” shall mean one or more Incremental Revolving Lenders or one or more Incremental Term Lenders, as applicable.</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shall mean Incremental Revolving Loans and Incremental Term Loans.</w:t>
      </w:r>
    </w:p>
    <w:p>
      <w:pPr>
        <w:spacing w:after="0" w:line="29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 Commitments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95" w:lineRule="exact"/>
        <w:rPr>
          <w:sz w:val="20"/>
          <w:szCs w:val="20"/>
          <w:color w:val="auto"/>
        </w:rPr>
      </w:pPr>
    </w:p>
    <w:p>
      <w:pPr>
        <w:jc w:val="both"/>
        <w:ind w:left="960" w:right="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 Maturity Date</w:t>
      </w:r>
      <w:r>
        <w:rPr>
          <w:rFonts w:ascii="Arial" w:cs="Arial" w:eastAsia="Arial" w:hAnsi="Arial"/>
          <w:sz w:val="18"/>
          <w:szCs w:val="18"/>
          <w:color w:val="auto"/>
        </w:rPr>
        <w:t>” shall mean the date on which an Incremental Revolving Loan matures or related Incremental Revolving Loan Commitment expires as set forth in the Incremental Amendment relating to such Incremental Revolving Loan Commitment.</w:t>
      </w:r>
    </w:p>
    <w:p>
      <w:pPr>
        <w:spacing w:after="0" w:line="19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9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95" w:lineRule="exact"/>
        <w:rPr>
          <w:sz w:val="20"/>
          <w:szCs w:val="20"/>
          <w:color w:val="auto"/>
        </w:rPr>
      </w:pPr>
    </w:p>
    <w:p>
      <w:pPr>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as the same may be terminated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61" w:lineRule="exact"/>
        <w:rPr>
          <w:sz w:val="20"/>
          <w:szCs w:val="20"/>
          <w:color w:val="auto"/>
        </w:rPr>
      </w:pPr>
    </w:p>
    <w:p>
      <w:pPr>
        <w:ind w:left="960" w:right="10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Maturity Date</w:t>
      </w:r>
      <w:r>
        <w:rPr>
          <w:rFonts w:ascii="Arial" w:cs="Arial" w:eastAsia="Arial" w:hAnsi="Arial"/>
          <w:sz w:val="18"/>
          <w:szCs w:val="18"/>
          <w:color w:val="auto"/>
        </w:rPr>
        <w:t>” shall mean the date on which an Incremental Term Loan matures as set forth in the Incremental Amendment relating to such Incremental Term Loan.</w:t>
      </w:r>
    </w:p>
    <w:p>
      <w:pPr>
        <w:spacing w:after="0" w:line="17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w:t>
      </w:r>
      <w:r>
        <w:rPr>
          <w:rFonts w:ascii="Arial" w:cs="Arial" w:eastAsia="Arial" w:hAnsi="Arial"/>
          <w:sz w:val="18"/>
          <w:szCs w:val="18"/>
          <w:color w:val="auto"/>
        </w:rPr>
        <w:t>” or “</w:t>
      </w:r>
      <w:r>
        <w:rPr>
          <w:rFonts w:ascii="Arial" w:cs="Arial" w:eastAsia="Arial" w:hAnsi="Arial"/>
          <w:sz w:val="18"/>
          <w:szCs w:val="18"/>
          <w:u w:val="single" w:color="auto"/>
          <w:color w:val="auto"/>
        </w:rPr>
        <w:t>Incurrence</w:t>
      </w:r>
      <w:r>
        <w:rPr>
          <w:rFonts w:ascii="Arial" w:cs="Arial" w:eastAsia="Arial" w:hAnsi="Arial"/>
          <w:sz w:val="18"/>
          <w:szCs w:val="18"/>
          <w:color w:val="auto"/>
        </w:rPr>
        <w:t xml:space="preserve">” shall have the meanings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60"/>
          </w:cols>
          <w:pgMar w:left="360" w:top="1326" w:right="77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with respect to any Person at any date, without duplication:</w:t>
      </w:r>
    </w:p>
    <w:p>
      <w:pPr>
        <w:spacing w:after="0" w:line="295" w:lineRule="exact"/>
        <w:rPr>
          <w:sz w:val="20"/>
          <w:szCs w:val="20"/>
          <w:color w:val="auto"/>
        </w:rPr>
      </w:pPr>
    </w:p>
    <w:p>
      <w:pPr>
        <w:ind w:left="2960" w:hanging="794"/>
        <w:spacing w:after="0"/>
        <w:tabs>
          <w:tab w:leader="none" w:pos="2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indebtedness (including principal and premium) of such Person, whether or not contingent:</w:t>
      </w:r>
    </w:p>
    <w:p>
      <w:pPr>
        <w:spacing w:after="0" w:line="231" w:lineRule="exact"/>
        <w:rPr>
          <w:rFonts w:ascii="Arial" w:cs="Arial" w:eastAsia="Arial" w:hAnsi="Arial"/>
          <w:sz w:val="18"/>
          <w:szCs w:val="18"/>
          <w:color w:val="auto"/>
        </w:rPr>
      </w:pPr>
    </w:p>
    <w:p>
      <w:pPr>
        <w:ind w:left="3360" w:hanging="592"/>
        <w:spacing w:after="0"/>
        <w:tabs>
          <w:tab w:leader="none" w:pos="33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19" w:lineRule="exact"/>
        <w:rPr>
          <w:rFonts w:ascii="Arial" w:cs="Arial" w:eastAsia="Arial" w:hAnsi="Arial"/>
          <w:sz w:val="18"/>
          <w:szCs w:val="18"/>
          <w:color w:val="auto"/>
        </w:rPr>
      </w:pPr>
    </w:p>
    <w:p>
      <w:pPr>
        <w:ind w:left="2160" w:right="440" w:firstLine="609"/>
        <w:spacing w:after="0" w:line="263" w:lineRule="auto"/>
        <w:tabs>
          <w:tab w:leader="none" w:pos="35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bankers’ acceptances (or, without duplication, reimbursement agreements in respect thereof);</w:t>
      </w:r>
    </w:p>
    <w:p>
      <w:pPr>
        <w:spacing w:after="0" w:line="185" w:lineRule="exact"/>
        <w:rPr>
          <w:rFonts w:ascii="Arial" w:cs="Arial" w:eastAsia="Arial" w:hAnsi="Arial"/>
          <w:sz w:val="18"/>
          <w:szCs w:val="18"/>
          <w:color w:val="auto"/>
        </w:rPr>
      </w:pPr>
    </w:p>
    <w:p>
      <w:pPr>
        <w:jc w:val="both"/>
        <w:ind w:left="2160" w:right="420" w:firstLine="609"/>
        <w:spacing w:after="0" w:line="258" w:lineRule="auto"/>
        <w:tabs>
          <w:tab w:leader="none" w:pos="3564" w:val="left"/>
        </w:tabs>
        <w:numPr>
          <w:ilvl w:val="1"/>
          <w:numId w:val="69"/>
        </w:numPr>
        <w:rPr>
          <w:rFonts w:ascii="Arial" w:cs="Arial" w:eastAsia="Arial" w:hAnsi="Arial"/>
          <w:sz w:val="17"/>
          <w:szCs w:val="17"/>
          <w:color w:val="auto"/>
        </w:rPr>
      </w:pPr>
      <w:r>
        <w:rPr>
          <w:rFonts w:ascii="Arial" w:cs="Arial" w:eastAsia="Arial" w:hAnsi="Arial"/>
          <w:sz w:val="17"/>
          <w:szCs w:val="17"/>
          <w:color w:val="auto"/>
        </w:rPr>
        <w:t>representing the balance deferred and unpaid of the purchase price of any property (including Capital Lease Obligations), except (x) any such balance that constitutes an accrued expense or trade payable or similar obligation to a trade creditor, in each case, accrued in the ordinary course of business that are not overdue by ninety (90) days or more or are being contested in good faith and (y) any earn-out obligations until such obligation becomes a liability on the balance sheet of such Person in accordance with GAAP; or</w:t>
      </w:r>
    </w:p>
    <w:p>
      <w:pPr>
        <w:spacing w:after="0" w:line="190" w:lineRule="exact"/>
        <w:rPr>
          <w:rFonts w:ascii="Arial" w:cs="Arial" w:eastAsia="Arial" w:hAnsi="Arial"/>
          <w:sz w:val="17"/>
          <w:szCs w:val="17"/>
          <w:color w:val="auto"/>
        </w:rPr>
      </w:pPr>
    </w:p>
    <w:p>
      <w:pPr>
        <w:ind w:left="3360" w:hanging="593"/>
        <w:spacing w:after="0"/>
        <w:tabs>
          <w:tab w:leader="none" w:pos="33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respect of obligations under any Swap Agreements;</w:t>
      </w:r>
    </w:p>
    <w:p>
      <w:pPr>
        <w:spacing w:after="0" w:line="219" w:lineRule="exact"/>
        <w:rPr>
          <w:sz w:val="20"/>
          <w:szCs w:val="20"/>
          <w:color w:val="auto"/>
        </w:rPr>
      </w:pPr>
    </w:p>
    <w:p>
      <w:pPr>
        <w:jc w:val="both"/>
        <w:ind w:left="1560" w:right="440"/>
        <w:spacing w:after="0" w:line="248" w:lineRule="auto"/>
        <w:rPr>
          <w:sz w:val="20"/>
          <w:szCs w:val="20"/>
          <w:color w:val="auto"/>
        </w:rPr>
      </w:pPr>
      <w:r>
        <w:rPr>
          <w:rFonts w:ascii="Arial" w:cs="Arial" w:eastAsia="Arial" w:hAnsi="Arial"/>
          <w:sz w:val="18"/>
          <w:szCs w:val="18"/>
          <w:color w:val="auto"/>
        </w:rPr>
        <w:t>if and to the extent that any of the foregoing Indebtedness (other than letters of credit and obligations under Swap Agreements) would appear as a liability upon a balance sheet (excluding the footnotes thereto) of such Person prepared in accordance with GAAP;</w:t>
      </w:r>
    </w:p>
    <w:p>
      <w:pPr>
        <w:spacing w:after="0" w:line="198" w:lineRule="exact"/>
        <w:rPr>
          <w:sz w:val="20"/>
          <w:szCs w:val="20"/>
          <w:color w:val="auto"/>
        </w:rPr>
      </w:pPr>
    </w:p>
    <w:p>
      <w:pPr>
        <w:jc w:val="both"/>
        <w:ind w:left="1560" w:right="440" w:firstLine="606"/>
        <w:spacing w:after="0" w:line="242" w:lineRule="auto"/>
        <w:tabs>
          <w:tab w:leader="none" w:pos="29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the extent not otherwise included, any obligation by such Person to be liable for, or to pay, as obligor, guarantor or otherwise, on the obligations (of the type referred to in clause (a) of this definition) of a third Person (whether or not such items would appear upon the balance sheet of the such obligor or guarantor), other than by endorsement of negotiable instruments for collection in the ordinary course of business; and</w:t>
      </w:r>
    </w:p>
    <w:p>
      <w:pPr>
        <w:spacing w:after="0" w:line="205" w:lineRule="exact"/>
        <w:rPr>
          <w:rFonts w:ascii="Arial" w:cs="Arial" w:eastAsia="Arial" w:hAnsi="Arial"/>
          <w:sz w:val="18"/>
          <w:szCs w:val="18"/>
          <w:color w:val="auto"/>
        </w:rPr>
      </w:pPr>
    </w:p>
    <w:p>
      <w:pPr>
        <w:ind w:left="2760" w:hanging="594"/>
        <w:spacing w:after="0"/>
        <w:tabs>
          <w:tab w:leader="none" w:pos="2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the extent not otherwise included, the obligations of the type referred to in clause</w:t>
      </w:r>
    </w:p>
    <w:p>
      <w:pPr>
        <w:spacing w:after="0" w:line="9" w:lineRule="exact"/>
        <w:rPr>
          <w:rFonts w:ascii="Arial" w:cs="Arial" w:eastAsia="Arial" w:hAnsi="Arial"/>
          <w:sz w:val="18"/>
          <w:szCs w:val="18"/>
          <w:color w:val="auto"/>
        </w:rPr>
      </w:pPr>
    </w:p>
    <w:p>
      <w:pPr>
        <w:jc w:val="both"/>
        <w:ind w:left="1560" w:right="440" w:firstLine="4"/>
        <w:spacing w:after="0" w:line="237" w:lineRule="auto"/>
        <w:tabs>
          <w:tab w:leader="none" w:pos="183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of a third Person secured by a Lien on any asset owned by such first Person, whether or not such Indebtedness is assumed by such first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has not been so assumed the amount of such Indebtedness shall be the lesser of (A) the fair market value of such asset at the date of determination and (B) the amount of the Indebtedness so secured;</w:t>
      </w:r>
    </w:p>
    <w:p>
      <w:pPr>
        <w:spacing w:after="0" w:line="195" w:lineRule="exact"/>
        <w:rPr>
          <w:sz w:val="20"/>
          <w:szCs w:val="20"/>
          <w:color w:val="auto"/>
        </w:rPr>
      </w:pPr>
    </w:p>
    <w:p>
      <w:pPr>
        <w:ind w:left="96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Indebtedness shall be deemed not to include Contingent Obligations incurred in the ordinary course of business.</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307" w:lineRule="exact"/>
        <w:rPr>
          <w:sz w:val="20"/>
          <w:szCs w:val="20"/>
          <w:color w:val="auto"/>
        </w:rPr>
      </w:pPr>
    </w:p>
    <w:p>
      <w:pPr>
        <w:ind w:left="960" w:right="44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all Taxes imposed on or with respect to any payment made by or on account of any obligation of any Loan Party under any Loan Document, other than Excluded Taxes and Other Taxes.</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Loans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95" w:lineRule="exact"/>
        <w:rPr>
          <w:sz w:val="20"/>
          <w:szCs w:val="20"/>
          <w:color w:val="auto"/>
        </w:rPr>
      </w:pPr>
    </w:p>
    <w:p>
      <w:pPr>
        <w:ind w:left="960" w:right="8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w:t>
      </w:r>
      <w:r>
        <w:rPr>
          <w:rFonts w:ascii="Arial" w:cs="Arial" w:eastAsia="Arial" w:hAnsi="Arial"/>
          <w:sz w:val="18"/>
          <w:szCs w:val="18"/>
          <w:color w:val="auto"/>
        </w:rPr>
        <w:t>” shall mean, with respect to any Multiemployer Plan, the condition that such plan is insolvent within the meaning of Section 4245 of ERISA.</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shall mean pertaining to a condition of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60" w:top="1326" w:right="399" w:bottom="1440" w:gutter="0" w:footer="0" w:header="0"/>
        </w:sectPr>
      </w:pPr>
    </w:p>
    <w:bookmarkStart w:id="120" w:name="page121"/>
    <w:bookmarkEnd w:id="120"/>
    <w:p>
      <w:pPr>
        <w:jc w:val="both"/>
        <w:ind w:left="96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mean all rights, priorities and privileges relating to intellectual property, whether arising under United States, multinational or foreign laws, including copyrights, trademarks, domain names, patents, in any of the foregoing cases whether registered, issued or applied for with a Governmental Authority, trade secrets, including any of the foregoing rights in know-how, technology, software and databases, and licenses to copyrights, patents, trademarks, domain names, trade secrets or combinations of any of the foregoing, all rights to past, present or future proceeds and all rights to sue at law or in equity for any infringement or other impairment thereof, including the right to receive all proceeds and damages therefrom.</w:t>
      </w:r>
    </w:p>
    <w:p>
      <w:pPr>
        <w:spacing w:after="0" w:line="196" w:lineRule="exact"/>
        <w:rPr>
          <w:sz w:val="20"/>
          <w:szCs w:val="20"/>
          <w:color w:val="auto"/>
        </w:rPr>
      </w:pPr>
    </w:p>
    <w:p>
      <w:pPr>
        <w:jc w:val="both"/>
        <w:ind w:left="960" w:right="2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shall mean any intercreditor agreement executed in connection with any transaction requiring such agreement to be executed pursuant to the terms hereof, among the Administrative Agent, the Borrower, the Guarantors and one or more Senior Representatives of Indebtedness incurred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or any other party, as the case may be, substantially on terms set forth on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(except to the extent otherwise reasonably agreed by the Borrower and the Administrative Agent) or otherwise on such terms that are reasonably satisfactory to the Administrative Agent, in each case, as amended, restated, supplemented or otherwise modified (or replaced in connection with a Refinancing or incurrence of Indebtedness under </w:t>
      </w:r>
      <w:r>
        <w:rPr>
          <w:rFonts w:ascii="Arial" w:cs="Arial" w:eastAsia="Arial" w:hAnsi="Arial"/>
          <w:sz w:val="18"/>
          <w:szCs w:val="18"/>
          <w:u w:val="single" w:color="auto"/>
          <w:color w:val="auto"/>
        </w:rPr>
        <w:t>Section 9.4</w:t>
      </w:r>
      <w:r>
        <w:rPr>
          <w:rFonts w:ascii="Arial" w:cs="Arial" w:eastAsia="Arial" w:hAnsi="Arial"/>
          <w:sz w:val="18"/>
          <w:szCs w:val="18"/>
          <w:color w:val="auto"/>
        </w:rPr>
        <w:t>) from time to time with the consent of the Administrative Agent (such consent not to be unreasonably withheld or delayed).</w:t>
      </w:r>
    </w:p>
    <w:p>
      <w:pPr>
        <w:spacing w:after="0" w:line="19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Determination Date</w:t>
      </w:r>
      <w:r>
        <w:rPr>
          <w:rFonts w:ascii="Arial" w:cs="Arial" w:eastAsia="Arial" w:hAnsi="Arial"/>
          <w:sz w:val="18"/>
          <w:szCs w:val="18"/>
          <w:color w:val="auto"/>
        </w:rPr>
        <w:t>” shall mean with respect to any Fixed Rate Loan, the second Business Day prior to the commencement of any Interest Period relating to such Fixed Rate Loan, as the case may be.</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Protection Agreement</w:t>
      </w:r>
      <w:r>
        <w:rPr>
          <w:rFonts w:ascii="Arial" w:cs="Arial" w:eastAsia="Arial" w:hAnsi="Arial"/>
          <w:sz w:val="18"/>
          <w:szCs w:val="18"/>
          <w:color w:val="auto"/>
        </w:rPr>
        <w:t>” shall mean any interest rate swap agreement, interest rate cap agreement, interest collar agreement, interest rate hedging agreement or other similar agreement or arrangement</w:t>
      </w:r>
    </w:p>
    <w:p>
      <w:pPr>
        <w:spacing w:after="0" w:line="186" w:lineRule="exact"/>
        <w:rPr>
          <w:sz w:val="20"/>
          <w:szCs w:val="20"/>
          <w:color w:val="auto"/>
        </w:rPr>
      </w:pPr>
    </w:p>
    <w:p>
      <w:pPr>
        <w:jc w:val="both"/>
        <w:ind w:left="960" w:firstLine="60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Screen Rate</w:t>
      </w:r>
      <w:r>
        <w:rPr>
          <w:rFonts w:ascii="Arial" w:cs="Arial" w:eastAsia="Arial" w:hAnsi="Arial"/>
          <w:sz w:val="17"/>
          <w:szCs w:val="17"/>
          <w:color w:val="auto"/>
        </w:rPr>
        <w:t>” means, with respect to any Fixed Rate Loan for any Interest Period (or for purposes of determining the Base Rate in accordance with clause (c) of the definition thereof and assuming an Interest Period of one month), a rate per annum which results from interpolating on a linear basis between (a) the applicable LIBOR Screen Rate for the longest maturity for which a LIBOR Screen Rate is available that is shorter than such Interest Period and (b) the applicable LIBOR Screen Rate for the shortest maturity for which a LIBOR Screen Rate is available that is longer than such Interest Period, in each case at approximately 11:00 a.m., London time, two Business Days prior to the commencement of such Interest Period (or, for purposes of determining the Base Rate in accordance with clause (c) of the definition thereof, on the applicable date of determination).</w:t>
      </w:r>
    </w:p>
    <w:p>
      <w:pPr>
        <w:spacing w:after="0" w:line="182" w:lineRule="exact"/>
        <w:rPr>
          <w:sz w:val="20"/>
          <w:szCs w:val="20"/>
          <w:color w:val="auto"/>
        </w:rPr>
      </w:pPr>
    </w:p>
    <w:p>
      <w:pPr>
        <w:jc w:val="both"/>
        <w:ind w:left="960" w:right="20" w:firstLine="6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w:t>
      </w:r>
    </w:p>
    <w:p>
      <w:pPr>
        <w:spacing w:after="0" w:line="194"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 xml:space="preserve">Subject to the immediately following sentence, the amount of any non-cash Investments will be the fair market value thereof at the time made, and the amount of any cash Investment will be the original cost thereof. To the extent any Investment in any Person is made in compliance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 reliance on a category that is subject to a Dollar-denominated restriction on the making of Investments and, subsequently, such Person returns to the Borrower or any Restricted Subsidiary all or any portion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20"/>
          </w:cols>
          <w:pgMar w:left="360" w:top="1326" w:right="819" w:bottom="1440" w:gutter="0" w:footer="0" w:header="0"/>
        </w:sectPr>
      </w:pPr>
    </w:p>
    <w:bookmarkStart w:id="121" w:name="page122"/>
    <w:bookmarkEnd w:id="121"/>
    <w:p>
      <w:pPr>
        <w:jc w:val="both"/>
        <w:ind w:left="960"/>
        <w:spacing w:after="0" w:line="237" w:lineRule="auto"/>
        <w:rPr>
          <w:sz w:val="20"/>
          <w:szCs w:val="20"/>
          <w:color w:val="auto"/>
        </w:rPr>
      </w:pPr>
      <w:r>
        <w:rPr>
          <w:rFonts w:ascii="Arial" w:cs="Arial" w:eastAsia="Arial" w:hAnsi="Arial"/>
          <w:sz w:val="18"/>
          <w:szCs w:val="18"/>
          <w:color w:val="auto"/>
        </w:rPr>
        <w:t>Investment (in the form of a dividend, distribution, interest, payment, return of capital, repayment, liquidation or otherwise but excluding intercompany Indebtedness), such return shall be deemed to be credited to the Dollar-denominated category against which the Investment is then charged (but in any event not in an amount that would result in the aggregate Dollar amount able to be invested in reliance on such category to exceed such Dollar-denominated restriction). To the extent the category subject to a Dollar-denominated restriction is subject to a restriction based on the greater of a Dollar amount and an amount based on a percentage of LTM CEBITDA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spacing w:after="0" w:line="208" w:lineRule="exact"/>
        <w:rPr>
          <w:sz w:val="20"/>
          <w:szCs w:val="20"/>
          <w:color w:val="auto"/>
        </w:rPr>
      </w:pPr>
    </w:p>
    <w:p>
      <w:pPr>
        <w:ind w:left="960" w:right="1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shall mean, individually and collectively, the Sponsors and the Management Stockholders and their respective Affiliates.</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U.S. Internal Revenue Service.</w:t>
      </w:r>
    </w:p>
    <w:p>
      <w:pPr>
        <w:spacing w:after="0" w:line="307" w:lineRule="exact"/>
        <w:rPr>
          <w:sz w:val="20"/>
          <w:szCs w:val="20"/>
          <w:color w:val="auto"/>
        </w:rPr>
      </w:pPr>
    </w:p>
    <w:p>
      <w:pPr>
        <w:jc w:val="both"/>
        <w:ind w:left="960" w:firstLine="602"/>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left="96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Lenders</w:t>
      </w:r>
      <w:r>
        <w:rPr>
          <w:rFonts w:ascii="Arial" w:cs="Arial" w:eastAsia="Arial" w:hAnsi="Arial"/>
          <w:sz w:val="18"/>
          <w:szCs w:val="18"/>
          <w:color w:val="auto"/>
        </w:rPr>
        <w:t>” shall mean each of the Revolving Lenders on the Closing Date or other Lenders reasonably acceptable to the Borrower and the Administrative Agent which agree to issue Letters of Credit hereunder. Any Issuing Lender may, in its discretion, arrange for one or more Letters of Credit to be issued by one or more Affiliates or branches of such Issuing Lender (and such Affiliate shall be deemed to be an “Issuing Lender” for all purposes of the Loan Documents). Jefferies Finance LLC will cause Letters of Credit to be issued by unaffiliated financial institutions and such Letters of Credit shall be treated as issued by Jefferies Finance LLC for all purposes under the Loan Documents.</w:t>
      </w: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shall mean, collectively, the Joint Lead Arrangers listed on the cover page</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hereof.</w:t>
      </w:r>
    </w:p>
    <w:p>
      <w:pPr>
        <w:spacing w:after="0" w:line="29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13.19(a)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 Conversion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13.19(a)</w:t>
      </w:r>
      <w:r>
        <w:rPr>
          <w:rFonts w:ascii="Arial" w:cs="Arial" w:eastAsia="Arial" w:hAnsi="Arial"/>
          <w:sz w:val="18"/>
          <w:szCs w:val="18"/>
          <w:color w:val="auto"/>
        </w:rPr>
        <w:t>.</w:t>
      </w:r>
    </w:p>
    <w:p>
      <w:pPr>
        <w:spacing w:after="0" w:line="295" w:lineRule="exact"/>
        <w:rPr>
          <w:sz w:val="20"/>
          <w:szCs w:val="20"/>
          <w:color w:val="auto"/>
        </w:rPr>
      </w:pPr>
    </w:p>
    <w:p>
      <w:pPr>
        <w:jc w:val="both"/>
        <w:ind w:left="96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Indebtedness</w:t>
      </w:r>
      <w:r>
        <w:rPr>
          <w:rFonts w:ascii="Arial" w:cs="Arial" w:eastAsia="Arial" w:hAnsi="Arial"/>
          <w:sz w:val="17"/>
          <w:szCs w:val="17"/>
          <w:color w:val="auto"/>
        </w:rPr>
        <w:t>” shall mean (a) with respect to the Borrower, any Indebtedness that is contractually subordinated in right of payment to the Loans and (b) with respect to any Guarantor, any Indebtedness that is contractually subordinated in right of payment to its Guarantee, the Guarantee of a Guarantor or the Guarantee Obligations hereunder.</w:t>
      </w:r>
    </w:p>
    <w:p>
      <w:pPr>
        <w:spacing w:after="0" w:line="170" w:lineRule="exact"/>
        <w:rPr>
          <w:sz w:val="20"/>
          <w:szCs w:val="20"/>
          <w:color w:val="auto"/>
        </w:rPr>
      </w:pPr>
    </w:p>
    <w:p>
      <w:pPr>
        <w:jc w:val="both"/>
        <w:ind w:left="96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actual knowledge or the knowledge that an Authorized Officer would have obtained if such individual had acted in good faith to discharge his or her duties with the same level of diligence and care as would reasonably be expected from an officer in a substantially similar position, assuming the Borrower or other Loan Party maintains reasonable routines, policies, processes and procedures for communicating significant information to the Authorized Officer (the “</w:t>
      </w:r>
      <w:r>
        <w:rPr>
          <w:rFonts w:ascii="Arial" w:cs="Arial" w:eastAsia="Arial" w:hAnsi="Arial"/>
          <w:sz w:val="18"/>
          <w:szCs w:val="18"/>
          <w:u w:val="single" w:color="auto"/>
          <w:color w:val="auto"/>
        </w:rPr>
        <w:t>Processes</w:t>
      </w:r>
      <w:r>
        <w:rPr>
          <w:rFonts w:ascii="Arial" w:cs="Arial" w:eastAsia="Arial" w:hAnsi="Arial"/>
          <w:sz w:val="18"/>
          <w:szCs w:val="18"/>
          <w:color w:val="auto"/>
        </w:rPr>
        <w:t>”) and there is reasonable compliance with Processes.</w:t>
      </w:r>
    </w:p>
    <w:p>
      <w:pPr>
        <w:spacing w:after="0" w:line="20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shall mean, at any date of determination, the latest maturity or expiration date applicable to any Loan or Commitment hereunder at such time, including the latest maturity or expiration date of any Incremental Term Loans or Incremental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00"/>
          </w:cols>
          <w:pgMar w:left="360" w:top="1326" w:right="839" w:bottom="1440" w:gutter="0" w:footer="0" w:header="0"/>
        </w:sectPr>
      </w:pPr>
    </w:p>
    <w:bookmarkStart w:id="122" w:name="page123"/>
    <w:bookmarkEnd w:id="122"/>
    <w:p>
      <w:pPr>
        <w:jc w:val="both"/>
        <w:ind w:left="960" w:right="2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shall mean, as at any date of determination, an amount equal to the sum of (a) the aggregate amount available to be drawn under all outstanding Letters of Credit and (b) the aggregate amount of the aggregate of all Letters of Credit that have not then been reimbursed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1.6</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shall mean all the Revolving Lenders other than the applicable Issuing Lender.</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Leaseholds</w:t>
      </w:r>
      <w:r>
        <w:rPr>
          <w:rFonts w:ascii="Arial" w:cs="Arial" w:eastAsia="Arial" w:hAnsi="Arial"/>
          <w:sz w:val="18"/>
          <w:szCs w:val="18"/>
          <w:color w:val="auto"/>
        </w:rPr>
        <w:t>” shall mean, with respect to any Person, all the right, title and interest of such Person as lessee or licensee in, to and under leases or licenses of land, improvements or fixtures.</w:t>
      </w:r>
    </w:p>
    <w:p>
      <w:pPr>
        <w:spacing w:after="0" w:line="186"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shall mean each financial institution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and any other Person that shall have become a party hereto pursuant to an Assignment and Assumption, a Refinancing Amendment or an Incremental Amendment, other than any such Person that shall have ceased to be a party hereto pursuant to an Assignment and Assumption. Unless the context otherwise requires, the term “Lender” shall include the Swingline Lender and the Issuing Lenders.</w:t>
      </w:r>
    </w:p>
    <w:p>
      <w:pPr>
        <w:spacing w:after="0" w:line="206"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Default</w:t>
      </w:r>
      <w:r>
        <w:rPr>
          <w:rFonts w:ascii="Arial" w:cs="Arial" w:eastAsia="Arial" w:hAnsi="Arial"/>
          <w:sz w:val="16"/>
          <w:szCs w:val="16"/>
          <w:color w:val="auto"/>
        </w:rPr>
        <w:t>” shall mean, with respect to any Lender, (i) the refusal (which must be in writing and which has not been retracted in writing) or failure of such Lender to fund any portion of the Revolving Loans or reimbursement obligations under the Revolving Facility, participations in L/C Obligations or participations in Swingline Loans (collectively, its “</w:t>
      </w:r>
      <w:r>
        <w:rPr>
          <w:rFonts w:ascii="Arial" w:cs="Arial" w:eastAsia="Arial" w:hAnsi="Arial"/>
          <w:sz w:val="16"/>
          <w:szCs w:val="16"/>
          <w:u w:val="single" w:color="auto"/>
          <w:color w:val="auto"/>
        </w:rPr>
        <w:t>Funding Obligations</w:t>
      </w:r>
      <w:r>
        <w:rPr>
          <w:rFonts w:ascii="Arial" w:cs="Arial" w:eastAsia="Arial" w:hAnsi="Arial"/>
          <w:sz w:val="16"/>
          <w:szCs w:val="16"/>
          <w:color w:val="auto"/>
        </w:rPr>
        <w:t>”) required to be made by it under the Revolving Facility, which refusal or failure is not cured within two (2) Business Days after the date of such refusal or failure unless such refusal or failure is the result of such Lender’s determination that one or more conditions precedent to funding (which conditions precedent, together with the applicable default, if any, shall be specifically identified in such writing) have not been satisfied, (ii) the failure of such Lender to pay over to the Administrative Agent, any Issuing Lender or any other Lender any other amount required to be paid by it hereunder within one (1) Business Day of the date when due, (iii) such Lender has notified the Borrower or the Administrative Agent that it does not intend to comply with its Funding Obligations or has made a public statement to that effect with respect to its Funding Obligations under the Revolving Facility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cannot be satisfied),</w:t>
      </w:r>
    </w:p>
    <w:p>
      <w:pPr>
        <w:spacing w:after="0" w:line="3" w:lineRule="exact"/>
        <w:rPr>
          <w:sz w:val="20"/>
          <w:szCs w:val="20"/>
          <w:color w:val="auto"/>
        </w:rPr>
      </w:pPr>
    </w:p>
    <w:p>
      <w:pPr>
        <w:jc w:val="both"/>
        <w:ind w:left="960" w:right="20" w:firstLine="3"/>
        <w:spacing w:after="0" w:line="237" w:lineRule="auto"/>
        <w:tabs>
          <w:tab w:leader="none" w:pos="17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Lender has failed, within three (3) Business Days after request by the Administrative Agent, to confirm that it will comply with its Funding Obligations under the Revolving Facility, (v) such Lender has admitted in writing that it is insolvent or such Lender becomes subject to a Lender-Related Distress Event, or (vi) such Lender has, or has a direct or indirect parent company that has, become subject to a Bail-In Action.</w:t>
      </w:r>
    </w:p>
    <w:p>
      <w:pPr>
        <w:spacing w:after="0" w:line="2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Offer Right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13.12(b)</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13.16(a)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20"/>
          </w:cols>
          <w:pgMar w:left="360" w:top="1326" w:right="819" w:bottom="1440" w:gutter="0" w:footer="0" w:header="0"/>
        </w:sectPr>
      </w:pPr>
    </w:p>
    <w:bookmarkStart w:id="123" w:name="page124"/>
    <w:bookmarkEnd w:id="123"/>
    <w:p>
      <w:pPr>
        <w:jc w:val="both"/>
        <w:ind w:left="960" w:right="20" w:firstLine="602"/>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Lender-Related Distress Event</w:t>
      </w:r>
      <w:r>
        <w:rPr>
          <w:rFonts w:ascii="Arial" w:cs="Arial" w:eastAsia="Arial" w:hAnsi="Arial"/>
          <w:sz w:val="17"/>
          <w:szCs w:val="17"/>
          <w:color w:val="auto"/>
        </w:rPr>
        <w:t>” shall mean, with respect to any Lender or any Person that directly or indirectly controls such Lender (each, a “</w:t>
      </w:r>
      <w:r>
        <w:rPr>
          <w:rFonts w:ascii="Arial" w:cs="Arial" w:eastAsia="Arial" w:hAnsi="Arial"/>
          <w:sz w:val="17"/>
          <w:szCs w:val="17"/>
          <w:u w:val="single" w:color="auto"/>
          <w:color w:val="auto"/>
        </w:rPr>
        <w:t>Distressed Person</w:t>
      </w:r>
      <w:r>
        <w:rPr>
          <w:rFonts w:ascii="Arial" w:cs="Arial" w:eastAsia="Arial" w:hAnsi="Arial"/>
          <w:sz w:val="17"/>
          <w:szCs w:val="17"/>
          <w:color w:val="auto"/>
        </w:rPr>
        <w:t xml:space="preserve">”), as the case may be, a voluntary or involuntary case with respect to such Distressed Person has commenced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Lender-Related Distress Event shall not be deemed to have occurred with respect to such Lender solely by virtue of the ownership or acquisition of any Equity Interests in such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thereof) to reject, repudiate, disavow or disaffirm any contracts or agreements made with such Lender.</w:t>
      </w:r>
    </w:p>
    <w:p>
      <w:pPr>
        <w:spacing w:after="0" w:line="19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xml:space="preserve">” shall have the meaning set forth it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Back-Stop Arrangements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Outstandings</w:t>
      </w:r>
      <w:r>
        <w:rPr>
          <w:rFonts w:ascii="Arial" w:cs="Arial" w:eastAsia="Arial" w:hAnsi="Arial"/>
          <w:sz w:val="18"/>
          <w:szCs w:val="18"/>
          <w:color w:val="auto"/>
        </w:rPr>
        <w:t>” shall mean, at any time, the sum of (i) the Stated Amount of all outstanding Letters of Credit at such time (taking the Dollar Equivalent of any such Letter of Credit denominated in an Alternate Currency and determined in accordance with Section 1.6) and (ii) the aggregate amount of all Unpaid Drawings in respect of all Letters of Credit at such time (taking the Dollar Equivalent of any such Letter of Credit denominated in an Alternate Currency).</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Ratios</w:t>
      </w:r>
      <w:r>
        <w:rPr>
          <w:rFonts w:ascii="Arial" w:cs="Arial" w:eastAsia="Arial" w:hAnsi="Arial"/>
          <w:sz w:val="18"/>
          <w:szCs w:val="18"/>
          <w:color w:val="auto"/>
        </w:rPr>
        <w:t>” and “</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mean any losses, claims (including intraparty claims), demands, damages or liabilities of any kind.</w:t>
      </w:r>
    </w:p>
    <w:p>
      <w:pPr>
        <w:spacing w:after="0" w:line="232"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shall mean the London interbank offered rate as administered by the ICE Benchmark Administration (or any other Person that takes over the administration of such rate).</w:t>
      </w:r>
    </w:p>
    <w:p>
      <w:pPr>
        <w:spacing w:after="0" w:line="186" w:lineRule="exact"/>
        <w:rPr>
          <w:sz w:val="20"/>
          <w:szCs w:val="20"/>
          <w:color w:val="auto"/>
        </w:rPr>
      </w:pPr>
    </w:p>
    <w:p>
      <w:pPr>
        <w:ind w:left="960" w:right="6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Loan</w:t>
      </w:r>
      <w:r>
        <w:rPr>
          <w:rFonts w:ascii="Arial" w:cs="Arial" w:eastAsia="Arial" w:hAnsi="Arial"/>
          <w:sz w:val="18"/>
          <w:szCs w:val="18"/>
          <w:color w:val="auto"/>
        </w:rPr>
        <w:t>” shall mean each Dollar Denominated Loan (other than a Swingline Loan) designated as such by the Borrower at the time of the incurrence thereof or conversion thereto.</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shall mean, with respect to any credit extension</w:t>
      </w:r>
    </w:p>
    <w:p>
      <w:pPr>
        <w:spacing w:after="0" w:line="295" w:lineRule="exact"/>
        <w:rPr>
          <w:sz w:val="20"/>
          <w:szCs w:val="20"/>
          <w:color w:val="auto"/>
        </w:rPr>
      </w:pPr>
    </w:p>
    <w:p>
      <w:pPr>
        <w:jc w:val="both"/>
        <w:ind w:left="1560" w:right="20" w:firstLine="606"/>
        <w:spacing w:after="0" w:line="258" w:lineRule="auto"/>
        <w:tabs>
          <w:tab w:leader="none" w:pos="29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rate per annum equal to the LIBOR Screen Rate at approximately 11:00 A.M., London time, two (2) Business Days prior to the commencement of such Interest Period, for deposits in the relevant currency (for delivery on the first day of such Interest Period) with a term equivalent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LIBOR Screen Rate shall be available for a particular Interest Period but LIBOR Screen Rates shall be available for maturities both longer and shorter than such Interest Period, then the LIBOR Rate for such Interest Period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20"/>
          </w:cols>
          <w:pgMar w:left="360" w:top="1326" w:right="819" w:bottom="1440" w:gutter="0" w:footer="0" w:header="0"/>
        </w:sectPr>
      </w:pPr>
    </w:p>
    <w:bookmarkStart w:id="124" w:name="page125"/>
    <w:bookmarkEnd w:id="124"/>
    <w:p>
      <w:pPr>
        <w:ind w:left="1560" w:right="60"/>
        <w:spacing w:after="0" w:line="263" w:lineRule="auto"/>
        <w:rPr>
          <w:sz w:val="20"/>
          <w:szCs w:val="20"/>
          <w:color w:val="auto"/>
        </w:rPr>
      </w:pPr>
      <w:r>
        <w:rPr>
          <w:rFonts w:ascii="Arial" w:cs="Arial" w:eastAsia="Arial" w:hAnsi="Arial"/>
          <w:sz w:val="18"/>
          <w:szCs w:val="18"/>
          <w:color w:val="auto"/>
        </w:rPr>
        <w:t xml:space="preserve">Interpolated Screen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LIBOR Rate is less than zero, such rate shall be deemed to be zero for purposes of this Agreement; and</w:t>
      </w:r>
    </w:p>
    <w:p>
      <w:pPr>
        <w:spacing w:after="0" w:line="186" w:lineRule="exact"/>
        <w:rPr>
          <w:sz w:val="20"/>
          <w:szCs w:val="20"/>
          <w:color w:val="auto"/>
        </w:rPr>
      </w:pPr>
    </w:p>
    <w:p>
      <w:pPr>
        <w:jc w:val="both"/>
        <w:ind w:left="1560" w:firstLine="606"/>
        <w:spacing w:after="0" w:line="268" w:lineRule="auto"/>
        <w:tabs>
          <w:tab w:leader="none" w:pos="2953"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for any rate calculation with respect to a Base Rate Loan on any date, the rate per annum equal to the LIBOR Screen Rate, at or about 11:00 A.M., London time determined on such day (or, if such day is not a Business Day, the immediately preceding Business Day) for Dollar deposits with a term of one month commencing that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jc w:val="both"/>
        <w:ind w:left="1560" w:right="20" w:firstLine="4"/>
        <w:spacing w:after="0" w:line="237" w:lineRule="auto"/>
        <w:tabs>
          <w:tab w:leader="none" w:pos="17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no LIBOR Screen Rate shall be available for a one-month Interest Period but LIBOR Screen Rates shall be available for maturities both longer and shorter than a one-month Interest Period, then the LIBOR Screen Rate for purposes of this sentence shall be the Interpolated Screen Rate and (ii) if such rate shall be less than zero, then such rate shall be deemed to be zero;</w:t>
      </w:r>
    </w:p>
    <w:p>
      <w:pPr>
        <w:spacing w:after="0" w:line="195" w:lineRule="exact"/>
        <w:rPr>
          <w:sz w:val="20"/>
          <w:szCs w:val="20"/>
          <w:color w:val="auto"/>
        </w:rPr>
      </w:pPr>
    </w:p>
    <w:p>
      <w:pPr>
        <w:jc w:val="both"/>
        <w:ind w:left="960" w:right="20"/>
        <w:spacing w:after="0" w:line="25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it is understood and agreed that all of the terms and conditions of this definition of “LIBOR Rate” shall be subject to </w:t>
      </w:r>
      <w:r>
        <w:rPr>
          <w:rFonts w:ascii="Arial" w:cs="Arial" w:eastAsia="Arial" w:hAnsi="Arial"/>
          <w:sz w:val="17"/>
          <w:szCs w:val="17"/>
          <w:u w:val="single" w:color="auto"/>
          <w:color w:val="auto"/>
        </w:rPr>
        <w:t>Section 2.11(a)</w:t>
      </w:r>
      <w:r>
        <w:rPr>
          <w:rFonts w:ascii="Arial" w:cs="Arial" w:eastAsia="Arial" w:hAnsi="Arial"/>
          <w:sz w:val="17"/>
          <w:szCs w:val="17"/>
          <w:color w:val="auto"/>
        </w:rPr>
        <w:t>.</w:t>
      </w:r>
    </w:p>
    <w:p>
      <w:pPr>
        <w:spacing w:after="0" w:line="253" w:lineRule="exact"/>
        <w:rPr>
          <w:sz w:val="20"/>
          <w:szCs w:val="20"/>
          <w:color w:val="auto"/>
        </w:rPr>
      </w:pPr>
    </w:p>
    <w:p>
      <w:pPr>
        <w:jc w:val="both"/>
        <w:ind w:left="960" w:right="2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xml:space="preserve"> shall mean, for any day and time, with respect to any Fixed Rate Loan for any applicable currency and for any Interest Period, the London interbank offered rate as administered by ICE Benchmark Administration (or any other Person that takes over the administration of such rate for Dollars or the relevant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Screen Rate shall be less than zero, such rate shall be deemed to be zero for the purposes of this Agreement.</w:t>
      </w:r>
    </w:p>
    <w:p>
      <w:pPr>
        <w:spacing w:after="0" w:line="208"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shall mean,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be deemed to constitute a Lien.</w:t>
      </w:r>
    </w:p>
    <w:p>
      <w:pPr>
        <w:spacing w:after="0" w:line="20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shall mean any transaction permitted under this Agreement, including any Permitted Acquisition or other Investment permitted, any repayment or redemption of, or offer to purchase, any Indebtedness, or the making of any Restricted Payment.</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w:t>
      </w:r>
      <w:r>
        <w:rPr>
          <w:rFonts w:ascii="Arial" w:cs="Arial" w:eastAsia="Arial" w:hAnsi="Arial"/>
          <w:sz w:val="18"/>
          <w:szCs w:val="18"/>
          <w:color w:val="auto"/>
        </w:rPr>
        <w:t>” shall mean any Person that is a limited liability company under the laws of its jurisdiction of formation.</w:t>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shall mean any loan made or maintained by any Lender pursuant to this Agreement.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mean this Agreement and the Security Agreement and each other Security Document delivered on or prior to the Closing Date, and, after the execution and delivery thereof pursuant to the terms of this Agreement, each Note, each other Security Document, each Additional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20"/>
          </w:cols>
          <w:pgMar w:left="360" w:top="1326" w:right="819" w:bottom="1440" w:gutter="0" w:footer="0" w:header="0"/>
        </w:sectPr>
      </w:pPr>
    </w:p>
    <w:bookmarkStart w:id="125" w:name="page126"/>
    <w:bookmarkEnd w:id="125"/>
    <w:p>
      <w:pPr>
        <w:ind w:left="960"/>
        <w:spacing w:after="0"/>
        <w:rPr>
          <w:sz w:val="20"/>
          <w:szCs w:val="20"/>
          <w:color w:val="auto"/>
        </w:rPr>
      </w:pPr>
      <w:r>
        <w:rPr>
          <w:rFonts w:ascii="Arial" w:cs="Arial" w:eastAsia="Arial" w:hAnsi="Arial"/>
          <w:sz w:val="18"/>
          <w:szCs w:val="18"/>
          <w:color w:val="auto"/>
        </w:rPr>
        <w:t>Agreement, each Intercreditor Agreement, each Incremental Amendment and each Refinancing Amendment.</w:t>
      </w:r>
    </w:p>
    <w:p>
      <w:pPr>
        <w:spacing w:after="0" w:line="2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2.16(b)</w:t>
      </w:r>
      <w:r>
        <w:rPr>
          <w:rFonts w:ascii="Arial" w:cs="Arial" w:eastAsia="Arial" w:hAnsi="Arial"/>
          <w:sz w:val="18"/>
          <w:szCs w:val="18"/>
          <w:color w:val="auto"/>
        </w:rPr>
        <w:t>.</w:t>
      </w:r>
    </w:p>
    <w:p>
      <w:pPr>
        <w:spacing w:after="0" w:line="29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shall mean the Borrower and each Subsidiary Guarantor.</w:t>
      </w:r>
    </w:p>
    <w:p>
      <w:pPr>
        <w:spacing w:after="0" w:line="295"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LTM CEBITDA</w:t>
      </w:r>
      <w:r>
        <w:rPr>
          <w:rFonts w:ascii="Arial" w:cs="Arial" w:eastAsia="Arial" w:hAnsi="Arial"/>
          <w:sz w:val="18"/>
          <w:szCs w:val="18"/>
          <w:color w:val="auto"/>
        </w:rPr>
        <w:t>” shall mean the Consolidated CEBITDA calculated on a Pro Forma Basis as of the last day of the most recently ended Test Period.</w:t>
      </w:r>
    </w:p>
    <w:p>
      <w:pPr>
        <w:spacing w:after="0" w:line="18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Stockholders</w:t>
      </w:r>
      <w:r>
        <w:rPr>
          <w:rFonts w:ascii="Arial" w:cs="Arial" w:eastAsia="Arial" w:hAnsi="Arial"/>
          <w:sz w:val="18"/>
          <w:szCs w:val="18"/>
          <w:color w:val="auto"/>
        </w:rPr>
        <w:t>” shall mean, at any time, the members of management of the Borrower or its Subsidiaries who are direct or indirect holders of Capital Stock of the Borrower and their Control Investment Affiliates who are indirect holders of Capital Stock of the Borrower, in each case, at such time.</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shall have the meaning set forth in Regulation U of the Board.</w:t>
      </w:r>
    </w:p>
    <w:p>
      <w:pPr>
        <w:spacing w:after="0" w:line="295"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 material adverse effect on (i) the business, assets, operations or financial condition of the Borrower and its Restricted Subsidiaries, taken as a whole, or (ii) the rights and remedies available to, or conferred upon, the Administrative Agent, any Lender or any Secured Party under any Loan Document.</w:t>
      </w:r>
    </w:p>
    <w:p>
      <w:pPr>
        <w:spacing w:after="0" w:line="186"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shall mean each Restricted Subsidiary that is not an Immaterial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Co-Borrower designated pursuant to Section 13.26 shall constitute a Material Subsidiary.</w:t>
      </w:r>
    </w:p>
    <w:p>
      <w:pPr>
        <w:spacing w:after="0" w:line="261"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shall mean any chemicals, pollutants, contaminants, wastes and toxic or hazardous substances regulated or that can form the basis for liability under Environmental Law, including any petroleum or petroleum products, asbestos, polychlorinated biphenyls, lead or lead- based paints or materials, radon, urea-formaldehyde insulation, molds fungi, mycotoxins, and radioactivity or radiofrequency radiation.</w:t>
      </w:r>
    </w:p>
    <w:p>
      <w:pPr>
        <w:spacing w:after="0" w:line="193"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shall mean, with respect to the relevant Tranche of Loans, the Revolving Loan Maturity Date, the Incremental Term Loan Maturity Date, the Swingline Expiry Date, the Incremental Revolving Loan Maturity Date or the final stated maturity date of any Other Term Loan or Other Revolving Loan as set forth in the applicable Refinancing Amendment, as the case may be.</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Incremental Facilities Amount</w:t>
      </w:r>
      <w:r>
        <w:rPr>
          <w:rFonts w:ascii="Arial" w:cs="Arial" w:eastAsia="Arial" w:hAnsi="Arial"/>
          <w:sz w:val="18"/>
          <w:szCs w:val="18"/>
          <w:color w:val="auto"/>
        </w:rPr>
        <w:t>” shall mean, at any date of determination, the sum of</w:t>
      </w:r>
    </w:p>
    <w:p>
      <w:pPr>
        <w:spacing w:after="0" w:line="295" w:lineRule="exact"/>
        <w:rPr>
          <w:sz w:val="20"/>
          <w:szCs w:val="20"/>
          <w:color w:val="auto"/>
        </w:rPr>
      </w:pPr>
    </w:p>
    <w:p>
      <w:pPr>
        <w:jc w:val="both"/>
        <w:ind w:left="1560" w:firstLine="606"/>
        <w:spacing w:after="0" w:line="254" w:lineRule="auto"/>
        <w:tabs>
          <w:tab w:leader="none" w:pos="29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an unlimited amount if, after giving effect to the incurrence of such additional amount (assuming any Incremental Revolving Loan Commitments are fully borrowed and outstanding throughout the relevant period and with all applicable Indebtedness being deemed to constitute First Lien Debt in accordance with Section 1.5(i)), the Borrower is in compliance with the Financial Covenant (whether or not then tested), determined on a Pro Forma Basis at the time of determination based on the most recently completed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Net Cash Proceeds actually received (or contemplated to be received) in respect of any such Incremental Facility shall not be included as cash or Cash Equivalents for purposes of determining the Total Net First Lien Leverage Ratio as used in this definition, </w:t>
      </w:r>
      <w:r>
        <w:rPr>
          <w:rFonts w:ascii="Arial" w:cs="Arial" w:eastAsia="Arial" w:hAnsi="Arial"/>
          <w:sz w:val="17"/>
          <w:szCs w:val="17"/>
          <w:u w:val="single" w:color="auto"/>
          <w:color w:val="auto"/>
        </w:rPr>
        <w:t>plus</w:t>
      </w:r>
    </w:p>
    <w:p>
      <w:pPr>
        <w:spacing w:after="0" w:line="257" w:lineRule="exact"/>
        <w:rPr>
          <w:rFonts w:ascii="Arial" w:cs="Arial" w:eastAsia="Arial" w:hAnsi="Arial"/>
          <w:sz w:val="17"/>
          <w:szCs w:val="17"/>
          <w:color w:val="auto"/>
        </w:rPr>
      </w:pPr>
    </w:p>
    <w:p>
      <w:pPr>
        <w:ind w:left="1560" w:right="60" w:firstLine="606"/>
        <w:spacing w:after="0" w:line="263" w:lineRule="auto"/>
        <w:tabs>
          <w:tab w:leader="none" w:pos="29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an Incremental Facility that serves to effectively extend the maturity or effect the repricing of any Class under any Term Facility, any Revolving Facility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00"/>
          </w:cols>
          <w:pgMar w:left="360" w:top="1326" w:right="839" w:bottom="1440" w:gutter="0" w:footer="0" w:header="0"/>
        </w:sectPr>
      </w:pPr>
    </w:p>
    <w:bookmarkStart w:id="126" w:name="page127"/>
    <w:bookmarkEnd w:id="126"/>
    <w:p>
      <w:pPr>
        <w:jc w:val="both"/>
        <w:ind w:left="1560" w:right="20"/>
        <w:spacing w:after="0" w:line="239" w:lineRule="auto"/>
        <w:rPr>
          <w:sz w:val="20"/>
          <w:szCs w:val="20"/>
          <w:color w:val="auto"/>
        </w:rPr>
      </w:pPr>
      <w:r>
        <w:rPr>
          <w:rFonts w:ascii="Arial" w:cs="Arial" w:eastAsia="Arial" w:hAnsi="Arial"/>
          <w:sz w:val="18"/>
          <w:szCs w:val="18"/>
          <w:color w:val="auto"/>
        </w:rPr>
        <w:t xml:space="preserve">Indebtedness Incurred pursuant to </w:t>
      </w:r>
      <w:r>
        <w:rPr>
          <w:rFonts w:ascii="Arial" w:cs="Arial" w:eastAsia="Arial" w:hAnsi="Arial"/>
          <w:sz w:val="18"/>
          <w:szCs w:val="18"/>
          <w:u w:val="single" w:color="auto"/>
          <w:color w:val="auto"/>
        </w:rPr>
        <w:t>Section 9.4(b)(vi)</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Specified Indebtedness</w:t>
      </w:r>
      <w:r>
        <w:rPr>
          <w:rFonts w:ascii="Arial" w:cs="Arial" w:eastAsia="Arial" w:hAnsi="Arial"/>
          <w:sz w:val="18"/>
          <w:szCs w:val="18"/>
          <w:color w:val="auto"/>
        </w:rPr>
        <w:t xml:space="preserve">”), an amount equal to the portion of the Specified Indebtedness that will be replaced by such Incremental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related fees, costs and expenses, including OID and upfront fees and prepayment penalties and premium;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secured by a lien on the Collateral that is junior to the lien securing the Obligations or is unsecured, such Incremental Facility shall be secured by a lien on the Collateral that is junior to the lien securing the Obligations or unsecured, as applicable, </w:t>
      </w:r>
      <w:r>
        <w:rPr>
          <w:rFonts w:ascii="Arial" w:cs="Arial" w:eastAsia="Arial" w:hAnsi="Arial"/>
          <w:sz w:val="18"/>
          <w:szCs w:val="18"/>
          <w:u w:val="single" w:color="auto"/>
          <w:color w:val="auto"/>
        </w:rPr>
        <w:t>plus</w:t>
      </w:r>
    </w:p>
    <w:p>
      <w:pPr>
        <w:spacing w:after="0" w:line="268" w:lineRule="exact"/>
        <w:rPr>
          <w:sz w:val="20"/>
          <w:szCs w:val="20"/>
          <w:color w:val="auto"/>
        </w:rPr>
      </w:pPr>
    </w:p>
    <w:p>
      <w:pPr>
        <w:jc w:val="both"/>
        <w:ind w:left="1560" w:firstLine="606"/>
        <w:spacing w:after="0" w:line="234" w:lineRule="auto"/>
        <w:tabs>
          <w:tab w:leader="none" w:pos="29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all voluntary prepayments and debt buybacks (which shall include, for the avoidance of doubt, any redemption, open market purchase and offer to purchase including pursuant to any “yank-a-bank” provision), without duplication (including with respect to </w:t>
      </w:r>
      <w:r>
        <w:rPr>
          <w:rFonts w:ascii="Arial" w:cs="Arial" w:eastAsia="Arial" w:hAnsi="Arial"/>
          <w:sz w:val="18"/>
          <w:szCs w:val="18"/>
          <w:u w:val="single" w:color="auto"/>
          <w:color w:val="auto"/>
        </w:rPr>
        <w:t>Section 9.4(b)(vi)(C)</w:t>
      </w:r>
      <w:r>
        <w:rPr>
          <w:rFonts w:ascii="Arial" w:cs="Arial" w:eastAsia="Arial" w:hAnsi="Arial"/>
          <w:sz w:val="18"/>
          <w:szCs w:val="18"/>
          <w:color w:val="auto"/>
        </w:rPr>
        <w:t xml:space="preserve">) (i) with respect to Incremental Facilities that are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Obligations, within any Class of Specified Indebtedness secured by a lien on the Collateral that is pari passu with the lien securing the Obligations, (ii) with respect to Incremental Facilities that are secured by a lien on the Collateral that is junior to the lien securing the Obligations, within any class of Specified Indebtedness secured by a lien on the Collateral that is pari passu with or junior to the lien securing the Obligations, and</w:t>
      </w:r>
    </w:p>
    <w:p>
      <w:pPr>
        <w:spacing w:after="0" w:line="6" w:lineRule="exact"/>
        <w:rPr>
          <w:rFonts w:ascii="Arial" w:cs="Arial" w:eastAsia="Arial" w:hAnsi="Arial"/>
          <w:sz w:val="18"/>
          <w:szCs w:val="18"/>
          <w:color w:val="auto"/>
        </w:rPr>
      </w:pPr>
    </w:p>
    <w:p>
      <w:pPr>
        <w:jc w:val="both"/>
        <w:ind w:left="1560" w:firstLine="5"/>
        <w:spacing w:after="0" w:line="235" w:lineRule="auto"/>
        <w:tabs>
          <w:tab w:leader="none" w:pos="189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with respect to Incremental Facilities that are unsecured, within any Class of Specified Indebtedness secured by a lien on the Collateral that is pari passu with or junior to the lien securing the Obligations or unsecured (with, in the case of any Revolving Facilities, a corresponding reduction of commitments thereunder), in each case made prior to the date of any such incurrence, with credit given to the par value of such buybacks, and voluntary commitment reductions of any Revolving Facilities made prior to the date of any such incurrence, in each case except to the extent financed with proceeds of long-term Indebtedness (other than a revolving facility),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272" w:lineRule="exact"/>
        <w:rPr>
          <w:rFonts w:ascii="Arial" w:cs="Arial" w:eastAsia="Arial" w:hAnsi="Arial"/>
          <w:sz w:val="18"/>
          <w:szCs w:val="18"/>
          <w:color w:val="auto"/>
        </w:rPr>
      </w:pPr>
    </w:p>
    <w:p>
      <w:pPr>
        <w:jc w:val="both"/>
        <w:ind w:left="1560" w:right="20" w:firstLine="606"/>
        <w:spacing w:after="0" w:line="274" w:lineRule="auto"/>
        <w:tabs>
          <w:tab w:leader="none" w:pos="2953"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(x) the greater of $90,000,000 and 75.0% of LTM CEBITDA (calculated at the time of determination) determined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amounts available under </w:t>
      </w:r>
      <w:r>
        <w:rPr>
          <w:rFonts w:ascii="Arial" w:cs="Arial" w:eastAsia="Arial" w:hAnsi="Arial"/>
          <w:sz w:val="16"/>
          <w:szCs w:val="16"/>
          <w:u w:val="single" w:color="auto"/>
          <w:color w:val="auto"/>
        </w:rPr>
        <w:t>Section 9.4(b)(xv)</w:t>
      </w:r>
      <w:r>
        <w:rPr>
          <w:rFonts w:ascii="Arial" w:cs="Arial" w:eastAsia="Arial" w:hAnsi="Arial"/>
          <w:sz w:val="16"/>
          <w:szCs w:val="16"/>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sum of (A) the aggregate principal amount of Incremental Term Loans or Incremental Revolving Loan Commitments Incurred under clause (c) of the definition of Maximum Incremental Facilities Amount pursuant to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prior to such date and (B) the aggregate principal amount of Indebtedness, Disqualified Stock and Preferred Stock issued or Incurred pursuant to </w:t>
      </w:r>
      <w:r>
        <w:rPr>
          <w:rFonts w:ascii="Arial" w:cs="Arial" w:eastAsia="Arial" w:hAnsi="Arial"/>
          <w:sz w:val="16"/>
          <w:szCs w:val="16"/>
          <w:u w:val="single" w:color="auto"/>
          <w:color w:val="auto"/>
        </w:rPr>
        <w:t>Section 9.4(b)(vi)</w:t>
      </w:r>
      <w:r>
        <w:rPr>
          <w:rFonts w:ascii="Arial" w:cs="Arial" w:eastAsia="Arial" w:hAnsi="Arial"/>
          <w:sz w:val="16"/>
          <w:szCs w:val="16"/>
          <w:color w:val="auto"/>
        </w:rPr>
        <w:t xml:space="preserve"> prior to such date (in each case, without duplication)), which shall be available at all times and not subject to any ratio test.</w:t>
      </w:r>
    </w:p>
    <w:p>
      <w:pPr>
        <w:spacing w:after="0" w:line="182" w:lineRule="exact"/>
        <w:rPr>
          <w:sz w:val="20"/>
          <w:szCs w:val="20"/>
          <w:color w:val="auto"/>
        </w:rPr>
      </w:pPr>
    </w:p>
    <w:p>
      <w:pPr>
        <w:jc w:val="both"/>
        <w:ind w:left="960"/>
        <w:spacing w:after="0" w:line="26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may Incur such Indebtedness under any of clauses (a), (b), (c), (d)(x) or (d)(y) above in such order as it may elect in its sole discretion, (y) if the Borrower intends to Incur Incremental Facilities under clause (a) above, on the one hand, and under clauses (b), (c), (d)(x) or (d)(y) above, on the other hand, in a single transaction or series of substantially simultaneous and related transactions, (I) the Incurrence of the portion of such Incremental Facilities to be incurred under clause (a) above shall first be calculated without giving effect to any portion of such Incremental Facilities to be incurred under clauses (b), (c), (d)(x) or (d)(y) above (but giving pro forma effect to the use of proceeds of all such Incremental Facilities to be Incurred in connection with such transaction or series of substantially simultaneous and related transactions and (II) thereafter, the Incurrence of the portion of such Incremental Facilities to be incurred under clauses (b), (c), (d)(x) or (d)(y) above shall be calculated and (z) any portion of any Incremental Facilities incurred under clauses (b), (c), (d)(x) or (d)(y) above shall be automatically reclassified as Incurred under the applicable ratio test set forth in clause (a) above if at such time such ratio test set forth in clause (a) above would be satisfied on a Pro Forma Basis (after giving effect to such reclassification) on the last day of the most recently ended Test Period.</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20"/>
          </w:cols>
          <w:pgMar w:left="360" w:top="1326" w:right="819" w:bottom="1440" w:gutter="0" w:footer="0" w:header="0"/>
        </w:sectPr>
      </w:pPr>
    </w:p>
    <w:bookmarkStart w:id="127" w:name="page128"/>
    <w:bookmarkEnd w:id="127"/>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Swingline Amount</w:t>
      </w:r>
      <w:r>
        <w:rPr>
          <w:rFonts w:ascii="Arial" w:cs="Arial" w:eastAsia="Arial" w:hAnsi="Arial"/>
          <w:sz w:val="18"/>
          <w:szCs w:val="18"/>
          <w:color w:val="auto"/>
        </w:rPr>
        <w:t>” shall mean $10,000,000.</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Borrowing Amount</w:t>
      </w:r>
      <w:r>
        <w:rPr>
          <w:rFonts w:ascii="Arial" w:cs="Arial" w:eastAsia="Arial" w:hAnsi="Arial"/>
          <w:sz w:val="17"/>
          <w:szCs w:val="17"/>
          <w:color w:val="auto"/>
        </w:rPr>
        <w:t>” shall mean (i) for Revolving Loans, $1,000,000 or, if denominated in Euros, €1,000,000 or,</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if denominated in Pounds Sterling, £1,000,000 or, if denominated in an Alternate Currency (other than Euros or Pounds Sterling),</w:t>
      </w:r>
    </w:p>
    <w:p>
      <w:pPr>
        <w:ind w:left="960"/>
        <w:spacing w:after="0" w:line="238" w:lineRule="auto"/>
        <w:rPr>
          <w:sz w:val="20"/>
          <w:szCs w:val="20"/>
          <w:color w:val="auto"/>
        </w:rPr>
      </w:pPr>
      <w:r>
        <w:rPr>
          <w:rFonts w:ascii="Arial" w:cs="Arial" w:eastAsia="Arial" w:hAnsi="Arial"/>
          <w:sz w:val="18"/>
          <w:szCs w:val="18"/>
          <w:color w:val="auto"/>
        </w:rPr>
        <w:t>the Dollar Equivalent thereof and (ii) for Swingline Loans,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$500,000.</w:t>
      </w:r>
    </w:p>
    <w:p>
      <w:pPr>
        <w:spacing w:after="0" w:line="21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2.16(c)</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shall mean Moody’s Investors Service, Inc.</w:t>
      </w:r>
    </w:p>
    <w:p>
      <w:pPr>
        <w:spacing w:after="0" w:line="295"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 Benefit Plan that is a multiemployer plan as defined in Section 4001(a)(3) of ERISA, which is contributed to by (or to which there is or may be an obligation to contribute of) the Borrower or any Commonly Controlled Entity, and each such plan for the six-year period immediately following the latest date on which the Borrower or any Commonly Controlled Entity contributed to or had an obligation to contribute to such plan.</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NAIC</w:t>
      </w:r>
      <w:r>
        <w:rPr>
          <w:rFonts w:ascii="Arial" w:cs="Arial" w:eastAsia="Arial" w:hAnsi="Arial"/>
          <w:sz w:val="18"/>
          <w:szCs w:val="18"/>
          <w:color w:val="auto"/>
        </w:rPr>
        <w:t>” shall mean the National Association of Insurance Commissioners.</w:t>
      </w:r>
    </w:p>
    <w:p>
      <w:pPr>
        <w:spacing w:after="0" w:line="307" w:lineRule="exact"/>
        <w:rPr>
          <w:sz w:val="20"/>
          <w:szCs w:val="20"/>
          <w:color w:val="auto"/>
        </w:rPr>
      </w:pPr>
    </w:p>
    <w:p>
      <w:pPr>
        <w:jc w:val="both"/>
        <w:ind w:left="960" w:firstLine="602"/>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shall mean (a) in connection with any Asset Sale, any Recovery Event or any other sale of assets, the proceeds thereof actually received in the form of cash and Cash Equivalents (including any such proceeds received by way of deferred payment of principal pursuant to a note or installment receivable or purchase price adjustment receivable or otherwise, but only as and when received), net of (i) attorneys’ fees, accountants’ fees, investment banking fees, and other bona fide fees, costs and expenses incurred in connection therewith, (ii) amounts required to be applied to the repayment of Indebtedness secured by a Lien expressly permitted hereunder on any asset that is the subject of such Asset Sale or Recovery Event or any other sale of assets (other than any Lien pursuant to a Security Document),</w:t>
      </w:r>
    </w:p>
    <w:p>
      <w:pPr>
        <w:spacing w:after="0" w:line="2" w:lineRule="exact"/>
        <w:rPr>
          <w:sz w:val="20"/>
          <w:szCs w:val="20"/>
          <w:color w:val="auto"/>
        </w:rPr>
      </w:pPr>
    </w:p>
    <w:p>
      <w:pPr>
        <w:jc w:val="both"/>
        <w:ind w:left="960" w:right="20" w:firstLine="2"/>
        <w:spacing w:after="0" w:line="246" w:lineRule="auto"/>
        <w:tabs>
          <w:tab w:leader="none" w:pos="131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Taxes paid and the Borrower’s reasonable and good faith estimate of income, franchise, sales, and other applicable Taxes required to be paid by the Borrower or any Restricted Subsidiary of the Borrower in connection with such Asset Sale or Recovery Event or any other sale of assets, (iv) reserves for any liabilities attributable to the seller’s indemnities and representations and warranties to the purchaser in respect of such Asset Sale or any other sale of assets owing by the Borrower or any of its Restricted Subsidiaries in connection therewith (including pension and other post employment benefit liabilities and liabilities related to environmental matters or against any indemnification obligations (fixed or contingent) associated with such transaction) and that are determined by the Borrower in good faith as a reserve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indemnification payments are not made and are no longer reserved for, such reserve amount shall constitute Net Cash Proceeds, (v) cash escrows to the Borrower or any of its Restricted Subsidiaries from the sale price for such Asset Sale or other sale of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cash released from such escrow shall constitute Net Cash Proceeds upon such release,</w:t>
      </w:r>
    </w:p>
    <w:p>
      <w:pPr>
        <w:spacing w:after="0" w:line="3" w:lineRule="exact"/>
        <w:rPr>
          <w:sz w:val="20"/>
          <w:szCs w:val="20"/>
          <w:color w:val="auto"/>
        </w:rPr>
      </w:pPr>
    </w:p>
    <w:p>
      <w:pPr>
        <w:jc w:val="both"/>
        <w:ind w:left="960" w:right="20" w:firstLine="2"/>
        <w:spacing w:after="0" w:line="236" w:lineRule="auto"/>
        <w:tabs>
          <w:tab w:leader="none" w:pos="17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 Recovery Event, costs of preparing assets for transfer upon a taking or condemnation and (vii) other customary fees and expenses actually incurred in connection therewith, and (b) in connection with any incurrence or issuance of Indebtedness, the cash proceeds received from any such issuance or incurrence, net of attorneys’ fees, investment banking fees, accountants’ fees, underwriting discounts and commissions and other bona fide fees and expenses actually incurred in connection therewith.</w:t>
      </w:r>
    </w:p>
    <w:p>
      <w:pPr>
        <w:spacing w:after="0" w:line="208" w:lineRule="exact"/>
        <w:rPr>
          <w:sz w:val="20"/>
          <w:szCs w:val="20"/>
          <w:color w:val="auto"/>
        </w:rPr>
      </w:pPr>
    </w:p>
    <w:p>
      <w:pPr>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shall mean, with respect to any Person, the net income (loss) of such Person, determined on a consolidated basis in accordance with GAAP and before any reduction in respect of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478790</wp:posOffset>
            </wp:positionV>
            <wp:extent cx="326390" cy="182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20"/>
          </w:cols>
          <w:pgMar w:left="360" w:top="1326" w:right="819" w:bottom="1440" w:gutter="0" w:footer="0" w:header="0"/>
        </w:sectPr>
      </w:pPr>
    </w:p>
    <w:bookmarkStart w:id="128" w:name="page129"/>
    <w:bookmarkEnd w:id="128"/>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Loan Commitments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099"/>
          </w:cols>
          <w:pgMar w:left="360" w:top="1264" w:right="1440" w:bottom="1440" w:gutter="0" w:footer="0" w:header="0"/>
        </w:sectPr>
      </w:pPr>
    </w:p>
    <w:bookmarkStart w:id="129" w:name="page130"/>
    <w:bookmarkEnd w:id="129"/>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w:t>
      </w:r>
      <w:r>
        <w:rPr>
          <w:rFonts w:ascii="Arial" w:cs="Arial" w:eastAsia="Arial" w:hAnsi="Arial"/>
          <w:sz w:val="18"/>
          <w:szCs w:val="18"/>
          <w:u w:val="single" w:color="auto"/>
          <w:color w:val="auto"/>
        </w:rPr>
        <w:t>Non-Defaulting Revolving Lender</w:t>
      </w:r>
      <w:r>
        <w:rPr>
          <w:rFonts w:ascii="Arial" w:cs="Arial" w:eastAsia="Arial" w:hAnsi="Arial"/>
          <w:sz w:val="18"/>
          <w:szCs w:val="18"/>
          <w:color w:val="auto"/>
        </w:rPr>
        <w:t>,” “</w:t>
      </w:r>
      <w:r>
        <w:rPr>
          <w:rFonts w:ascii="Arial" w:cs="Arial" w:eastAsia="Arial" w:hAnsi="Arial"/>
          <w:sz w:val="18"/>
          <w:szCs w:val="18"/>
          <w:u w:val="single" w:color="auto"/>
          <w:color w:val="auto"/>
        </w:rPr>
        <w:t>Non-Defaulting Term Lender</w:t>
      </w:r>
      <w:r>
        <w:rPr>
          <w:rFonts w:ascii="Arial" w:cs="Arial" w:eastAsia="Arial" w:hAnsi="Arial"/>
          <w:sz w:val="18"/>
          <w:szCs w:val="18"/>
          <w:color w:val="auto"/>
        </w:rPr>
        <w:t>” and “</w:t>
      </w:r>
      <w:r>
        <w:rPr>
          <w:rFonts w:ascii="Arial" w:cs="Arial" w:eastAsia="Arial" w:hAnsi="Arial"/>
          <w:sz w:val="18"/>
          <w:szCs w:val="18"/>
          <w:u w:val="single" w:color="auto"/>
          <w:color w:val="auto"/>
        </w:rPr>
        <w:t>Non-Defaulting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shall mean and include each Lender, Revolving Lender, Incremental Term Lender or Incremental Revolving Lender, as the case may be, other than a Defaulting Lender.</w:t>
      </w:r>
    </w:p>
    <w:p>
      <w:pPr>
        <w:spacing w:after="0" w:line="198" w:lineRule="exact"/>
        <w:rPr>
          <w:sz w:val="20"/>
          <w:szCs w:val="20"/>
          <w:color w:val="auto"/>
        </w:rPr>
      </w:pPr>
    </w:p>
    <w:p>
      <w:pPr>
        <w:jc w:val="both"/>
        <w:ind w:left="960" w:right="20" w:firstLine="60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Non-Guarantor Debt Cap</w:t>
      </w:r>
      <w:r>
        <w:rPr>
          <w:rFonts w:ascii="Arial" w:cs="Arial" w:eastAsia="Arial" w:hAnsi="Arial"/>
          <w:sz w:val="17"/>
          <w:szCs w:val="17"/>
          <w:color w:val="auto"/>
        </w:rPr>
        <w:t xml:space="preserve">” shall mean an amount equal to the greater of $25,000,000 and 22.5% of LTM CEBITDA (calculated at the time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Indebtedness Incurred or Disqualified Stock or Preferred Stock issued pursuant to </w:t>
      </w:r>
      <w:r>
        <w:rPr>
          <w:rFonts w:ascii="Arial" w:cs="Arial" w:eastAsia="Arial" w:hAnsi="Arial"/>
          <w:sz w:val="17"/>
          <w:szCs w:val="17"/>
          <w:u w:val="single" w:color="auto"/>
          <w:color w:val="auto"/>
        </w:rPr>
        <w:t>Sections 9.4(b)(vi)</w:t>
      </w:r>
      <w:r>
        <w:rPr>
          <w:rFonts w:ascii="Arial" w:cs="Arial" w:eastAsia="Arial" w:hAnsi="Arial"/>
          <w:sz w:val="17"/>
          <w:szCs w:val="17"/>
          <w:color w:val="auto"/>
        </w:rPr>
        <w:t xml:space="preserve"> (solely to the extent Incurred or issued by Restricted Subsidiaries that are not Loan Parties), </w:t>
      </w:r>
      <w:r>
        <w:rPr>
          <w:rFonts w:ascii="Arial" w:cs="Arial" w:eastAsia="Arial" w:hAnsi="Arial"/>
          <w:sz w:val="17"/>
          <w:szCs w:val="17"/>
          <w:u w:val="single" w:color="auto"/>
          <w:color w:val="auto"/>
        </w:rPr>
        <w:t>9.4(b)(v)</w:t>
      </w:r>
      <w:r>
        <w:rPr>
          <w:rFonts w:ascii="Arial" w:cs="Arial" w:eastAsia="Arial" w:hAnsi="Arial"/>
          <w:sz w:val="17"/>
          <w:szCs w:val="17"/>
          <w:color w:val="auto"/>
        </w:rPr>
        <w:t xml:space="preserve">, </w:t>
      </w:r>
      <w:r>
        <w:rPr>
          <w:rFonts w:ascii="Arial" w:cs="Arial" w:eastAsia="Arial" w:hAnsi="Arial"/>
          <w:sz w:val="17"/>
          <w:szCs w:val="17"/>
          <w:u w:val="single" w:color="auto"/>
          <w:color w:val="auto"/>
        </w:rPr>
        <w:t>9.4(b)(xxi)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9.4(b)(xxii)</w:t>
      </w:r>
      <w:r>
        <w:rPr>
          <w:rFonts w:ascii="Arial" w:cs="Arial" w:eastAsia="Arial" w:hAnsi="Arial"/>
          <w:sz w:val="17"/>
          <w:szCs w:val="17"/>
          <w:color w:val="auto"/>
        </w:rPr>
        <w:t>) (and any Refinancing Indebtedness in respect thereof)) shall not exceed the greater of $35,000,000 and 30.0% of LTM CEBITDA (calculated at the time of determination).</w:t>
      </w:r>
    </w:p>
    <w:p>
      <w:pPr>
        <w:spacing w:after="0" w:line="178" w:lineRule="exact"/>
        <w:rPr>
          <w:sz w:val="20"/>
          <w:szCs w:val="20"/>
          <w:color w:val="auto"/>
        </w:rPr>
      </w:pPr>
    </w:p>
    <w:p>
      <w:pPr>
        <w:jc w:val="both"/>
        <w:ind w:left="960" w:right="20" w:firstLine="6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xml:space="preserve">” shall mean any Excluded Subsidiary and any Restricted Subsidiary of the Borrower that is an Immaterial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Non-Guarantor Subsidiary shall cease to be a Non-Guarantor Subsidiary at the time such Subsidiary is no longer an Excluded Subsidiary or a Restricted Subsidiary that is an Immaterial Subsidiary,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the Borrower may in its sole discretion designate any Restricted Subsidiary as a Subsidiary Guarantor.</w:t>
      </w:r>
    </w:p>
    <w:p>
      <w:pPr>
        <w:spacing w:after="0" w:line="206" w:lineRule="exact"/>
        <w:rPr>
          <w:sz w:val="20"/>
          <w:szCs w:val="20"/>
          <w:color w:val="auto"/>
        </w:rPr>
      </w:pPr>
    </w:p>
    <w:p>
      <w:pPr>
        <w:jc w:val="both"/>
        <w:ind w:left="96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Plan</w:t>
      </w:r>
      <w:r>
        <w:rPr>
          <w:rFonts w:ascii="Arial" w:cs="Arial" w:eastAsia="Arial" w:hAnsi="Arial"/>
          <w:sz w:val="18"/>
          <w:szCs w:val="18"/>
          <w:color w:val="auto"/>
        </w:rPr>
        <w:t>” shall mean any plan, fund (including, without limitation, any superannuation fund) or other similar program (other than any government-sponsored plan, including any state-governed social security arrangements or statutory supplemental pension arrangements) established (regardless of whether through direct contributions or through employee withholding) or maintained outside the United States by the Borrower or one or more Restricted Subsidiaries primarily for the benefit of employees of the Borrower or such Restricted Subsidiaries residing outside the United States, which plan, fund or other similar program provides, or results in, retirement income, a deferral of income in contemplation of retirement or payments to be made upon termination of employment.</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shall mean each Revolving Note and the Swingline Note.</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w:t>
      </w:r>
    </w:p>
    <w:p>
      <w:pPr>
        <w:spacing w:after="0" w:line="18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2.7(c)</w:t>
      </w:r>
      <w:r>
        <w:rPr>
          <w:rFonts w:ascii="Arial" w:cs="Arial" w:eastAsia="Arial" w:hAnsi="Arial"/>
          <w:sz w:val="18"/>
          <w:szCs w:val="18"/>
          <w:color w:val="auto"/>
        </w:rPr>
        <w:t>.</w:t>
      </w:r>
    </w:p>
    <w:p>
      <w:pPr>
        <w:spacing w:after="0" w:line="307" w:lineRule="exact"/>
        <w:rPr>
          <w:sz w:val="20"/>
          <w:szCs w:val="20"/>
          <w:color w:val="auto"/>
        </w:rPr>
      </w:pPr>
    </w:p>
    <w:p>
      <w:pPr>
        <w:jc w:val="both"/>
        <w:ind w:left="960" w:right="2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Intent to Cure</w:t>
      </w:r>
      <w:r>
        <w:rPr>
          <w:rFonts w:ascii="Arial" w:cs="Arial" w:eastAsia="Arial" w:hAnsi="Arial"/>
          <w:sz w:val="17"/>
          <w:szCs w:val="17"/>
          <w:color w:val="auto"/>
        </w:rPr>
        <w:t xml:space="preserve">” shall mean a certificate of an Authorized Officer of the Borrower delivered to the Administrative Agent, with respect to any fiscal quarter for which a cure right will be exercised, which certificate shall contain a computation of the applicable Event of Default and notice of intent to cure such Event of Default in accordance with </w:t>
      </w:r>
      <w:r>
        <w:rPr>
          <w:rFonts w:ascii="Arial" w:cs="Arial" w:eastAsia="Arial" w:hAnsi="Arial"/>
          <w:sz w:val="17"/>
          <w:szCs w:val="17"/>
          <w:u w:val="single" w:color="auto"/>
          <w:color w:val="auto"/>
        </w:rPr>
        <w:t>Section 11.3(a)</w:t>
      </w:r>
      <w:r>
        <w:rPr>
          <w:rFonts w:ascii="Arial" w:cs="Arial" w:eastAsia="Arial" w:hAnsi="Arial"/>
          <w:sz w:val="17"/>
          <w:szCs w:val="17"/>
          <w:color w:val="auto"/>
        </w:rPr>
        <w:t>.</w:t>
      </w:r>
    </w:p>
    <w:p>
      <w:pPr>
        <w:spacing w:after="0" w:line="246" w:lineRule="exact"/>
        <w:rPr>
          <w:sz w:val="20"/>
          <w:szCs w:val="20"/>
          <w:color w:val="auto"/>
        </w:rPr>
      </w:pPr>
    </w:p>
    <w:p>
      <w:pPr>
        <w:jc w:val="both"/>
        <w:ind w:left="960" w:right="2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Office</w:t>
      </w:r>
      <w:r>
        <w:rPr>
          <w:rFonts w:ascii="Arial" w:cs="Arial" w:eastAsia="Arial" w:hAnsi="Arial"/>
          <w:sz w:val="17"/>
          <w:szCs w:val="17"/>
          <w:color w:val="auto"/>
        </w:rPr>
        <w:t>” shall mean the office of the Administrative Agent located at 10 South Dearborn, Floor L2, Chicago, IL 60603, Attn: Omolola Eneh, telephone: (312) 954 – 1007, fax: (844) 490 - 5663, email: Jpm.agency.cri@jpmorgan.com, or such other office or person as the Administrative Agent may hereafter designate in writing as such to the other parties hereto. In the case of Letters of Credit, a copy of any notice shall also be sent to 10 South Dearborn, Floor L2, Chicago, IL 60603, Attn: Omolola Eneh, telephone: (312) 954 – 1007, fax: (214)307-6874, email: chicago.lc.agency.activity.team@jpmchase.com, or such other office or person as the Administrative Agent may hereafter designate in writing as such to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20"/>
          </w:cols>
          <w:pgMar w:left="360" w:top="1326" w:right="819" w:bottom="1440" w:gutter="0" w:footer="0" w:header="0"/>
        </w:sectPr>
      </w:pPr>
    </w:p>
    <w:bookmarkStart w:id="130" w:name="page131"/>
    <w:bookmarkEnd w:id="130"/>
    <w:p>
      <w:pPr>
        <w:jc w:val="both"/>
        <w:ind w:left="960" w:right="2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New York City time, on such day to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of the aforesaid rates shall be less than zero, then such rate shall be deemed to be zero for all purposes of this Agreement.</w:t>
      </w:r>
    </w:p>
    <w:p>
      <w:pPr>
        <w:spacing w:after="0" w:line="19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 Currency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13.19(a)</w:t>
      </w:r>
      <w:r>
        <w:rPr>
          <w:rFonts w:ascii="Arial" w:cs="Arial" w:eastAsia="Arial" w:hAnsi="Arial"/>
          <w:sz w:val="18"/>
          <w:szCs w:val="18"/>
          <w:color w:val="auto"/>
        </w:rPr>
        <w:t>.</w:t>
      </w:r>
    </w:p>
    <w:p>
      <w:pPr>
        <w:spacing w:after="0" w:line="295"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shall mean the unpaid principal of and interest on (including interest accruing after the maturity of the Loans or the maturity of Cash Management Obligations or Specified Swap Agreements and interest accruing after the filing of any petition in bankruptcy or examinership, or the commencement of any insolvency, reorganization, examinership or like proceeding, relating to the Borrower or any Guarantor, whether or not a claim for post-filing or post-petition interest is allowed in such proceeding) the Loans, all obligations (including reimbursement obligations) in respect of Letters of Credit, and all other obligations and liabilities of the Borrower or any other Loan Party (including with respect to guarantees) to the Administrative Agent, any Lender, any other Secured Party or any party to a Specified Swap Agreement or a party providing Cash Management Obligations, whether direct or indirect, absolute or contingent, due or to become due, or now existing or hereafter incurred, which may arise under, out of, or in connection with, this Agreement or any other Loan Document or any other document made, delivered or given in connection herewith or therewith or any Specified Swap Agreement or any document relating to Cash Management Obligations, whether on account of principal, interest, reimbursement obligations, fees, indemnities, costs, expenses (including all fees, charges and disbursements of counsel to the Administrative Agent or to any Lender that are required to be paid by the Borrower or any Guarantor pursuant to any Loan Document and all fees and expenses accruing after the filing of any petition in bankruptcy, examinership or the commencement of any insolvency, examinership, reorganization or like proceeding, relating to the Borrower or any Guarantor, whether or not a claim for post-filing or post-petition fees or expenses is allowed in such proceeding), guarantee obligations or otherwise (but excluding, with respect to any Guarantor, Excluded Swap Obligations with respect to such Guarantor).</w:t>
      </w:r>
    </w:p>
    <w:p>
      <w:pPr>
        <w:spacing w:after="0" w:line="186"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w:t>
      </w:r>
      <w:r>
        <w:rPr>
          <w:rFonts w:ascii="Arial" w:cs="Arial" w:eastAsia="Arial" w:hAnsi="Arial"/>
          <w:sz w:val="18"/>
          <w:szCs w:val="18"/>
          <w:color w:val="auto"/>
        </w:rPr>
        <w:t>” shall mean (i) relative to each Person that is a corporation, its charter and its by-laws (or similar documents), (ii) relative to each Person that is a limited liability company, its certificate of formation and its operating agreement (or similar documents), (iii) relative to each Person that is a limited partnership, its certificate of formation and its limited partnership agreement (or similar documents), (iv) relative to each Person that is a general partnership, its partnership agreement (or similar document) and (v) relative to any Person that is any other type of entity, such documents as shall be comparable to the foregoing.</w:t>
      </w:r>
    </w:p>
    <w:p>
      <w:pPr>
        <w:spacing w:after="0" w:line="205" w:lineRule="exact"/>
        <w:rPr>
          <w:sz w:val="20"/>
          <w:szCs w:val="20"/>
          <w:color w:val="auto"/>
        </w:rPr>
      </w:pPr>
    </w:p>
    <w:p>
      <w:pPr>
        <w:jc w:val="both"/>
        <w:ind w:left="960" w:right="20" w:firstLine="60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shall mean one or more Classes of revolving credit commitments hereunder or extended Revolving Loan Commitments hereunder that result from a Refinancing Amendment.</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shall mean the Revolving Loans made pursuant to any Other Revolving Commitment.</w:t>
      </w:r>
    </w:p>
    <w:p>
      <w:pPr>
        <w:spacing w:after="0" w:line="232"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shall mean all present or future stamp or documentary, intangible, recording, filing or similar excise or property Taxes arising from any payment made under any Loan Document or from the execution, delivery or enforcement of, or otherwise with respect to, any Loan Document, except to the extent any such Taxes are (i) imposed as a result of an assignment by a Lender (other than an assignment pursuant to the Borrower’s request under Section 2.14, an “</w:t>
      </w:r>
      <w:r>
        <w:rPr>
          <w:rFonts w:ascii="Arial" w:cs="Arial" w:eastAsia="Arial" w:hAnsi="Arial"/>
          <w:sz w:val="18"/>
          <w:szCs w:val="18"/>
          <w:u w:val="single" w:color="auto"/>
          <w:color w:val="auto"/>
        </w:rPr>
        <w:t>Assignment Tax</w:t>
      </w:r>
      <w:r>
        <w:rPr>
          <w:rFonts w:ascii="Arial" w:cs="Arial" w:eastAsia="Arial" w:hAnsi="Arial"/>
          <w:sz w:val="18"/>
          <w:szCs w:val="18"/>
          <w:color w:val="auto"/>
        </w:rPr>
        <w:t>”) if such Assignment Tax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0"/>
          </w:cols>
          <w:pgMar w:left="360" w:top="1326" w:right="819" w:bottom="1440" w:gutter="0" w:footer="0" w:header="0"/>
        </w:sectPr>
      </w:pPr>
    </w:p>
    <w:bookmarkStart w:id="131" w:name="page132"/>
    <w:bookmarkEnd w:id="131"/>
    <w:p>
      <w:pPr>
        <w:jc w:val="both"/>
        <w:ind w:left="960"/>
        <w:spacing w:after="0" w:line="242" w:lineRule="auto"/>
        <w:rPr>
          <w:sz w:val="20"/>
          <w:szCs w:val="20"/>
          <w:color w:val="auto"/>
        </w:rPr>
      </w:pPr>
      <w:r>
        <w:rPr>
          <w:rFonts w:ascii="Arial" w:cs="Arial" w:eastAsia="Arial" w:hAnsi="Arial"/>
          <w:sz w:val="18"/>
          <w:szCs w:val="18"/>
          <w:color w:val="auto"/>
        </w:rPr>
        <w:t>imposed as a result of any present or former connection between the assignor or assignee and the jurisdiction imposing such Assignment Tax (other than any connection arising from such recipient having executed, delivered, become a party to, performed its obligations under, received payments under, received or perfected a security interest under, engaged in any other transaction pursuant to, or enforced, any Loan Documents), or (ii) Excluded Taxes.</w:t>
      </w:r>
    </w:p>
    <w:p>
      <w:pPr>
        <w:spacing w:after="0" w:line="20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Commitments</w:t>
      </w:r>
      <w:r>
        <w:rPr>
          <w:rFonts w:ascii="Arial" w:cs="Arial" w:eastAsia="Arial" w:hAnsi="Arial"/>
          <w:sz w:val="18"/>
          <w:szCs w:val="18"/>
          <w:color w:val="auto"/>
        </w:rPr>
        <w:t>” shall mean one or more Classes of term loan commitments hereunder that result from a Refinancing Amendment.</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Loans</w:t>
      </w:r>
      <w:r>
        <w:rPr>
          <w:rFonts w:ascii="Arial" w:cs="Arial" w:eastAsia="Arial" w:hAnsi="Arial"/>
          <w:sz w:val="18"/>
          <w:szCs w:val="18"/>
          <w:color w:val="auto"/>
        </w:rPr>
        <w:t>” shall mean one or more Classes of Term Loans that result from a Refinancing Amendment.</w:t>
      </w:r>
    </w:p>
    <w:p>
      <w:pPr>
        <w:spacing w:after="0" w:line="232" w:lineRule="exact"/>
        <w:rPr>
          <w:sz w:val="20"/>
          <w:szCs w:val="20"/>
          <w:color w:val="auto"/>
        </w:rPr>
      </w:pPr>
    </w:p>
    <w:p>
      <w:pPr>
        <w:jc w:val="both"/>
        <w:ind w:left="960" w:right="20" w:firstLine="602"/>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means, for any date, the rate comprised of both overnight federal funds and overnight Eurodollar borrowings by U.S.-managed banking offices of depositary institutions, as such composite rate shall be determined by the New York Federal Reserve Bank as set forth on its website at http://www.newyorkfed.org or any successor source from time to time, and published on the next succeeding Business Day by the New York Federal Reserve Bank as an overnight bank funding rate.</w:t>
      </w:r>
    </w:p>
    <w:p>
      <w:pPr>
        <w:spacing w:after="0" w:line="173" w:lineRule="exact"/>
        <w:rPr>
          <w:sz w:val="20"/>
          <w:szCs w:val="20"/>
          <w:color w:val="auto"/>
        </w:rPr>
      </w:pPr>
    </w:p>
    <w:p>
      <w:pPr>
        <w:jc w:val="both"/>
        <w:ind w:left="960" w:firstLine="601"/>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xml:space="preserve">” shall mean, for any day, (a) with respect to any amount denominated in Dollars, the greater of (i) the Federal Funds Rate and (ii) an overnight rate determined by the Administrative Agent, the applicable Issuing Lender or the Swingline Lender, as the case may be, in accordance with banking industry rules on interbank compensation, and (b) with respect to any amount denominated in an Alternate Currency, the rate of interest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at which overnight deposits in the applicable Alternate Currency, in an amount approximately equal to the amount with respect to which such rate is being determined, would be offered for such day by a branch or Affiliate of JPMorgan Chase Bank, N.A. in the applicable offshore interbank market for such currency to major banks in such interbank market.</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13.4(b)(i)</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13.4(b)(i)</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shall mean each state as described in any EMU Legislation.</w:t>
      </w:r>
    </w:p>
    <w:p>
      <w:pPr>
        <w:spacing w:after="0" w:line="307" w:lineRule="exact"/>
        <w:rPr>
          <w:sz w:val="20"/>
          <w:szCs w:val="20"/>
          <w:color w:val="auto"/>
        </w:rPr>
      </w:pPr>
    </w:p>
    <w:p>
      <w:pPr>
        <w:ind w:left="960" w:right="44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shall mean the USA PATRIOT Improvement and Reauthorization Act, Pub. L. 109- 177 (signed into law March 9, 2009) (as amended from time to time).</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shall have the meaning set forth in Section 12.17(a).</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shall have the meaning set forth in Section 12.17(a).</w:t>
      </w:r>
    </w:p>
    <w:p>
      <w:pPr>
        <w:spacing w:after="0" w:line="295" w:lineRule="exact"/>
        <w:rPr>
          <w:sz w:val="20"/>
          <w:szCs w:val="20"/>
          <w:color w:val="auto"/>
        </w:rPr>
      </w:pPr>
    </w:p>
    <w:p>
      <w:pPr>
        <w:jc w:val="both"/>
        <w:ind w:left="960" w:right="20" w:firstLine="60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Office</w:t>
      </w:r>
      <w:r>
        <w:rPr>
          <w:rFonts w:ascii="Arial" w:cs="Arial" w:eastAsia="Arial" w:hAnsi="Arial"/>
          <w:sz w:val="17"/>
          <w:szCs w:val="17"/>
          <w:color w:val="auto"/>
        </w:rPr>
        <w:t>” shall mean the office of the Administrative Agent located at 10 South Dearborn, Floor L2, Chicago, IL 60603, Attn: Omolola Eneh, telephone: (312) 954 – 1007, fax: (844) 490 - 5663, email: Jpm.agency.cri@jpmorgan.com, or such other office as the Administrative Agent may hereafter designate in writing as such to the other parties hereto. In the case of Alternate Currency Loans and Letters of Credit denominated in an Alternate Currency, a copy of any notice shall also be sent to 10 South Dearborn, Floor L2, Chicago, IL 60603, Attn: Omolola Eneh, telephone: (312) 954 – 1007, fax: (214)307- 6874, email: chicago.lc.agency.activity.team@jpmchase.com, or such other office or person as the Administrative Agent may hereafter designate in writing as such to the other parties hereto.</w:t>
      </w:r>
    </w:p>
    <w:p>
      <w:pPr>
        <w:spacing w:after="0" w:line="194"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established pursuant to Subtitle A of Title IV of ERISA (or any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20"/>
          </w:cols>
          <w:pgMar w:left="360" w:top="1326" w:right="819" w:bottom="1440" w:gutter="0" w:footer="0" w:header="0"/>
        </w:sectPr>
      </w:pPr>
    </w:p>
    <w:bookmarkStart w:id="132" w:name="page133"/>
    <w:bookmarkEnd w:id="132"/>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shall have the meaning set forth in the definition of “Permitted Investments.”</w:t>
      </w:r>
    </w:p>
    <w:p>
      <w:pPr>
        <w:spacing w:after="0" w:line="232"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Amendment</w:t>
      </w:r>
      <w:r>
        <w:rPr>
          <w:rFonts w:ascii="Arial" w:cs="Arial" w:eastAsia="Arial" w:hAnsi="Arial"/>
          <w:sz w:val="18"/>
          <w:szCs w:val="18"/>
          <w:color w:val="auto"/>
        </w:rPr>
        <w:t xml:space="preserve">” shall mean an amendment to this Agreement and the other Loan Documents, effected in connection with a Loan Modification Offer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providing for an extension of the Maturity Date applicable to the Loans or Commitments of the Accepting Lenders and, in connection therewith, at the Borrower’s option, (a) a decrease or increase in the Applicable Margin with respect to the Loans or Commitments of the Accepting Lenders or (b) a decrease or increase in the fees payable to, or the inclusion of new fees to be payable to, the Accepting Lenders.</w:t>
      </w:r>
    </w:p>
    <w:p>
      <w:pPr>
        <w:spacing w:after="0" w:line="194" w:lineRule="exact"/>
        <w:rPr>
          <w:sz w:val="20"/>
          <w:szCs w:val="20"/>
          <w:color w:val="auto"/>
        </w:rPr>
      </w:pPr>
    </w:p>
    <w:p>
      <w:pPr>
        <w:jc w:val="both"/>
        <w:ind w:left="960" w:right="20" w:firstLine="602"/>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Asset Swap</w:t>
      </w:r>
      <w:r>
        <w:rPr>
          <w:rFonts w:ascii="Arial" w:cs="Arial" w:eastAsia="Arial" w:hAnsi="Arial"/>
          <w:sz w:val="16"/>
          <w:szCs w:val="16"/>
          <w:color w:val="auto"/>
        </w:rPr>
        <w:t>” shall mean the concurrent purchase and sale or exchange of Replacement Assets or a combination of Replacement Assets and cash or Cash Equivalents between the Borrower or any of its Restricted Subsidiaries and another Person.</w:t>
      </w:r>
    </w:p>
    <w:p>
      <w:pPr>
        <w:spacing w:after="0" w:line="140" w:lineRule="exact"/>
        <w:rPr>
          <w:sz w:val="20"/>
          <w:szCs w:val="20"/>
          <w:color w:val="auto"/>
        </w:rPr>
      </w:pPr>
    </w:p>
    <w:p>
      <w:pPr>
        <w:jc w:val="both"/>
        <w:ind w:left="96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Earlier Maturity Indebtedness Exception</w:t>
      </w:r>
      <w:r>
        <w:rPr>
          <w:rFonts w:ascii="Arial" w:cs="Arial" w:eastAsia="Arial" w:hAnsi="Arial"/>
          <w:sz w:val="17"/>
          <w:szCs w:val="17"/>
          <w:color w:val="auto"/>
        </w:rPr>
        <w:t xml:space="preserve">” shall mean, with respect to any Incremental Facility, Credit Agreement Refinancing Debt and Indebtedness incurred pursuant to </w:t>
      </w:r>
      <w:r>
        <w:rPr>
          <w:rFonts w:ascii="Arial" w:cs="Arial" w:eastAsia="Arial" w:hAnsi="Arial"/>
          <w:sz w:val="17"/>
          <w:szCs w:val="17"/>
          <w:u w:val="single" w:color="auto"/>
          <w:color w:val="auto"/>
        </w:rPr>
        <w:t>Section 9.4(b)(vi)</w:t>
      </w:r>
      <w:r>
        <w:rPr>
          <w:rFonts w:ascii="Arial" w:cs="Arial" w:eastAsia="Arial" w:hAnsi="Arial"/>
          <w:sz w:val="17"/>
          <w:szCs w:val="17"/>
          <w:color w:val="auto"/>
        </w:rPr>
        <w:t>, that up to the greater of $60,000,000 and 50.0% of LTM EBITDA (calculated at the time of determination) of such Indebtedness, in the aggregate, may have (x) a maturity date that is earlier than, and (y) a Weighted Average Life to Maturity that is shorter than, the Latest Maturity Date.</w:t>
      </w:r>
    </w:p>
    <w:p>
      <w:pPr>
        <w:spacing w:after="0" w:line="187"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shall mean, individually or collectively, (a) the Sponsors, (b) the Management Stockholders and (c) any Person or entity with which one or more of the Sponsors and the Management Stockholders form a “group” (within the meaning of Rules 13(d)(3) (other than sub-section (b) of Rule 13(d)(3)) and 13(d)(5) under the Securities Exchange Act), so long as, in the case of this clause (c), one or more Sponsors Beneficially Own more than 50.0% of the voting stock Beneficially Owned by such group.</w:t>
      </w:r>
    </w:p>
    <w:p>
      <w:pPr>
        <w:spacing w:after="0" w:line="19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shall mean:</w:t>
      </w:r>
    </w:p>
    <w:p>
      <w:pPr>
        <w:spacing w:after="0" w:line="295" w:lineRule="exact"/>
        <w:rPr>
          <w:sz w:val="20"/>
          <w:szCs w:val="20"/>
          <w:color w:val="auto"/>
        </w:rPr>
      </w:pPr>
    </w:p>
    <w:p>
      <w:pPr>
        <w:ind w:left="2960" w:hanging="794"/>
        <w:spacing w:after="0"/>
        <w:tabs>
          <w:tab w:leader="none" w:pos="2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Investment by the Borrower or any Restricted Subsidiary in the Borrower or any other Restricted</w:t>
      </w:r>
    </w:p>
    <w:p>
      <w:pPr>
        <w:spacing w:after="0" w:line="21"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5" w:lineRule="exact"/>
        <w:rPr>
          <w:rFonts w:ascii="Arial" w:cs="Arial" w:eastAsia="Arial" w:hAnsi="Arial"/>
          <w:sz w:val="17"/>
          <w:szCs w:val="17"/>
          <w:color w:val="auto"/>
        </w:rPr>
      </w:pPr>
    </w:p>
    <w:p>
      <w:pPr>
        <w:ind w:left="2760" w:hanging="594"/>
        <w:spacing w:after="0"/>
        <w:tabs>
          <w:tab w:leader="none" w:pos="2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231" w:lineRule="exact"/>
        <w:rPr>
          <w:rFonts w:ascii="Arial" w:cs="Arial" w:eastAsia="Arial" w:hAnsi="Arial"/>
          <w:sz w:val="18"/>
          <w:szCs w:val="18"/>
          <w:color w:val="auto"/>
        </w:rPr>
      </w:pPr>
    </w:p>
    <w:p>
      <w:pPr>
        <w:jc w:val="both"/>
        <w:ind w:left="1560" w:right="20" w:firstLine="606"/>
        <w:spacing w:after="0" w:line="237" w:lineRule="auto"/>
        <w:tabs>
          <w:tab w:leader="none" w:pos="2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any Investment in a Person if, as a result of such Investment, (i) such Person becomes a Restricted Subsidiary or (ii) such Person, in one transaction or a series of related transactions, is merged or consolidated or amalgamated with or into, or transfers or conveys substantially all of its assets to, or is liquidated into, the Borrower or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this clause (c), (I) no Event of Default shall have occurred and be continuing or would otherwise result from such Investment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in respect of a Limited Condition Transaction) and (II) the Borrower or such Restricted Subsidiary, as applicable, shall take, and shall cause such Person to take, all actions required under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in connection therewith (any such Investment under this clause (c) being, a “</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jc w:val="both"/>
        <w:ind w:left="1560" w:right="20" w:firstLine="606"/>
        <w:spacing w:after="0" w:line="283" w:lineRule="auto"/>
        <w:tabs>
          <w:tab w:leader="none" w:pos="29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Investments of any Person existing at the time such Person becomes a Restricted Subsidiary or consolidates or merges with the Borrower or any Restricted Subsidiary (including in connection with a Permitted Acquisition) so long as such Investments were not made in contemplation of such Person becoming a Restricted Subsidiary or of such consolidation or merger, and any modification, replacement, renewal, reinvestment or extension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327660</wp:posOffset>
            </wp:positionV>
            <wp:extent cx="326390" cy="182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360" w:top="1326" w:right="819" w:bottom="1440" w:gutter="0" w:footer="0" w:header="0"/>
        </w:sectPr>
      </w:pPr>
    </w:p>
    <w:bookmarkStart w:id="133" w:name="page134"/>
    <w:bookmarkEnd w:id="133"/>
    <w:p>
      <w:pPr>
        <w:jc w:val="both"/>
        <w:ind w:left="1560" w:right="20" w:firstLine="606"/>
        <w:spacing w:after="0" w:line="248" w:lineRule="auto"/>
        <w:tabs>
          <w:tab w:leader="none" w:pos="29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any Investment in securities or other assets, including earn-outs, not constituting cash or Cash Equivalents and received in connection with an Asset Sale made pursuant to the provisions of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any other disposition of assets not constituting an Asset Sale;</w:t>
      </w:r>
    </w:p>
    <w:p>
      <w:pPr>
        <w:spacing w:after="0" w:line="274" w:lineRule="exact"/>
        <w:rPr>
          <w:sz w:val="20"/>
          <w:szCs w:val="20"/>
          <w:color w:val="auto"/>
        </w:rPr>
      </w:pPr>
    </w:p>
    <w:p>
      <w:pPr>
        <w:jc w:val="both"/>
        <w:ind w:left="1560" w:firstLine="602"/>
        <w:spacing w:after="0"/>
        <w:rPr>
          <w:sz w:val="20"/>
          <w:szCs w:val="20"/>
          <w:color w:val="auto"/>
        </w:rPr>
      </w:pPr>
      <w:r>
        <w:rPr>
          <w:rFonts w:ascii="Arial" w:cs="Arial" w:eastAsia="Arial" w:hAnsi="Arial"/>
          <w:sz w:val="18"/>
          <w:szCs w:val="18"/>
          <w:color w:val="auto"/>
        </w:rPr>
        <w:t xml:space="preserve">(f)Investments in existence, contemplated, or made pursuant to binding commitments in effect on the Closing Date and described on </w:t>
      </w:r>
      <w:r>
        <w:rPr>
          <w:rFonts w:ascii="Arial" w:cs="Arial" w:eastAsia="Arial" w:hAnsi="Arial"/>
          <w:sz w:val="18"/>
          <w:szCs w:val="18"/>
          <w:u w:val="single" w:color="auto"/>
          <w:color w:val="auto"/>
        </w:rPr>
        <w:t>Schedule 1.1(f)</w:t>
      </w:r>
      <w:r>
        <w:rPr>
          <w:rFonts w:ascii="Arial" w:cs="Arial" w:eastAsia="Arial" w:hAnsi="Arial"/>
          <w:sz w:val="18"/>
          <w:szCs w:val="18"/>
          <w:color w:val="auto"/>
        </w:rPr>
        <w:t>; and any modification, replacement, renewal, reinvestment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as otherwise permitted by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this definition of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 shall be required to be described on </w:t>
      </w:r>
      <w:r>
        <w:rPr>
          <w:rFonts w:ascii="Arial" w:cs="Arial" w:eastAsia="Arial" w:hAnsi="Arial"/>
          <w:sz w:val="18"/>
          <w:szCs w:val="18"/>
          <w:u w:val="single" w:color="auto"/>
          <w:color w:val="auto"/>
        </w:rPr>
        <w:t>Schedule 1.1(f)</w:t>
      </w:r>
      <w:r>
        <w:rPr>
          <w:rFonts w:ascii="Arial" w:cs="Arial" w:eastAsia="Arial" w:hAnsi="Arial"/>
          <w:sz w:val="18"/>
          <w:szCs w:val="18"/>
          <w:color w:val="auto"/>
        </w:rPr>
        <w:t xml:space="preserve"> only to the extent that such Investment exceeds $5,000,000;</w:t>
      </w:r>
    </w:p>
    <w:p>
      <w:pPr>
        <w:spacing w:after="0" w:line="269" w:lineRule="exact"/>
        <w:rPr>
          <w:sz w:val="20"/>
          <w:szCs w:val="20"/>
          <w:color w:val="auto"/>
        </w:rPr>
      </w:pPr>
    </w:p>
    <w:p>
      <w:pPr>
        <w:jc w:val="both"/>
        <w:ind w:left="1560" w:right="20" w:firstLine="606"/>
        <w:spacing w:after="0" w:line="236" w:lineRule="auto"/>
        <w:tabs>
          <w:tab w:leader="none" w:pos="29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Investment acquired in compromise of, or in respect of, obligations of, claims against or dispute with, any Person (other than the Borrower or any Restricted Subsidiary or any Affiliate thereof), including, but not limited to (i) in exchange for any other Investment or accounts receivable in connection with or as a result of a bankruptcy, workout, reorganization or recapitalization of the issuer of such other Investment or accounts receivable, (ii) as a result of a foreclosure with respect to any secured Investment or other transfer of title with respect to any secured Investment in default, (iii) in satisfaction of judgments or in settlements of debt or compromises of obligations incurred in the ordinary course of business or (iv) in compromise or resolution of (A) obligations of trade creditors or customers that were incurred in the ordinary course of business of the Borrower or any Restricted Subsidiary or (B) litigation, arbitration or other disputes;</w:t>
      </w:r>
    </w:p>
    <w:p>
      <w:pPr>
        <w:spacing w:after="0" w:line="199" w:lineRule="exact"/>
        <w:rPr>
          <w:rFonts w:ascii="Arial" w:cs="Arial" w:eastAsia="Arial" w:hAnsi="Arial"/>
          <w:sz w:val="18"/>
          <w:szCs w:val="18"/>
          <w:color w:val="auto"/>
        </w:rPr>
      </w:pPr>
    </w:p>
    <w:p>
      <w:pPr>
        <w:ind w:left="2760" w:hanging="595"/>
        <w:spacing w:after="0"/>
        <w:tabs>
          <w:tab w:leader="none" w:pos="2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Investments consisting of Swap Agreements permitted under </w:t>
      </w:r>
      <w:r>
        <w:rPr>
          <w:rFonts w:ascii="Arial" w:cs="Arial" w:eastAsia="Arial" w:hAnsi="Arial"/>
          <w:sz w:val="18"/>
          <w:szCs w:val="18"/>
          <w:u w:val="single" w:color="auto"/>
          <w:color w:val="auto"/>
        </w:rPr>
        <w:t>Section 9.4(b)(xiii)</w:t>
      </w:r>
      <w:r>
        <w:rPr>
          <w:rFonts w:ascii="Arial" w:cs="Arial" w:eastAsia="Arial" w:hAnsi="Arial"/>
          <w:sz w:val="18"/>
          <w:szCs w:val="18"/>
          <w:color w:val="auto"/>
        </w:rPr>
        <w:t>;</w:t>
      </w:r>
    </w:p>
    <w:p>
      <w:pPr>
        <w:spacing w:after="0" w:line="294" w:lineRule="exact"/>
        <w:rPr>
          <w:rFonts w:ascii="Arial" w:cs="Arial" w:eastAsia="Arial" w:hAnsi="Arial"/>
          <w:sz w:val="18"/>
          <w:szCs w:val="18"/>
          <w:color w:val="auto"/>
        </w:rPr>
      </w:pPr>
    </w:p>
    <w:p>
      <w:pPr>
        <w:jc w:val="both"/>
        <w:ind w:left="1560" w:right="20" w:firstLine="606"/>
        <w:spacing w:after="0" w:line="242" w:lineRule="auto"/>
        <w:tabs>
          <w:tab w:leader="none" w:pos="2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Investments made with the Net Cash Proceeds of, or the payment for which consists of, Equity Interests (exclusive of Disqualified Stock and Specified Equity Contributions) of the Borrower, or any of its direct or indirect parent companies;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cash proceeds or such Equity Interests, as the case may be, will not increase the amount available for Restricted Payments under </w:t>
      </w:r>
      <w:r>
        <w:rPr>
          <w:rFonts w:ascii="Arial" w:cs="Arial" w:eastAsia="Arial" w:hAnsi="Arial"/>
          <w:sz w:val="18"/>
          <w:szCs w:val="18"/>
          <w:u w:val="single" w:color="auto"/>
          <w:color w:val="auto"/>
        </w:rPr>
        <w:t>Section 9.2(a)(v)(C)(2)</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1560" w:right="20" w:firstLine="606"/>
        <w:spacing w:after="0" w:line="248" w:lineRule="auto"/>
        <w:tabs>
          <w:tab w:leader="none" w:pos="2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performance guarantees and Contingent Obligations incurred in the ordinary course of business or consistent with past practice and the creation of Liens on the assets of the Borrower or any Restricted Subsidiary in compliance with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261" w:lineRule="exact"/>
        <w:rPr>
          <w:rFonts w:ascii="Arial" w:cs="Arial" w:eastAsia="Arial" w:hAnsi="Arial"/>
          <w:sz w:val="18"/>
          <w:szCs w:val="18"/>
          <w:color w:val="auto"/>
        </w:rPr>
      </w:pPr>
    </w:p>
    <w:p>
      <w:pPr>
        <w:ind w:left="1560" w:right="20" w:firstLine="606"/>
        <w:spacing w:after="0" w:line="263" w:lineRule="auto"/>
        <w:tabs>
          <w:tab w:leader="none" w:pos="29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(other than those described in clauses (c) and (g) of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61" w:lineRule="exact"/>
        <w:rPr>
          <w:rFonts w:ascii="Arial" w:cs="Arial" w:eastAsia="Arial" w:hAnsi="Arial"/>
          <w:sz w:val="18"/>
          <w:szCs w:val="18"/>
          <w:color w:val="auto"/>
        </w:rPr>
      </w:pPr>
    </w:p>
    <w:p>
      <w:pPr>
        <w:ind w:left="2760" w:hanging="594"/>
        <w:spacing w:after="0"/>
        <w:tabs>
          <w:tab w:leader="none" w:pos="2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ind w:left="1560" w:right="20" w:firstLine="606"/>
        <w:spacing w:after="0" w:line="263" w:lineRule="auto"/>
        <w:tabs>
          <w:tab w:leader="none" w:pos="2954"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Investments consisting of earnest money deposits made in connection with a letter of intent, purchase agreement or other acquisition;</w:t>
      </w:r>
    </w:p>
    <w:p>
      <w:pPr>
        <w:spacing w:after="0" w:line="185" w:lineRule="exact"/>
        <w:rPr>
          <w:rFonts w:ascii="Arial" w:cs="Arial" w:eastAsia="Arial" w:hAnsi="Arial"/>
          <w:sz w:val="18"/>
          <w:szCs w:val="18"/>
          <w:color w:val="auto"/>
        </w:rPr>
      </w:pPr>
    </w:p>
    <w:p>
      <w:pPr>
        <w:ind w:left="2960" w:hanging="794"/>
        <w:spacing w:after="0"/>
        <w:tabs>
          <w:tab w:leader="none" w:pos="29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Investments having an aggregate fair market value not to exceed at any time outstanding the greater of</w:t>
      </w:r>
    </w:p>
    <w:p>
      <w:pPr>
        <w:spacing w:after="0" w:line="21" w:lineRule="exact"/>
        <w:rPr>
          <w:rFonts w:ascii="Arial" w:cs="Arial" w:eastAsia="Arial" w:hAnsi="Arial"/>
          <w:sz w:val="17"/>
          <w:szCs w:val="17"/>
          <w:color w:val="auto"/>
        </w:rPr>
      </w:pPr>
    </w:p>
    <w:p>
      <w:pPr>
        <w:ind w:left="1820" w:hanging="256"/>
        <w:spacing w:after="0"/>
        <w:tabs>
          <w:tab w:leader="none" w:pos="1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$50,000,000 and (y) 42.5% of LTM CEBITDA (calculated at the time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354965</wp:posOffset>
            </wp:positionV>
            <wp:extent cx="326390" cy="182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20"/>
          </w:cols>
          <w:pgMar w:left="360" w:top="1326" w:right="819" w:bottom="1440" w:gutter="0" w:footer="0" w:header="0"/>
        </w:sectPr>
      </w:pPr>
    </w:p>
    <w:bookmarkStart w:id="134" w:name="page135"/>
    <w:bookmarkEnd w:id="134"/>
    <w:p>
      <w:pPr>
        <w:ind w:left="1560" w:firstLine="606"/>
        <w:spacing w:after="0" w:line="241" w:lineRule="auto"/>
        <w:tabs>
          <w:tab w:leader="none" w:pos="2953" w:val="left"/>
        </w:tabs>
        <w:numPr>
          <w:ilvl w:val="1"/>
          <w:numId w:val="85"/>
        </w:numPr>
        <w:rPr>
          <w:rFonts w:ascii="Arial" w:cs="Arial" w:eastAsia="Arial" w:hAnsi="Arial"/>
          <w:sz w:val="18"/>
          <w:szCs w:val="18"/>
          <w:color w:val="auto"/>
        </w:rPr>
      </w:pPr>
      <w:r>
        <w:rPr>
          <w:rFonts w:ascii="Arial" w:cs="Arial" w:eastAsia="Arial" w:hAnsi="Arial"/>
          <w:sz w:val="18"/>
          <w:szCs w:val="18"/>
          <w:color w:val="auto"/>
        </w:rPr>
        <w:t>loans and advances to, or guarantees of Indebtedness of, officers, directors, employees and consultants in an amount at any time outstanding not to exceed the greater of (x)</w:t>
      </w:r>
    </w:p>
    <w:p>
      <w:pPr>
        <w:spacing w:after="0" w:line="1"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$10,000,000 and (y) 10.0% of LTM CEBITDA (calculated at the time of determination);</w:t>
      </w:r>
    </w:p>
    <w:p>
      <w:pPr>
        <w:spacing w:after="0" w:line="215" w:lineRule="exact"/>
        <w:rPr>
          <w:rFonts w:ascii="Arial" w:cs="Arial" w:eastAsia="Arial" w:hAnsi="Arial"/>
          <w:sz w:val="18"/>
          <w:szCs w:val="18"/>
          <w:color w:val="auto"/>
        </w:rPr>
      </w:pPr>
    </w:p>
    <w:p>
      <w:pPr>
        <w:jc w:val="both"/>
        <w:ind w:left="1560" w:firstLine="606"/>
        <w:spacing w:after="0" w:line="272" w:lineRule="auto"/>
        <w:tabs>
          <w:tab w:leader="none" w:pos="2953" w:val="left"/>
        </w:tabs>
        <w:numPr>
          <w:ilvl w:val="1"/>
          <w:numId w:val="85"/>
        </w:numPr>
        <w:rPr>
          <w:rFonts w:ascii="Arial" w:cs="Arial" w:eastAsia="Arial" w:hAnsi="Arial"/>
          <w:sz w:val="16"/>
          <w:szCs w:val="16"/>
          <w:color w:val="auto"/>
        </w:rPr>
      </w:pPr>
      <w:r>
        <w:rPr>
          <w:rFonts w:ascii="Arial" w:cs="Arial" w:eastAsia="Arial" w:hAnsi="Arial"/>
          <w:sz w:val="16"/>
          <w:szCs w:val="16"/>
          <w:color w:val="auto"/>
        </w:rPr>
        <w:t>(i) loans and advances to officers, directors and employees for business related travel expenses, moving expenses and other similar expenses, in each case incurred in the ordinary course of business consistent with past practice;</w:t>
      </w:r>
    </w:p>
    <w:p>
      <w:pPr>
        <w:jc w:val="both"/>
        <w:ind w:left="1560" w:firstLine="4"/>
        <w:spacing w:after="0" w:line="235" w:lineRule="auto"/>
        <w:tabs>
          <w:tab w:leader="none" w:pos="18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loans and advances to employees, officers and directors of the Borrower (or any of its direct or indirect parent companies) and any of its Subsidiaries to the extent used to acquire Capital Stock of the Borrower (or any of its direct or indirect parent companies) and to the extent such transactions are cashless; and (iii) advances of payroll payments to employees in the ordinary course of business and Investments made pursuant to employment and severance arrangements of officers and employees in the ordinary course of business and transactions pursuant to stock option plans and employee benefit plans and arrangements in the ordinary course of business;</w:t>
      </w:r>
    </w:p>
    <w:p>
      <w:pPr>
        <w:spacing w:after="0" w:line="197" w:lineRule="exact"/>
        <w:rPr>
          <w:rFonts w:ascii="Arial" w:cs="Arial" w:eastAsia="Arial" w:hAnsi="Arial"/>
          <w:sz w:val="18"/>
          <w:szCs w:val="18"/>
          <w:color w:val="auto"/>
        </w:rPr>
      </w:pPr>
    </w:p>
    <w:p>
      <w:pPr>
        <w:jc w:val="both"/>
        <w:ind w:left="1560" w:firstLine="606"/>
        <w:spacing w:after="0" w:line="248" w:lineRule="auto"/>
        <w:tabs>
          <w:tab w:leader="none" w:pos="2953" w:val="left"/>
        </w:tabs>
        <w:numPr>
          <w:ilvl w:val="1"/>
          <w:numId w:val="86"/>
        </w:numPr>
        <w:rPr>
          <w:rFonts w:ascii="Arial" w:cs="Arial" w:eastAsia="Arial" w:hAnsi="Arial"/>
          <w:sz w:val="18"/>
          <w:szCs w:val="18"/>
          <w:color w:val="auto"/>
        </w:rPr>
      </w:pPr>
      <w:r>
        <w:rPr>
          <w:rFonts w:ascii="Arial" w:cs="Arial" w:eastAsia="Arial" w:hAnsi="Arial"/>
          <w:sz w:val="18"/>
          <w:szCs w:val="18"/>
          <w:color w:val="auto"/>
        </w:rPr>
        <w:t>advances to customers or suppliers in the ordinary course of business that are, in conformity with GAAP, recorded as accounts receivable, prepaid expenses or deposits on the balance sheet of the Borrower or the Restricted Subsidiaries and endorsements for collection or deposit arising in the ordinary course of business;</w:t>
      </w:r>
    </w:p>
    <w:p>
      <w:pPr>
        <w:spacing w:after="0" w:line="198" w:lineRule="exact"/>
        <w:rPr>
          <w:sz w:val="20"/>
          <w:szCs w:val="20"/>
          <w:color w:val="auto"/>
        </w:rPr>
      </w:pPr>
    </w:p>
    <w:p>
      <w:pPr>
        <w:jc w:val="both"/>
        <w:ind w:left="1560" w:firstLine="602"/>
        <w:spacing w:after="0" w:line="248" w:lineRule="auto"/>
        <w:rPr>
          <w:sz w:val="20"/>
          <w:szCs w:val="20"/>
          <w:color w:val="auto"/>
        </w:rPr>
      </w:pPr>
      <w:r>
        <w:rPr>
          <w:rFonts w:ascii="Arial" w:cs="Arial" w:eastAsia="Arial" w:hAnsi="Arial"/>
          <w:sz w:val="18"/>
          <w:szCs w:val="18"/>
          <w:color w:val="auto"/>
        </w:rPr>
        <w:t>(r)Investments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198" w:lineRule="exact"/>
        <w:rPr>
          <w:sz w:val="20"/>
          <w:szCs w:val="20"/>
          <w:color w:val="auto"/>
        </w:rPr>
      </w:pPr>
    </w:p>
    <w:p>
      <w:pPr>
        <w:jc w:val="both"/>
        <w:ind w:left="1560" w:firstLine="602"/>
        <w:spacing w:after="0" w:line="263" w:lineRule="auto"/>
        <w:rPr>
          <w:sz w:val="20"/>
          <w:szCs w:val="20"/>
          <w:color w:val="auto"/>
        </w:rPr>
      </w:pPr>
      <w:r>
        <w:rPr>
          <w:rFonts w:ascii="Arial" w:cs="Arial" w:eastAsia="Arial" w:hAnsi="Arial"/>
          <w:sz w:val="18"/>
          <w:szCs w:val="18"/>
          <w:color w:val="auto"/>
        </w:rPr>
        <w:t>(s)Investments consisting of the licensing or contribution of Intellectual Property pursuant to joint marketing arrangements with other Persons, in each case in the ordinary course of business;</w:t>
      </w:r>
    </w:p>
    <w:p>
      <w:pPr>
        <w:spacing w:after="0" w:line="173" w:lineRule="exact"/>
        <w:rPr>
          <w:sz w:val="20"/>
          <w:szCs w:val="20"/>
          <w:color w:val="auto"/>
        </w:rPr>
      </w:pPr>
    </w:p>
    <w:p>
      <w:pPr>
        <w:ind w:left="2760" w:hanging="595"/>
        <w:spacing w:after="0"/>
        <w:tabs>
          <w:tab w:leader="none" w:pos="2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2760" w:hanging="595"/>
        <w:spacing w:after="0"/>
        <w:tabs>
          <w:tab w:leader="none" w:pos="2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1560" w:firstLine="606"/>
        <w:spacing w:after="0" w:line="326" w:lineRule="auto"/>
        <w:tabs>
          <w:tab w:leader="none" w:pos="29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27" w:lineRule="exact"/>
        <w:rPr>
          <w:rFonts w:ascii="Arial" w:cs="Arial" w:eastAsia="Arial" w:hAnsi="Arial"/>
          <w:sz w:val="16"/>
          <w:szCs w:val="16"/>
          <w:color w:val="auto"/>
        </w:rPr>
      </w:pPr>
    </w:p>
    <w:p>
      <w:pPr>
        <w:jc w:val="both"/>
        <w:ind w:left="1560" w:firstLine="605"/>
        <w:spacing w:after="0" w:line="239" w:lineRule="auto"/>
        <w:tabs>
          <w:tab w:leader="none" w:pos="29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good faith deposits in the ordinary course of business in connection with Permitted Acquisitions or obligations in respect of surety bonds (other than appeal bonds), statutory obligations to Governmental Authorities, tenders, sales, contracts (other than for borrowed money), bids, leases, government contracts, performance and return-of-money bonds and other similar obligations incurred in the ordinary course of business for sums not more than ninety (90) days overdue or being contested in good faith by appropriate proceedings and for which the Borrower and its Restricted Subsidiaries maintain adequate reserves in accordance with GAAP;</w:t>
      </w:r>
    </w:p>
    <w:p>
      <w:pPr>
        <w:spacing w:after="0" w:line="205" w:lineRule="exact"/>
        <w:rPr>
          <w:rFonts w:ascii="Arial" w:cs="Arial" w:eastAsia="Arial" w:hAnsi="Arial"/>
          <w:sz w:val="18"/>
          <w:szCs w:val="18"/>
          <w:color w:val="auto"/>
        </w:rPr>
      </w:pPr>
    </w:p>
    <w:p>
      <w:pPr>
        <w:ind w:left="1560" w:firstLine="607"/>
        <w:spacing w:after="0" w:line="263" w:lineRule="auto"/>
        <w:tabs>
          <w:tab w:leader="none" w:pos="29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(a) endorsements for collection or deposit and (b) customary trade arrangements with customers consistent with past practices;</w:t>
      </w:r>
    </w:p>
    <w:p>
      <w:pPr>
        <w:spacing w:after="0" w:line="185" w:lineRule="exact"/>
        <w:rPr>
          <w:rFonts w:ascii="Arial" w:cs="Arial" w:eastAsia="Arial" w:hAnsi="Arial"/>
          <w:sz w:val="18"/>
          <w:szCs w:val="18"/>
          <w:color w:val="auto"/>
        </w:rPr>
      </w:pPr>
    </w:p>
    <w:p>
      <w:pPr>
        <w:jc w:val="both"/>
        <w:ind w:left="1560" w:firstLine="607"/>
        <w:spacing w:after="0" w:line="248" w:lineRule="auto"/>
        <w:tabs>
          <w:tab w:leader="none" w:pos="29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and consistent with past practice in connection with obtaining, maintaining or renewing client contracts and loans or advances made to distributors in the ordinary course of business and 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00"/>
          </w:cols>
          <w:pgMar w:left="360" w:top="1326" w:right="839" w:bottom="1440" w:gutter="0" w:footer="0" w:header="0"/>
        </w:sectPr>
      </w:pPr>
    </w:p>
    <w:bookmarkStart w:id="135" w:name="page136"/>
    <w:bookmarkEnd w:id="135"/>
    <w:p>
      <w:pPr>
        <w:ind w:left="1560" w:right="20" w:firstLine="606"/>
        <w:spacing w:after="0" w:line="263" w:lineRule="auto"/>
        <w:tabs>
          <w:tab w:leader="none" w:pos="29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advances, loans, rebates and extensions of credit (including the creation of receivables) to suppliers, customers and vendors, and performance guarantees, in each case in the ordinary course of business;</w:t>
      </w:r>
    </w:p>
    <w:p>
      <w:pPr>
        <w:spacing w:after="0" w:line="186" w:lineRule="exact"/>
        <w:rPr>
          <w:sz w:val="20"/>
          <w:szCs w:val="20"/>
          <w:color w:val="auto"/>
        </w:rPr>
      </w:pPr>
    </w:p>
    <w:p>
      <w:pPr>
        <w:jc w:val="both"/>
        <w:ind w:left="1560" w:firstLine="606"/>
        <w:spacing w:after="0" w:line="248" w:lineRule="auto"/>
        <w:tabs>
          <w:tab w:leader="none" w:pos="252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acquisition of assets or Capital Stock solely in exchange for the issuance of common Equity Interests (exclusive of Specified Equity Contributions)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 Interests will not increase the amount available for Restricted Payments under </w:t>
      </w:r>
      <w:r>
        <w:rPr>
          <w:rFonts w:ascii="Arial" w:cs="Arial" w:eastAsia="Arial" w:hAnsi="Arial"/>
          <w:sz w:val="18"/>
          <w:szCs w:val="18"/>
          <w:u w:val="single" w:color="auto"/>
          <w:color w:val="auto"/>
        </w:rPr>
        <w:t>Section 9.2(a)(v)(C)(2)</w:t>
      </w:r>
      <w:r>
        <w:rPr>
          <w:rFonts w:ascii="Arial" w:cs="Arial" w:eastAsia="Arial" w:hAnsi="Arial"/>
          <w:sz w:val="18"/>
          <w:szCs w:val="18"/>
          <w:color w:val="auto"/>
        </w:rPr>
        <w:t>;</w:t>
      </w:r>
    </w:p>
    <w:p>
      <w:pPr>
        <w:spacing w:after="0" w:line="261" w:lineRule="exact"/>
        <w:rPr>
          <w:rFonts w:ascii="Arial" w:cs="Arial" w:eastAsia="Arial" w:hAnsi="Arial"/>
          <w:sz w:val="18"/>
          <w:szCs w:val="18"/>
          <w:color w:val="auto"/>
        </w:rPr>
      </w:pPr>
    </w:p>
    <w:p>
      <w:pPr>
        <w:ind w:left="1560" w:right="20" w:firstLine="606"/>
        <w:spacing w:after="0" w:line="293" w:lineRule="auto"/>
        <w:tabs>
          <w:tab w:leader="none" w:pos="254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Investment in any Subsidiary or any joint venture in connection with intercompany cash management arrangements or related activities arising in the ordinary course of business or consistent with past practice;</w:t>
      </w:r>
    </w:p>
    <w:p>
      <w:pPr>
        <w:spacing w:after="0" w:line="149" w:lineRule="exact"/>
        <w:rPr>
          <w:rFonts w:ascii="Arial" w:cs="Arial" w:eastAsia="Arial" w:hAnsi="Arial"/>
          <w:sz w:val="17"/>
          <w:szCs w:val="17"/>
          <w:color w:val="auto"/>
        </w:rPr>
      </w:pPr>
    </w:p>
    <w:p>
      <w:pPr>
        <w:ind w:left="1560" w:right="20" w:firstLine="606"/>
        <w:spacing w:after="0" w:line="263" w:lineRule="auto"/>
        <w:tabs>
          <w:tab w:leader="none" w:pos="251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in any other Indebtedness of the Borrower or any Restricted Subsidiary acquired from a Person who is not an Affiliate;</w:t>
      </w:r>
    </w:p>
    <w:p>
      <w:pPr>
        <w:spacing w:after="0" w:line="185" w:lineRule="exact"/>
        <w:rPr>
          <w:rFonts w:ascii="Arial" w:cs="Arial" w:eastAsia="Arial" w:hAnsi="Arial"/>
          <w:sz w:val="18"/>
          <w:szCs w:val="18"/>
          <w:color w:val="auto"/>
        </w:rPr>
      </w:pPr>
    </w:p>
    <w:p>
      <w:pPr>
        <w:jc w:val="both"/>
        <w:ind w:left="1560" w:right="20" w:firstLine="606"/>
        <w:spacing w:after="0" w:line="239" w:lineRule="auto"/>
        <w:tabs>
          <w:tab w:leader="none" w:pos="25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in Unrestricted Subsidiaries having an aggregate fair market value taken together with all other Investments made pursuant to this clause (dd) that are at the time outstanding, without giving effect to the sale of an Unrestricted Subsidiary to the extent the proceeds of such sale do not consist of cash or marketable securities (until such proceeds are converted to Cash Equivalents), not to exceed the greater of $20,000,000 and 17.5% of LTM CEBITDA (calculated at the time of determination) (with the fair market value of each Investment being measured at the time made and without giving effect to subsequent changes in value); and</w:t>
      </w:r>
    </w:p>
    <w:p>
      <w:pPr>
        <w:spacing w:after="0" w:line="205" w:lineRule="exact"/>
        <w:rPr>
          <w:rFonts w:ascii="Arial" w:cs="Arial" w:eastAsia="Arial" w:hAnsi="Arial"/>
          <w:sz w:val="18"/>
          <w:szCs w:val="18"/>
          <w:color w:val="auto"/>
        </w:rPr>
      </w:pPr>
    </w:p>
    <w:p>
      <w:pPr>
        <w:ind w:left="2640" w:hanging="474"/>
        <w:spacing w:after="0"/>
        <w:tabs>
          <w:tab w:leader="none" w:pos="2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1560" w:right="20" w:firstLine="606"/>
        <w:spacing w:after="0" w:line="248" w:lineRule="auto"/>
        <w:tabs>
          <w:tab w:leader="none" w:pos="2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so long as no Significant Event of Default shall have occurred and be continuing, Investments in an unlimited amount if the Total Net Leverage Ratio at the time of determination based on the most recently ended Test Period, on a Pro Forma Basis, would be less than or equal to 4.25 to 1.00.</w:t>
      </w:r>
    </w:p>
    <w:p>
      <w:pPr>
        <w:spacing w:after="0" w:line="198" w:lineRule="exact"/>
        <w:rPr>
          <w:sz w:val="20"/>
          <w:szCs w:val="20"/>
          <w:color w:val="auto"/>
        </w:rPr>
      </w:pPr>
    </w:p>
    <w:p>
      <w:pPr>
        <w:ind w:left="960" w:right="20" w:firstLine="602"/>
        <w:spacing w:after="0" w:line="293" w:lineRule="auto"/>
        <w:rPr>
          <w:sz w:val="20"/>
          <w:szCs w:val="20"/>
          <w:color w:val="auto"/>
        </w:rPr>
      </w:pPr>
      <w:r>
        <w:rPr>
          <w:rFonts w:ascii="Arial" w:cs="Arial" w:eastAsia="Arial" w:hAnsi="Arial"/>
          <w:sz w:val="17"/>
          <w:szCs w:val="17"/>
          <w:color w:val="auto"/>
        </w:rPr>
        <w:t>For purposes of this definition, any Investment shall be determined on the date such Investment is made, with the fair market value of each Investment being measured at the time made and without giving effect to subsequent changes in value.</w:t>
      </w:r>
    </w:p>
    <w:p>
      <w:pPr>
        <w:spacing w:after="0" w:line="16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shall mean, with respect to any Person:</w:t>
      </w:r>
    </w:p>
    <w:p>
      <w:pPr>
        <w:spacing w:after="0" w:line="295" w:lineRule="exact"/>
        <w:rPr>
          <w:sz w:val="20"/>
          <w:szCs w:val="20"/>
          <w:color w:val="auto"/>
        </w:rPr>
      </w:pPr>
    </w:p>
    <w:p>
      <w:pPr>
        <w:jc w:val="both"/>
        <w:ind w:left="1560" w:right="20" w:firstLine="606"/>
        <w:spacing w:after="0" w:line="239" w:lineRule="auto"/>
        <w:tabs>
          <w:tab w:leader="none" w:pos="29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pledges or deposits by such Person under workers’ compensation laws, unemployment insurance laws or similar legislation (including social security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spacing w:after="0" w:line="192" w:lineRule="exact"/>
        <w:rPr>
          <w:rFonts w:ascii="Arial" w:cs="Arial" w:eastAsia="Arial" w:hAnsi="Arial"/>
          <w:sz w:val="18"/>
          <w:szCs w:val="18"/>
          <w:color w:val="auto"/>
        </w:rPr>
      </w:pPr>
    </w:p>
    <w:p>
      <w:pPr>
        <w:jc w:val="both"/>
        <w:ind w:left="1560" w:right="20" w:firstLine="606"/>
        <w:spacing w:after="0"/>
        <w:tabs>
          <w:tab w:leader="none" w:pos="2953"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Liens, imposed by law, constituting carriers’, warehousemen’s, landlords’ and mechanics’ Liens or other like Liens (including any retention of title and extended retention of title arrangements), in each case for sums not yet overdue for a period of more than thirty (30) days or being contested in good faith by appropriate proceedings or other Liens arising out of judgments or awards against such Person with respect to which such Person shall then be proceeding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20"/>
          </w:cols>
          <w:pgMar w:left="360" w:top="1326" w:right="819" w:bottom="1440" w:gutter="0" w:footer="0" w:header="0"/>
        </w:sectPr>
      </w:pPr>
    </w:p>
    <w:bookmarkStart w:id="136" w:name="page137"/>
    <w:bookmarkEnd w:id="136"/>
    <w:p>
      <w:pPr>
        <w:ind w:left="1560" w:right="80"/>
        <w:spacing w:after="0" w:line="263" w:lineRule="auto"/>
        <w:rPr>
          <w:sz w:val="20"/>
          <w:szCs w:val="20"/>
          <w:color w:val="auto"/>
        </w:rPr>
      </w:pPr>
      <w:r>
        <w:rPr>
          <w:rFonts w:ascii="Arial" w:cs="Arial" w:eastAsia="Arial" w:hAnsi="Arial"/>
          <w:sz w:val="18"/>
          <w:szCs w:val="18"/>
          <w:color w:val="auto"/>
        </w:rPr>
        <w:t>appeal or other proceedings for review and for which adequate reserves with respect thereto are maintained on the books of such Person in accordance with GAAP;</w:t>
      </w:r>
    </w:p>
    <w:p>
      <w:pPr>
        <w:spacing w:after="0" w:line="186" w:lineRule="exact"/>
        <w:rPr>
          <w:sz w:val="20"/>
          <w:szCs w:val="20"/>
          <w:color w:val="auto"/>
        </w:rPr>
      </w:pPr>
    </w:p>
    <w:p>
      <w:pPr>
        <w:jc w:val="both"/>
        <w:ind w:left="1560" w:right="20" w:firstLine="607"/>
        <w:spacing w:after="0" w:line="248" w:lineRule="auto"/>
        <w:tabs>
          <w:tab w:leader="none" w:pos="29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for Taxes (i) not yet overdue for a period of more than thirty (30) days or (ii) which are being contested in good faith by appropriate proceedings if adequate reserves with respect thereto are maintained on the books of such Person in accordance with GAAP;</w:t>
      </w:r>
    </w:p>
    <w:p>
      <w:pPr>
        <w:spacing w:after="0" w:line="185" w:lineRule="exact"/>
        <w:rPr>
          <w:rFonts w:ascii="Arial" w:cs="Arial" w:eastAsia="Arial" w:hAnsi="Arial"/>
          <w:sz w:val="18"/>
          <w:szCs w:val="18"/>
          <w:color w:val="auto"/>
        </w:rPr>
      </w:pPr>
    </w:p>
    <w:p>
      <w:pPr>
        <w:jc w:val="both"/>
        <w:ind w:left="1560" w:right="20" w:firstLine="607"/>
        <w:spacing w:after="0" w:line="248" w:lineRule="auto"/>
        <w:tabs>
          <w:tab w:leader="none" w:pos="29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to secure (x) public or statutory obligations, utilities, surety, stay, appeal, indemnity, bid, performance and similar bonds or with respect to other regulatory requirements or (y) letters of credit, banker’s acceptances or completion guarantees;</w:t>
      </w:r>
    </w:p>
    <w:p>
      <w:pPr>
        <w:spacing w:after="0" w:line="198" w:lineRule="exact"/>
        <w:rPr>
          <w:rFonts w:ascii="Arial" w:cs="Arial" w:eastAsia="Arial" w:hAnsi="Arial"/>
          <w:sz w:val="18"/>
          <w:szCs w:val="18"/>
          <w:color w:val="auto"/>
        </w:rPr>
      </w:pPr>
    </w:p>
    <w:p>
      <w:pPr>
        <w:jc w:val="both"/>
        <w:ind w:left="1560" w:right="20" w:firstLine="607"/>
        <w:spacing w:after="0" w:line="258" w:lineRule="auto"/>
        <w:tabs>
          <w:tab w:leader="none" w:pos="29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survey exceptions, encumbrances, easements or reservations of, or rights of others for, licenses, rights of way, sewers, electric lines, telegraph and telephone lines and other similar purposes,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91" w:lineRule="exact"/>
        <w:rPr>
          <w:sz w:val="20"/>
          <w:szCs w:val="20"/>
          <w:color w:val="auto"/>
        </w:rPr>
      </w:pPr>
    </w:p>
    <w:p>
      <w:pPr>
        <w:jc w:val="both"/>
        <w:ind w:left="1560" w:firstLine="602"/>
        <w:spacing w:after="0" w:line="238" w:lineRule="auto"/>
        <w:rPr>
          <w:sz w:val="20"/>
          <w:szCs w:val="20"/>
          <w:color w:val="auto"/>
        </w:rPr>
      </w:pPr>
      <w:r>
        <w:rPr>
          <w:rFonts w:ascii="Arial" w:cs="Arial" w:eastAsia="Arial" w:hAnsi="Arial"/>
          <w:sz w:val="18"/>
          <w:szCs w:val="18"/>
          <w:color w:val="auto"/>
        </w:rPr>
        <w:t xml:space="preserve">(f)Liens (i) securing Indebtedness permitted to be incurred pursuant to </w:t>
      </w:r>
      <w:r>
        <w:rPr>
          <w:rFonts w:ascii="Arial" w:cs="Arial" w:eastAsia="Arial" w:hAnsi="Arial"/>
          <w:sz w:val="18"/>
          <w:szCs w:val="18"/>
          <w:u w:val="single" w:color="auto"/>
          <w:color w:val="auto"/>
        </w:rPr>
        <w:t>Section 9.4(b)(i)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(b)(vi)</w:t>
      </w:r>
      <w:r>
        <w:rPr>
          <w:rFonts w:ascii="Arial" w:cs="Arial" w:eastAsia="Arial" w:hAnsi="Arial"/>
          <w:sz w:val="18"/>
          <w:szCs w:val="18"/>
          <w:color w:val="auto"/>
        </w:rPr>
        <w:t>, (</w:t>
      </w:r>
      <w:r>
        <w:rPr>
          <w:rFonts w:ascii="Arial" w:cs="Arial" w:eastAsia="Arial" w:hAnsi="Arial"/>
          <w:sz w:val="18"/>
          <w:szCs w:val="18"/>
          <w:u w:val="single" w:color="auto"/>
          <w:color w:val="auto"/>
        </w:rPr>
        <w:t>b)(vii)</w:t>
      </w:r>
      <w:r>
        <w:rPr>
          <w:rFonts w:ascii="Arial" w:cs="Arial" w:eastAsia="Arial" w:hAnsi="Arial"/>
          <w:sz w:val="18"/>
          <w:szCs w:val="18"/>
          <w:color w:val="auto"/>
        </w:rPr>
        <w:t xml:space="preserve"> (so long as such lien is limited to the property or equipment being acquired), (</w:t>
      </w:r>
      <w:r>
        <w:rPr>
          <w:rFonts w:ascii="Arial" w:cs="Arial" w:eastAsia="Arial" w:hAnsi="Arial"/>
          <w:sz w:val="18"/>
          <w:szCs w:val="18"/>
          <w:u w:val="single" w:color="auto"/>
          <w:color w:val="auto"/>
        </w:rPr>
        <w:t>b)(xv)</w:t>
      </w:r>
      <w:r>
        <w:rPr>
          <w:rFonts w:ascii="Arial" w:cs="Arial" w:eastAsia="Arial" w:hAnsi="Arial"/>
          <w:sz w:val="18"/>
          <w:szCs w:val="18"/>
          <w:color w:val="auto"/>
        </w:rPr>
        <w:t>, (</w:t>
      </w:r>
      <w:r>
        <w:rPr>
          <w:rFonts w:ascii="Arial" w:cs="Arial" w:eastAsia="Arial" w:hAnsi="Arial"/>
          <w:sz w:val="18"/>
          <w:szCs w:val="18"/>
          <w:u w:val="single" w:color="auto"/>
          <w:color w:val="auto"/>
        </w:rPr>
        <w:t>b)(xvi)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Indebtedness being refinanced in accordance with </w:t>
      </w:r>
      <w:r>
        <w:rPr>
          <w:rFonts w:ascii="Arial" w:cs="Arial" w:eastAsia="Arial" w:hAnsi="Arial"/>
          <w:sz w:val="18"/>
          <w:szCs w:val="18"/>
          <w:u w:val="single" w:color="auto"/>
          <w:color w:val="auto"/>
        </w:rPr>
        <w:t>Section 9.4(b)(xvi)</w:t>
      </w:r>
      <w:r>
        <w:rPr>
          <w:rFonts w:ascii="Arial" w:cs="Arial" w:eastAsia="Arial" w:hAnsi="Arial"/>
          <w:sz w:val="18"/>
          <w:szCs w:val="18"/>
          <w:color w:val="auto"/>
        </w:rPr>
        <w:t xml:space="preserve"> is secured) and </w:t>
      </w:r>
      <w:r>
        <w:rPr>
          <w:rFonts w:ascii="Arial" w:cs="Arial" w:eastAsia="Arial" w:hAnsi="Arial"/>
          <w:sz w:val="18"/>
          <w:szCs w:val="18"/>
          <w:u w:val="single" w:color="auto"/>
          <w:color w:val="auto"/>
        </w:rPr>
        <w:t>(b)(xvii)</w:t>
      </w:r>
      <w:r>
        <w:rPr>
          <w:rFonts w:ascii="Arial" w:cs="Arial" w:eastAsia="Arial" w:hAnsi="Arial"/>
          <w:sz w:val="18"/>
          <w:szCs w:val="18"/>
          <w:color w:val="auto"/>
        </w:rPr>
        <w:t xml:space="preserve"> (but such Liens may only extend to the assets acquired in the respective Permitted Acquisition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such liens were not created in contemplation of such Permitted Acquisition)), (b)(xx) (to the extent the guaranteed Indebtedness may be secured) and (</w:t>
      </w:r>
      <w:r>
        <w:rPr>
          <w:rFonts w:ascii="Arial" w:cs="Arial" w:eastAsia="Arial" w:hAnsi="Arial"/>
          <w:sz w:val="18"/>
          <w:szCs w:val="18"/>
          <w:u w:val="single" w:color="auto"/>
          <w:color w:val="auto"/>
        </w:rPr>
        <w:t>b)(xxv)</w:t>
      </w:r>
      <w:r>
        <w:rPr>
          <w:rFonts w:ascii="Arial" w:cs="Arial" w:eastAsia="Arial" w:hAnsi="Arial"/>
          <w:sz w:val="18"/>
          <w:szCs w:val="18"/>
          <w:color w:val="auto"/>
        </w:rPr>
        <w:t xml:space="preserve"> and (ii) on property and assets of Restricted Subsidiaries that are not Loan Parties securing additional Indebtedness of such Restricted Subsidiaries incurred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68" w:lineRule="exact"/>
        <w:rPr>
          <w:sz w:val="20"/>
          <w:szCs w:val="20"/>
          <w:color w:val="auto"/>
        </w:rPr>
      </w:pPr>
    </w:p>
    <w:p>
      <w:pPr>
        <w:jc w:val="both"/>
        <w:ind w:left="1560" w:right="20" w:firstLine="607"/>
        <w:spacing w:after="0" w:line="248" w:lineRule="auto"/>
        <w:tabs>
          <w:tab w:leader="none" w:pos="29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described on </w:t>
      </w:r>
      <w:r>
        <w:rPr>
          <w:rFonts w:ascii="Arial" w:cs="Arial" w:eastAsia="Arial" w:hAnsi="Arial"/>
          <w:sz w:val="18"/>
          <w:szCs w:val="18"/>
          <w:u w:val="single" w:color="auto"/>
          <w:color w:val="auto"/>
        </w:rPr>
        <w:t>Schedule 1.1(g)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shall be required to be described on </w:t>
      </w:r>
      <w:r>
        <w:rPr>
          <w:rFonts w:ascii="Arial" w:cs="Arial" w:eastAsia="Arial" w:hAnsi="Arial"/>
          <w:sz w:val="18"/>
          <w:szCs w:val="18"/>
          <w:u w:val="single" w:color="auto"/>
          <w:color w:val="auto"/>
        </w:rPr>
        <w:t>Schedule 1.1(g)</w:t>
      </w:r>
      <w:r>
        <w:rPr>
          <w:rFonts w:ascii="Arial" w:cs="Arial" w:eastAsia="Arial" w:hAnsi="Arial"/>
          <w:sz w:val="18"/>
          <w:szCs w:val="18"/>
          <w:color w:val="auto"/>
        </w:rPr>
        <w:t xml:space="preserve"> only to the extent that such Lien secures Indebtedness or other obligations in excess of $5,000,000;</w:t>
      </w:r>
    </w:p>
    <w:p>
      <w:pPr>
        <w:spacing w:after="0" w:line="185" w:lineRule="exact"/>
        <w:rPr>
          <w:rFonts w:ascii="Arial" w:cs="Arial" w:eastAsia="Arial" w:hAnsi="Arial"/>
          <w:sz w:val="18"/>
          <w:szCs w:val="18"/>
          <w:color w:val="auto"/>
        </w:rPr>
      </w:pPr>
    </w:p>
    <w:p>
      <w:pPr>
        <w:jc w:val="both"/>
        <w:ind w:left="1560" w:right="20" w:firstLine="607"/>
        <w:spacing w:after="0" w:line="242" w:lineRule="auto"/>
        <w:tabs>
          <w:tab w:leader="none" w:pos="29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Liens on property or shares of stock or other assets of a Person at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created or incurred in connection with, or in contemplation of, such other Person becoming such a Restricted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Liens may not extend to any other property or other assets owned by the Borrower or any of its Restricted Subsidiaries;</w:t>
      </w:r>
    </w:p>
    <w:p>
      <w:pPr>
        <w:spacing w:after="0" w:line="205" w:lineRule="exact"/>
        <w:rPr>
          <w:rFonts w:ascii="Arial" w:cs="Arial" w:eastAsia="Arial" w:hAnsi="Arial"/>
          <w:sz w:val="18"/>
          <w:szCs w:val="18"/>
          <w:color w:val="auto"/>
        </w:rPr>
      </w:pPr>
    </w:p>
    <w:p>
      <w:pPr>
        <w:jc w:val="both"/>
        <w:ind w:left="1560" w:right="20" w:firstLine="606"/>
        <w:spacing w:after="0"/>
        <w:tabs>
          <w:tab w:leader="none" w:pos="2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Liens on property or other assets at the time the Borrower or a Restricted Subsidiary acquired the property, including any acquisition by means of a merger or consolidation with or into the Borrower or any of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created or incurred in connection with, or in contemplation of, such acquisition;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Liens may not extend to any other property or other assets owned by the Borrower or any of its Restricted Subsidiaries;</w:t>
      </w:r>
    </w:p>
    <w:p>
      <w:pPr>
        <w:spacing w:after="0" w:line="206" w:lineRule="exact"/>
        <w:rPr>
          <w:rFonts w:ascii="Arial" w:cs="Arial" w:eastAsia="Arial" w:hAnsi="Arial"/>
          <w:sz w:val="18"/>
          <w:szCs w:val="18"/>
          <w:color w:val="auto"/>
        </w:rPr>
      </w:pPr>
    </w:p>
    <w:p>
      <w:pPr>
        <w:ind w:left="1560" w:right="20" w:firstLine="607"/>
        <w:spacing w:after="0" w:line="263" w:lineRule="auto"/>
        <w:tabs>
          <w:tab w:leader="none" w:pos="2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 Restricted Subsidiary owing to the Borrower or another Restricted Subsidiary permitted to be incurred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20"/>
          </w:cols>
          <w:pgMar w:left="360" w:top="1326" w:right="819" w:bottom="1440" w:gutter="0" w:footer="0" w:header="0"/>
        </w:sectPr>
      </w:pPr>
    </w:p>
    <w:bookmarkStart w:id="137" w:name="page138"/>
    <w:bookmarkEnd w:id="137"/>
    <w:p>
      <w:pPr>
        <w:ind w:left="2760" w:hanging="594"/>
        <w:spacing w:after="0"/>
        <w:tabs>
          <w:tab w:leader="none" w:pos="2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1560" w:right="20" w:firstLine="606"/>
        <w:spacing w:after="0" w:line="263" w:lineRule="auto"/>
        <w:tabs>
          <w:tab w:leader="none" w:pos="2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created pursuant to any Loan Document (without duplication of any such liens permitted under clause (f) above) and Liens for the benefit of the Issuing Lenders and the Lenders in respect of Cash Collateral;</w:t>
      </w:r>
    </w:p>
    <w:p>
      <w:pPr>
        <w:spacing w:after="0" w:line="173" w:lineRule="exact"/>
        <w:rPr>
          <w:rFonts w:ascii="Arial" w:cs="Arial" w:eastAsia="Arial" w:hAnsi="Arial"/>
          <w:sz w:val="18"/>
          <w:szCs w:val="18"/>
          <w:color w:val="auto"/>
        </w:rPr>
      </w:pPr>
    </w:p>
    <w:p>
      <w:pPr>
        <w:jc w:val="both"/>
        <w:ind w:left="1560" w:right="20" w:firstLine="606"/>
        <w:spacing w:after="0" w:line="248" w:lineRule="auto"/>
        <w:tabs>
          <w:tab w:leader="none" w:pos="29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w:t>
      </w:r>
    </w:p>
    <w:p>
      <w:pPr>
        <w:spacing w:after="0" w:line="198" w:lineRule="exact"/>
        <w:rPr>
          <w:rFonts w:ascii="Arial" w:cs="Arial" w:eastAsia="Arial" w:hAnsi="Arial"/>
          <w:sz w:val="18"/>
          <w:szCs w:val="18"/>
          <w:color w:val="auto"/>
        </w:rPr>
      </w:pPr>
    </w:p>
    <w:p>
      <w:pPr>
        <w:jc w:val="both"/>
        <w:ind w:left="1560" w:right="20" w:firstLine="606"/>
        <w:spacing w:after="0" w:line="248" w:lineRule="auto"/>
        <w:tabs>
          <w:tab w:leader="none" w:pos="29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leases, subleases, licenses or sublicenses granted to others in the ordinary course of business which do not materially interfere with the ordinary conduct of the business of the Borrower or any of its Restricted Subsidiaries and do not secure any Indebtedness;</w:t>
      </w:r>
    </w:p>
    <w:p>
      <w:pPr>
        <w:spacing w:after="0" w:line="198" w:lineRule="exact"/>
        <w:rPr>
          <w:rFonts w:ascii="Arial" w:cs="Arial" w:eastAsia="Arial" w:hAnsi="Arial"/>
          <w:sz w:val="18"/>
          <w:szCs w:val="18"/>
          <w:color w:val="auto"/>
        </w:rPr>
      </w:pPr>
    </w:p>
    <w:p>
      <w:pPr>
        <w:jc w:val="both"/>
        <w:ind w:left="1560" w:firstLine="606"/>
        <w:spacing w:after="0" w:line="242" w:lineRule="auto"/>
        <w:tabs>
          <w:tab w:leader="none" w:pos="29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any interest or title of a lessor under any lease entered into by the Borrower and its Restricted Subsidiaries in the ordinary course of its business and covering only the assets so leased, (ii) ground leases in respect of Real Property on which facilities owned or leased by the Borrower and its Restricted Subsidiaries are located and (iii) Liens and other matters of record shown on any title policies delivered pursuant to this Agreement;</w:t>
      </w:r>
    </w:p>
    <w:p>
      <w:pPr>
        <w:spacing w:after="0" w:line="193" w:lineRule="exact"/>
        <w:rPr>
          <w:rFonts w:ascii="Arial" w:cs="Arial" w:eastAsia="Arial" w:hAnsi="Arial"/>
          <w:sz w:val="18"/>
          <w:szCs w:val="18"/>
          <w:color w:val="auto"/>
        </w:rPr>
      </w:pPr>
    </w:p>
    <w:p>
      <w:pPr>
        <w:ind w:left="1560" w:right="20" w:firstLine="606"/>
        <w:spacing w:after="0" w:line="263" w:lineRule="auto"/>
        <w:tabs>
          <w:tab w:leader="none" w:pos="29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regarding operating leases or consignments entered into by the Borrower and its Restricted Subsidiaries in the ordinary course of business;</w:t>
      </w:r>
    </w:p>
    <w:p>
      <w:pPr>
        <w:spacing w:after="0" w:line="185" w:lineRule="exact"/>
        <w:rPr>
          <w:rFonts w:ascii="Arial" w:cs="Arial" w:eastAsia="Arial" w:hAnsi="Arial"/>
          <w:sz w:val="18"/>
          <w:szCs w:val="18"/>
          <w:color w:val="auto"/>
        </w:rPr>
      </w:pPr>
    </w:p>
    <w:p>
      <w:pPr>
        <w:ind w:left="2760" w:hanging="595"/>
        <w:spacing w:after="0"/>
        <w:tabs>
          <w:tab w:leader="none" w:pos="2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in favor of any Loan Party;</w:t>
      </w:r>
    </w:p>
    <w:p>
      <w:pPr>
        <w:spacing w:after="0" w:line="232" w:lineRule="exact"/>
        <w:rPr>
          <w:sz w:val="20"/>
          <w:szCs w:val="20"/>
          <w:color w:val="auto"/>
        </w:rPr>
      </w:pPr>
    </w:p>
    <w:p>
      <w:pPr>
        <w:jc w:val="both"/>
        <w:ind w:left="1560" w:firstLine="602"/>
        <w:spacing w:after="0" w:line="252" w:lineRule="auto"/>
        <w:rPr>
          <w:sz w:val="20"/>
          <w:szCs w:val="20"/>
          <w:color w:val="auto"/>
        </w:rPr>
      </w:pPr>
      <w:r>
        <w:rPr>
          <w:rFonts w:ascii="Arial" w:cs="Arial" w:eastAsia="Arial" w:hAnsi="Arial"/>
          <w:sz w:val="17"/>
          <w:szCs w:val="17"/>
          <w:color w:val="auto"/>
        </w:rPr>
        <w:t xml:space="preserve">(r)Liens to secure any Refinancing, refunding, extension, renewal or replacement (or successive Refinancing, refunding, extensions, renewals or replacements) as a whole, or in part, of any Indebtedness secured by any Lien referred to in clauses (f), (g), (h), (i), (u) and (v)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new Lien shall be limited to all or part of the same property that secured the original Lien (plus improvements on such property), and (b) the Indebtedness secured by such Lien at such time is not increased to any amount greater than the sum of (i) the outstanding principal amount or in the case of Indebtedness described under clauses (f), (g), (h), (i), (u) and (v) of this definition only, if greater, committed amount of the Indebtedness described under clauses (f), (g), (h), (i), (u) and (v) of this definition at the time the original Lien became a Permitted Lien under this Agreement, and (ii) an amount necessary to pay any fees and expenses, including premiums, related to such Refinancing, refunding, extension, renewal or replacement;</w:t>
      </w:r>
    </w:p>
    <w:p>
      <w:pPr>
        <w:spacing w:after="0" w:line="184" w:lineRule="exact"/>
        <w:rPr>
          <w:sz w:val="20"/>
          <w:szCs w:val="20"/>
          <w:color w:val="auto"/>
        </w:rPr>
      </w:pPr>
    </w:p>
    <w:p>
      <w:pPr>
        <w:jc w:val="both"/>
        <w:ind w:left="1560" w:right="20" w:firstLine="602"/>
        <w:spacing w:after="0" w:line="326" w:lineRule="auto"/>
        <w:rPr>
          <w:sz w:val="20"/>
          <w:szCs w:val="20"/>
          <w:color w:val="auto"/>
        </w:rPr>
      </w:pPr>
      <w:r>
        <w:rPr>
          <w:rFonts w:ascii="Arial" w:cs="Arial" w:eastAsia="Arial" w:hAnsi="Arial"/>
          <w:sz w:val="16"/>
          <w:szCs w:val="16"/>
          <w:color w:val="auto"/>
        </w:rPr>
        <w:t>(s)Liens on insurance policies and the proceeds thereof securing the financing of the premiums with respect thereto and deposits made or other security provided in the ordinary course of business to secure liability to insurance carriers;</w:t>
      </w:r>
    </w:p>
    <w:p>
      <w:pPr>
        <w:spacing w:after="0" w:line="140" w:lineRule="exact"/>
        <w:rPr>
          <w:sz w:val="20"/>
          <w:szCs w:val="20"/>
          <w:color w:val="auto"/>
        </w:rPr>
      </w:pPr>
    </w:p>
    <w:p>
      <w:pPr>
        <w:ind w:left="1560" w:right="20" w:firstLine="607"/>
        <w:spacing w:after="0" w:line="263" w:lineRule="auto"/>
        <w:tabs>
          <w:tab w:leader="none" w:pos="2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in connection with any letter of intent or purchase agreement in connection with an Investment permitted hereunder;</w:t>
      </w:r>
    </w:p>
    <w:p>
      <w:pPr>
        <w:spacing w:after="0" w:line="173" w:lineRule="exact"/>
        <w:rPr>
          <w:rFonts w:ascii="Arial" w:cs="Arial" w:eastAsia="Arial" w:hAnsi="Arial"/>
          <w:sz w:val="18"/>
          <w:szCs w:val="18"/>
          <w:color w:val="auto"/>
        </w:rPr>
      </w:pPr>
    </w:p>
    <w:p>
      <w:pPr>
        <w:jc w:val="both"/>
        <w:ind w:left="1560" w:right="20" w:firstLine="606"/>
        <w:spacing w:after="0"/>
        <w:tabs>
          <w:tab w:leader="none" w:pos="29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Liens securing obligations, which obligations, together with any Refinancing thereof, do not exceed at any one time outstanding the greater of (x) $52,500,000 and (y) 45.0% of LTM CEBITDA (calculated at the time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Borrower’s option, such Liens may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to the Obligations, subject to a Senior Representative acting on behalf of the holders of such Liens becoming party to an Intercreditor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20"/>
          </w:cols>
          <w:pgMar w:left="360" w:top="1326" w:right="819" w:bottom="1440" w:gutter="0" w:footer="0" w:header="0"/>
        </w:sectPr>
      </w:pPr>
    </w:p>
    <w:bookmarkStart w:id="138" w:name="page139"/>
    <w:bookmarkEnd w:id="138"/>
    <w:p>
      <w:pPr>
        <w:ind w:left="1560" w:right="640"/>
        <w:spacing w:after="0" w:line="263" w:lineRule="auto"/>
        <w:rPr>
          <w:sz w:val="20"/>
          <w:szCs w:val="20"/>
          <w:color w:val="auto"/>
        </w:rPr>
      </w:pPr>
      <w:r>
        <w:rPr>
          <w:rFonts w:ascii="Arial" w:cs="Arial" w:eastAsia="Arial" w:hAnsi="Arial"/>
          <w:sz w:val="18"/>
          <w:szCs w:val="18"/>
          <w:color w:val="auto"/>
        </w:rPr>
        <w:t>Agreement (or any Intercreditor Agreement has been amended or replaced in a manner reasonably acceptable to the Borrower and the Administrative Agent);</w:t>
      </w:r>
    </w:p>
    <w:p>
      <w:pPr>
        <w:spacing w:after="0" w:line="186" w:lineRule="exact"/>
        <w:rPr>
          <w:sz w:val="20"/>
          <w:szCs w:val="20"/>
          <w:color w:val="auto"/>
        </w:rPr>
      </w:pPr>
    </w:p>
    <w:p>
      <w:pPr>
        <w:ind w:left="2960" w:hanging="794"/>
        <w:spacing w:after="0"/>
        <w:tabs>
          <w:tab w:leader="none" w:pos="29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8"/>
          <w:szCs w:val="18"/>
          <w:u w:val="single" w:color="auto"/>
          <w:color w:val="auto"/>
        </w:rPr>
        <w:t>11.1(h)</w:t>
      </w:r>
      <w:r>
        <w:rPr>
          <w:rFonts w:ascii="Arial" w:cs="Arial" w:eastAsia="Arial" w:hAnsi="Arial"/>
          <w:sz w:val="18"/>
          <w:szCs w:val="18"/>
          <w:color w:val="auto"/>
        </w:rPr>
        <w:t>;</w:t>
      </w:r>
    </w:p>
    <w:p>
      <w:pPr>
        <w:spacing w:after="0" w:line="279" w:lineRule="exact"/>
        <w:rPr>
          <w:sz w:val="20"/>
          <w:szCs w:val="20"/>
          <w:color w:val="auto"/>
        </w:rPr>
      </w:pPr>
    </w:p>
    <w:p>
      <w:pPr>
        <w:ind w:left="1560" w:right="20" w:firstLine="606"/>
        <w:spacing w:after="0" w:line="263" w:lineRule="auto"/>
        <w:tabs>
          <w:tab w:leader="none" w:pos="29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and exportation of goods in the ordinary course of business;</w:t>
      </w:r>
    </w:p>
    <w:p>
      <w:pPr>
        <w:spacing w:after="0" w:line="173" w:lineRule="exact"/>
        <w:rPr>
          <w:rFonts w:ascii="Arial" w:cs="Arial" w:eastAsia="Arial" w:hAnsi="Arial"/>
          <w:sz w:val="18"/>
          <w:szCs w:val="18"/>
          <w:color w:val="auto"/>
        </w:rPr>
      </w:pPr>
    </w:p>
    <w:p>
      <w:pPr>
        <w:ind w:left="1560" w:right="20" w:firstLine="606"/>
        <w:spacing w:after="0" w:line="263" w:lineRule="auto"/>
        <w:tabs>
          <w:tab w:leader="none" w:pos="29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consisting of the licensing of patents, copyrights, trademarks, trade names, other indications of origin, domain names and other forms of Intellectual Property in the ordinary course of business;</w:t>
      </w:r>
    </w:p>
    <w:p>
      <w:pPr>
        <w:spacing w:after="0" w:line="185" w:lineRule="exact"/>
        <w:rPr>
          <w:rFonts w:ascii="Arial" w:cs="Arial" w:eastAsia="Arial" w:hAnsi="Arial"/>
          <w:sz w:val="18"/>
          <w:szCs w:val="18"/>
          <w:color w:val="auto"/>
        </w:rPr>
      </w:pPr>
    </w:p>
    <w:p>
      <w:pPr>
        <w:jc w:val="both"/>
        <w:ind w:left="1560" w:firstLine="606"/>
        <w:spacing w:after="0" w:line="242" w:lineRule="auto"/>
        <w:tabs>
          <w:tab w:leader="none" w:pos="29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UCC (or any comparable or successor provision) on items in the course of collection and (ii) in favor of banking institutions arising as a matter of law or pursuant to a bank’s general banking conditions encumbering deposits (including the right of setoff) and which are within the general parameters customary in the banking industry;</w:t>
      </w:r>
    </w:p>
    <w:p>
      <w:pPr>
        <w:spacing w:after="0" w:line="205" w:lineRule="exact"/>
        <w:rPr>
          <w:rFonts w:ascii="Arial" w:cs="Arial" w:eastAsia="Arial" w:hAnsi="Arial"/>
          <w:sz w:val="18"/>
          <w:szCs w:val="18"/>
          <w:color w:val="auto"/>
        </w:rPr>
      </w:pPr>
    </w:p>
    <w:p>
      <w:pPr>
        <w:jc w:val="both"/>
        <w:ind w:left="1560" w:right="20" w:firstLine="606"/>
        <w:spacing w:after="0" w:line="269" w:lineRule="auto"/>
        <w:tabs>
          <w:tab w:leader="none" w:pos="29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(including extended retention of title arrangements), consignment or similar arrangements for the sale of goods entered into in the ordinary course of business or Liens arising by operation of law under Article 2 of the UCC in favor of a reclaiming seller of goods or buyer of goods;</w:t>
      </w:r>
    </w:p>
    <w:p>
      <w:pPr>
        <w:spacing w:after="0" w:line="170" w:lineRule="exact"/>
        <w:rPr>
          <w:rFonts w:ascii="Arial" w:cs="Arial" w:eastAsia="Arial" w:hAnsi="Arial"/>
          <w:sz w:val="17"/>
          <w:szCs w:val="17"/>
          <w:color w:val="auto"/>
        </w:rPr>
      </w:pPr>
    </w:p>
    <w:p>
      <w:pPr>
        <w:ind w:left="1560" w:right="20" w:firstLine="607"/>
        <w:spacing w:after="0" w:line="326" w:lineRule="auto"/>
        <w:tabs>
          <w:tab w:leader="none" w:pos="2507"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Liens deemed to exist in connection with Investments in repurchase agreements permitted under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do not extend to any assets other than those that are the subject of such repurchase agreement;</w:t>
      </w:r>
    </w:p>
    <w:p>
      <w:pPr>
        <w:spacing w:after="0" w:line="127" w:lineRule="exact"/>
        <w:rPr>
          <w:rFonts w:ascii="Arial" w:cs="Arial" w:eastAsia="Arial" w:hAnsi="Arial"/>
          <w:sz w:val="16"/>
          <w:szCs w:val="16"/>
          <w:color w:val="auto"/>
        </w:rPr>
      </w:pPr>
    </w:p>
    <w:p>
      <w:pPr>
        <w:jc w:val="both"/>
        <w:ind w:left="1560" w:right="20" w:firstLine="606"/>
        <w:spacing w:after="0" w:line="248" w:lineRule="auto"/>
        <w:tabs>
          <w:tab w:leader="none" w:pos="25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98" w:lineRule="exact"/>
        <w:rPr>
          <w:rFonts w:ascii="Arial" w:cs="Arial" w:eastAsia="Arial" w:hAnsi="Arial"/>
          <w:sz w:val="18"/>
          <w:szCs w:val="18"/>
          <w:color w:val="auto"/>
        </w:rPr>
      </w:pPr>
    </w:p>
    <w:p>
      <w:pPr>
        <w:jc w:val="both"/>
        <w:ind w:left="1560" w:firstLine="606"/>
        <w:spacing w:after="0" w:line="239" w:lineRule="auto"/>
        <w:tabs>
          <w:tab w:leader="none" w:pos="25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not given in connection with the issuance of Indebtedness, (ii) relating to pooled deposit or sweep accounts or netting arrangements of the Borrower or any of its Restricted Subsidiaries to permit satisfaction of overdraft or similar obligations incurred in the ordinary course of business of the Borrower and its Restricted Subsidiaries or (iii) relating to purchase orders and other similar agreements entered into with customers of the Borrower or any of its Restricted Subsidiaries in the ordinary course of business;</w:t>
      </w:r>
    </w:p>
    <w:p>
      <w:pPr>
        <w:spacing w:after="0" w:line="205" w:lineRule="exact"/>
        <w:rPr>
          <w:rFonts w:ascii="Arial" w:cs="Arial" w:eastAsia="Arial" w:hAnsi="Arial"/>
          <w:sz w:val="18"/>
          <w:szCs w:val="18"/>
          <w:color w:val="auto"/>
        </w:rPr>
      </w:pPr>
    </w:p>
    <w:p>
      <w:pPr>
        <w:ind w:left="2660" w:hanging="493"/>
        <w:spacing w:after="0"/>
        <w:tabs>
          <w:tab w:leader="none" w:pos="2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ind w:left="1560" w:right="20" w:firstLine="607"/>
        <w:spacing w:after="0" w:line="263" w:lineRule="auto"/>
        <w:tabs>
          <w:tab w:leader="none" w:pos="2539"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Non-recourse Liens on the Equity Interests of an Unrestricted Subsidiary to secure obligations of such Unrestricted Subsidiary;</w:t>
      </w:r>
    </w:p>
    <w:p>
      <w:pPr>
        <w:spacing w:after="0" w:line="185" w:lineRule="exact"/>
        <w:rPr>
          <w:rFonts w:ascii="Arial" w:cs="Arial" w:eastAsia="Arial" w:hAnsi="Arial"/>
          <w:sz w:val="18"/>
          <w:szCs w:val="18"/>
          <w:color w:val="auto"/>
        </w:rPr>
      </w:pPr>
    </w:p>
    <w:p>
      <w:pPr>
        <w:jc w:val="both"/>
        <w:ind w:left="1560" w:right="20" w:firstLine="607"/>
        <w:spacing w:after="0" w:line="248" w:lineRule="auto"/>
        <w:tabs>
          <w:tab w:leader="none" w:pos="24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on Equity Interests (i) deemed to exist in connection with any options, put and call arrangements, rights of first refusal and similar rights relating to Investments in Persons that are not Restricted Subsidiaries or (ii) of any joint venture or similar arrangement pursuant to any joint venture or similar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20"/>
          </w:cols>
          <w:pgMar w:left="360" w:top="1326" w:right="819" w:bottom="1440" w:gutter="0" w:footer="0" w:header="0"/>
        </w:sectPr>
      </w:pPr>
    </w:p>
    <w:bookmarkStart w:id="139" w:name="page140"/>
    <w:bookmarkEnd w:id="139"/>
    <w:p>
      <w:pPr>
        <w:ind w:left="2660" w:hanging="493"/>
        <w:spacing w:after="0"/>
        <w:tabs>
          <w:tab w:leader="none" w:pos="2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2660" w:hanging="493"/>
        <w:spacing w:after="0"/>
        <w:tabs>
          <w:tab w:leader="none" w:pos="2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1560" w:firstLine="606"/>
        <w:spacing w:after="0" w:line="248" w:lineRule="auto"/>
        <w:tabs>
          <w:tab w:leader="none" w:pos="2439"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arising as a result of the re-characterization as a loan and as a Lien of any transaction permitted pursuant to Section 9.5 (other than subclause (b)(xi) of the definition of Asset Sale), including any precautionary financing statement or similar filings in connection therewith;</w:t>
      </w:r>
    </w:p>
    <w:p>
      <w:pPr>
        <w:spacing w:after="0" w:line="198" w:lineRule="exact"/>
        <w:rPr>
          <w:rFonts w:ascii="Arial" w:cs="Arial" w:eastAsia="Arial" w:hAnsi="Arial"/>
          <w:sz w:val="18"/>
          <w:szCs w:val="18"/>
          <w:color w:val="auto"/>
        </w:rPr>
      </w:pPr>
    </w:p>
    <w:p>
      <w:pPr>
        <w:ind w:left="1560" w:firstLine="606"/>
        <w:spacing w:after="0" w:line="263" w:lineRule="auto"/>
        <w:tabs>
          <w:tab w:leader="none" w:pos="2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restrictions on dispositions of assets to be disposed of pursuant to merger agreements, stock or asset purchase agreements and similar agreements;</w:t>
      </w:r>
    </w:p>
    <w:p>
      <w:pPr>
        <w:spacing w:after="0" w:line="185" w:lineRule="exact"/>
        <w:rPr>
          <w:rFonts w:ascii="Arial" w:cs="Arial" w:eastAsia="Arial" w:hAnsi="Arial"/>
          <w:sz w:val="18"/>
          <w:szCs w:val="18"/>
          <w:color w:val="auto"/>
        </w:rPr>
      </w:pPr>
    </w:p>
    <w:p>
      <w:pPr>
        <w:ind w:left="1560" w:firstLine="606"/>
        <w:spacing w:after="0" w:line="263" w:lineRule="auto"/>
        <w:tabs>
          <w:tab w:leader="none" w:pos="25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on equipment of the Borrower or any of its Restricted Subsidiaries granted in the ordinary course of business to the Borrower’s and its Restricted Subsidiaries’ clients;</w:t>
      </w:r>
    </w:p>
    <w:p>
      <w:pPr>
        <w:spacing w:after="0" w:line="173" w:lineRule="exact"/>
        <w:rPr>
          <w:rFonts w:ascii="Arial" w:cs="Arial" w:eastAsia="Arial" w:hAnsi="Arial"/>
          <w:sz w:val="18"/>
          <w:szCs w:val="18"/>
          <w:color w:val="auto"/>
        </w:rPr>
      </w:pPr>
    </w:p>
    <w:p>
      <w:pPr>
        <w:ind w:left="1560" w:firstLine="607"/>
        <w:spacing w:after="0" w:line="263" w:lineRule="auto"/>
        <w:tabs>
          <w:tab w:leader="none" w:pos="24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arising in connection with the defeasance, discharge or redemption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defeasance, discharge or redemption is permitted hereunder;</w:t>
      </w:r>
    </w:p>
    <w:p>
      <w:pPr>
        <w:spacing w:after="0" w:line="185" w:lineRule="exact"/>
        <w:rPr>
          <w:rFonts w:ascii="Arial" w:cs="Arial" w:eastAsia="Arial" w:hAnsi="Arial"/>
          <w:sz w:val="18"/>
          <w:szCs w:val="18"/>
          <w:color w:val="auto"/>
        </w:rPr>
      </w:pPr>
    </w:p>
    <w:p>
      <w:pPr>
        <w:ind w:left="1560" w:firstLine="606"/>
        <w:spacing w:after="0" w:line="263" w:lineRule="auto"/>
        <w:tabs>
          <w:tab w:leader="none" w:pos="26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on cash advances in favor of the seller of any property to be acquired in an Investment permitted hereunder to be applied against the purchase price for such Investment;</w:t>
      </w:r>
    </w:p>
    <w:p>
      <w:pPr>
        <w:spacing w:after="0" w:line="185" w:lineRule="exact"/>
        <w:rPr>
          <w:rFonts w:ascii="Arial" w:cs="Arial" w:eastAsia="Arial" w:hAnsi="Arial"/>
          <w:sz w:val="18"/>
          <w:szCs w:val="18"/>
          <w:color w:val="auto"/>
        </w:rPr>
      </w:pPr>
    </w:p>
    <w:p>
      <w:pPr>
        <w:ind w:left="1560" w:firstLine="607"/>
        <w:spacing w:after="0" w:line="263" w:lineRule="auto"/>
        <w:tabs>
          <w:tab w:leader="none" w:pos="25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on property or assets under construction (and related rights) in favor of a contractor or developer or arising from progress or partial payments by a third party relating to such property or asset; and</w:t>
      </w:r>
    </w:p>
    <w:p>
      <w:pPr>
        <w:spacing w:after="0" w:line="173" w:lineRule="exact"/>
        <w:rPr>
          <w:rFonts w:ascii="Arial" w:cs="Arial" w:eastAsia="Arial" w:hAnsi="Arial"/>
          <w:sz w:val="18"/>
          <w:szCs w:val="18"/>
          <w:color w:val="auto"/>
        </w:rPr>
      </w:pPr>
    </w:p>
    <w:p>
      <w:pPr>
        <w:jc w:val="both"/>
        <w:ind w:left="1560" w:firstLine="607"/>
        <w:spacing w:after="0" w:line="248" w:lineRule="auto"/>
        <w:tabs>
          <w:tab w:leader="none" w:pos="25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Liens on any property or assets of any Restricted Subsidiary that is not a Loan Party securing Indebtedness of such Restricted Subsidiary permitted under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Liens only apply to property or assets of Restricted Subsidiaries that are not Loan Parties.</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For purposes of this definition, the term “</w:t>
      </w:r>
      <w:r>
        <w:rPr>
          <w:rFonts w:ascii="Arial" w:cs="Arial" w:eastAsia="Arial" w:hAnsi="Arial"/>
          <w:sz w:val="18"/>
          <w:szCs w:val="18"/>
          <w:u w:val="single" w:color="auto"/>
          <w:color w:val="auto"/>
        </w:rPr>
        <w:t>Indebtedness</w:t>
      </w:r>
      <w:r>
        <w:rPr>
          <w:rFonts w:ascii="Arial" w:cs="Arial" w:eastAsia="Arial" w:hAnsi="Arial"/>
          <w:sz w:val="18"/>
          <w:szCs w:val="18"/>
          <w:color w:val="auto"/>
        </w:rPr>
        <w:t>” shall be deemed to include interest on such Indebtedness.</w:t>
      </w:r>
    </w:p>
    <w:p>
      <w:pPr>
        <w:spacing w:after="0" w:line="232" w:lineRule="exact"/>
        <w:rPr>
          <w:sz w:val="20"/>
          <w:szCs w:val="20"/>
          <w:color w:val="auto"/>
        </w:rPr>
      </w:pPr>
    </w:p>
    <w:p>
      <w:pPr>
        <w:jc w:val="both"/>
        <w:ind w:left="96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Non-Core Asset Sales</w:t>
      </w:r>
      <w:r>
        <w:rPr>
          <w:rFonts w:ascii="Arial" w:cs="Arial" w:eastAsia="Arial" w:hAnsi="Arial"/>
          <w:sz w:val="17"/>
          <w:szCs w:val="17"/>
          <w:color w:val="auto"/>
        </w:rPr>
        <w:t xml:space="preserve">” shall mean any Dispositions of non-core assets (as determined by the Borrower in good faith) acquired in connection with Permitted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consideration received (i) shall not exceed 30.0% of the aggregate consideration paid in connection with the Permitted Acquisition in which the applicable non-core assets were acquired and (ii) is at least equal to the fair market value of the non-core assets which are Disposed.</w:t>
      </w:r>
    </w:p>
    <w:p>
      <w:pPr>
        <w:spacing w:after="0" w:line="175"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WAL Exception</w:t>
      </w:r>
      <w:r>
        <w:rPr>
          <w:rFonts w:ascii="Arial" w:cs="Arial" w:eastAsia="Arial" w:hAnsi="Arial"/>
          <w:sz w:val="18"/>
          <w:szCs w:val="18"/>
          <w:color w:val="auto"/>
        </w:rPr>
        <w:t xml:space="preserve">” shall mean, with respect to any Incremental Facilities and Indebtedness incurred pursuant to </w:t>
      </w:r>
      <w:r>
        <w:rPr>
          <w:rFonts w:ascii="Arial" w:cs="Arial" w:eastAsia="Arial" w:hAnsi="Arial"/>
          <w:sz w:val="18"/>
          <w:szCs w:val="18"/>
          <w:u w:val="single" w:color="auto"/>
          <w:color w:val="auto"/>
        </w:rPr>
        <w:t>Section 9.4(b)(vi)</w:t>
      </w:r>
      <w:r>
        <w:rPr>
          <w:rFonts w:ascii="Arial" w:cs="Arial" w:eastAsia="Arial" w:hAnsi="Arial"/>
          <w:sz w:val="18"/>
          <w:szCs w:val="18"/>
          <w:color w:val="auto"/>
        </w:rPr>
        <w:t>, Indebtedness in an aggregate principal amount of up to $250,000,000.</w:t>
      </w:r>
    </w:p>
    <w:p>
      <w:pPr>
        <w:spacing w:after="0" w:line="186"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joint venture, firm, corporation, association, limited liability company, trust or other enterprise or any Governmental Authority.</w:t>
      </w:r>
    </w:p>
    <w:p>
      <w:pPr>
        <w:spacing w:after="0" w:line="186"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at a particular time, an “employee pension benefit plan” as defined in Section 3(3) of ERISA (other than a Multiemployer Plan), that is subject to the provisions of Title IV of ERISA or Section 412 of the Code or Section 302 of ERISA, and in respect of which the Borrower or any of its ERISA Affiliates is (or, if such plan were terminated, would under Section 4069 of ERISA be deemed to be) an “employer” as defined in Section 3(5)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00"/>
          </w:cols>
          <w:pgMar w:left="360" w:top="1326" w:right="839" w:bottom="1440" w:gutter="0" w:footer="0" w:header="0"/>
        </w:sectPr>
      </w:pPr>
    </w:p>
    <w:bookmarkStart w:id="140" w:name="page141"/>
    <w:bookmarkEnd w:id="140"/>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Pounds Sterling</w:t>
      </w:r>
      <w:r>
        <w:rPr>
          <w:rFonts w:ascii="Arial" w:cs="Arial" w:eastAsia="Arial" w:hAnsi="Arial"/>
          <w:sz w:val="16"/>
          <w:szCs w:val="16"/>
          <w:color w:val="auto"/>
        </w:rPr>
        <w:t>” and “</w:t>
      </w:r>
      <w:r>
        <w:rPr>
          <w:rFonts w:ascii="Arial" w:cs="Arial" w:eastAsia="Arial" w:hAnsi="Arial"/>
          <w:sz w:val="16"/>
          <w:szCs w:val="16"/>
          <w:u w:val="single" w:color="auto"/>
          <w:color w:val="auto"/>
        </w:rPr>
        <w:t>£</w:t>
      </w:r>
      <w:r>
        <w:rPr>
          <w:rFonts w:ascii="Arial" w:cs="Arial" w:eastAsia="Arial" w:hAnsi="Arial"/>
          <w:sz w:val="16"/>
          <w:szCs w:val="16"/>
          <w:color w:val="auto"/>
        </w:rPr>
        <w:t>” shall mean freely transferable lawful money of the United Kingdom (expressed in Pounds Sterling).</w:t>
      </w:r>
    </w:p>
    <w:p>
      <w:pPr>
        <w:spacing w:after="0" w:line="255" w:lineRule="exact"/>
        <w:rPr>
          <w:sz w:val="20"/>
          <w:szCs w:val="20"/>
          <w:color w:val="auto"/>
        </w:rPr>
      </w:pPr>
    </w:p>
    <w:p>
      <w:pPr>
        <w:ind w:left="960" w:right="68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any Equity Interest with preferential rights of payment of dividends or upon liquidation, dissolution, or winding up.</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Certificate</w:t>
      </w:r>
      <w:r>
        <w:rPr>
          <w:rFonts w:ascii="Arial" w:cs="Arial" w:eastAsia="Arial" w:hAnsi="Arial"/>
          <w:sz w:val="18"/>
          <w:szCs w:val="18"/>
          <w:color w:val="auto"/>
        </w:rPr>
        <w:t>” shall have the meaning set forth in the definition of “Applicable Margin.”</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Obligations</w:t>
      </w:r>
      <w:r>
        <w:rPr>
          <w:rFonts w:ascii="Arial" w:cs="Arial" w:eastAsia="Arial" w:hAnsi="Arial"/>
          <w:sz w:val="18"/>
          <w:szCs w:val="18"/>
          <w:color w:val="auto"/>
        </w:rPr>
        <w:t>” shall have the meaning set forth in the definition of “Contingent Obligation.”</w:t>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Obligor</w:t>
      </w:r>
      <w:r>
        <w:rPr>
          <w:rFonts w:ascii="Arial" w:cs="Arial" w:eastAsia="Arial" w:hAnsi="Arial"/>
          <w:sz w:val="18"/>
          <w:szCs w:val="18"/>
          <w:color w:val="auto"/>
        </w:rPr>
        <w:t>” shall have the meaning set forth in the definition of “Contingent Obligation.”</w:t>
      </w:r>
    </w:p>
    <w:p>
      <w:pPr>
        <w:spacing w:after="0" w:line="307" w:lineRule="exact"/>
        <w:rPr>
          <w:sz w:val="20"/>
          <w:szCs w:val="20"/>
          <w:color w:val="auto"/>
        </w:rPr>
      </w:pPr>
    </w:p>
    <w:p>
      <w:pPr>
        <w:jc w:val="both"/>
        <w:ind w:left="960" w:right="180" w:firstLine="602"/>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and “</w:t>
      </w:r>
      <w:r>
        <w:rPr>
          <w:rFonts w:ascii="Arial" w:cs="Arial" w:eastAsia="Arial" w:hAnsi="Arial"/>
          <w:sz w:val="17"/>
          <w:szCs w:val="17"/>
          <w:u w:val="single" w:color="auto"/>
          <w:color w:val="auto"/>
        </w:rPr>
        <w:t>Pro Forma Effect</w:t>
      </w:r>
      <w:r>
        <w:rPr>
          <w:rFonts w:ascii="Arial" w:cs="Arial" w:eastAsia="Arial" w:hAnsi="Arial"/>
          <w:sz w:val="17"/>
          <w:szCs w:val="17"/>
          <w:color w:val="auto"/>
        </w:rPr>
        <w:t>” shall mean, for the purposes of calculating Consolidated CEBITDA for any period of four consecutive fiscal quarters (each, a “</w:t>
      </w:r>
      <w:r>
        <w:rPr>
          <w:rFonts w:ascii="Arial" w:cs="Arial" w:eastAsia="Arial" w:hAnsi="Arial"/>
          <w:sz w:val="17"/>
          <w:szCs w:val="17"/>
          <w:u w:val="single" w:color="auto"/>
          <w:color w:val="auto"/>
        </w:rPr>
        <w:t>Reference Period</w:t>
      </w:r>
      <w:r>
        <w:rPr>
          <w:rFonts w:ascii="Arial" w:cs="Arial" w:eastAsia="Arial" w:hAnsi="Arial"/>
          <w:sz w:val="17"/>
          <w:szCs w:val="17"/>
          <w:color w:val="auto"/>
        </w:rPr>
        <w:t xml:space="preserve">”), (i) if at any time during such Reference Period, the Borrower, or subsequent to such Reference Period (in the case of any calculation of Consolidated CEBITDA other than with respect to the determination of Adjustable Applicable Margins or the Financial Covenant), the Borrower or any Restricted Subsidiary shall have made any Disposition, the Consolidated CEBITDA for such Reference Period shall be reduced by an amount equal to the Consolidated CEBITDA (if positive) attributable to the property that is the subject of such Disposition for such Reference Period or increased by an amount equal to the Consolidated CEBITDA (if negative) attributable thereto for such Reference Period and (ii) if during such Reference Period, or subsequent to such Reference Period (in the case of any calculation of Consolidated CEBITDA other than with respect to the determination of Adjustable Applicable Margins or the Financial Covenant), the Borrower or any Restricted Subsidiary shall have made an acquisition of the Capital Stock of any Person or of assets constituting at least a division of a business unit of, or all or substantially all of the assets of, any Person, Consolidated CEBITDA for such Reference Period shall be calculated after giving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thereto as if such acquisition of Capital Stock or assets constituting at least a division of a business unit of, or all or substantially all of the assets of, any Person, occurred on the first day of such Reference Period (including, in each such case,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adjustments (x) arising out of events which are directly attributable to a specific transaction, are factually supportable and are expected to have a continuing impact, in each case determined on a basis consistent with Article 11 of Regulation S-X promulgated under the Securities Act and as interpreted by the staff of the SEC, which would include expected cost savings resulting from head count reduction, closure of facilities and similar restructuring charges and (y) such other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adjustments relating to a specific transaction or event and reflective of actual or reasonably anticipated synergies and cost savings and reasonably expected to be realized or achieved in the twenty- four (24) months following such transaction or event, which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forma</w:t>
      </w:r>
      <w:r>
        <w:rPr>
          <w:rFonts w:ascii="Arial" w:cs="Arial" w:eastAsia="Arial" w:hAnsi="Arial"/>
          <w:sz w:val="17"/>
          <w:szCs w:val="17"/>
          <w:color w:val="auto"/>
        </w:rPr>
        <w:t xml:space="preserve"> adjustments shall be certified by the chief financial officer, treasurer, controller or comptroller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 forma adjustments pursuant to clause (ii)(y) of this definition shall, together with the addbacks made in the aggregate pursuant to clauses (b)(iv) (other than as set forth in the second proviso thereto) and (b)(xv) of the definition of “Consolidated CEBITDA,” not exceed 30.0% of Consolidated CEBITDA (after giving effect to all such adjustments) for such period. The term “</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in this definition shall not include dispositions of inventory in the ordinary course of business and other ordinary course dispositions of property. Without limiting the preceding sentence, when calculating any Leverage Ratio herein on a Pro Forma Basis for purposes of determining the permissibility of the Incurrence of any Indebtedness, such Leverage Ratio shall be calculated giving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to the Incurrence of such Indebtedness, as if such Indebtedness were outstanding on the last day of the applicable Test Period. Notwithstanding anything to the contrary herein, when calculating any Leverage Ratio, in each case on a Pro Forma Basis, </w:t>
      </w:r>
      <w:r>
        <w:rPr>
          <w:rFonts w:ascii="Arial" w:cs="Arial" w:eastAsia="Arial" w:hAnsi="Arial"/>
          <w:sz w:val="17"/>
          <w:szCs w:val="17"/>
          <w:u w:val="single" w:color="auto"/>
          <w:color w:val="auto"/>
        </w:rPr>
        <w:t>Section 1.5(g)</w:t>
      </w:r>
      <w:r>
        <w:rPr>
          <w:rFonts w:ascii="Arial" w:cs="Arial" w:eastAsia="Arial" w:hAnsi="Arial"/>
          <w:sz w:val="17"/>
          <w:szCs w:val="17"/>
          <w:color w:val="auto"/>
        </w:rPr>
        <w:t xml:space="preserve"> shall apply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360" w:top="1326" w:right="639" w:bottom="1440" w:gutter="0" w:footer="0" w:header="0"/>
        </w:sectPr>
      </w:pPr>
    </w:p>
    <w:bookmarkStart w:id="141" w:name="page142"/>
    <w:bookmarkEnd w:id="141"/>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8.2(d)</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6.17(a)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Modification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307" w:lineRule="exact"/>
        <w:rPr>
          <w:sz w:val="20"/>
          <w:szCs w:val="20"/>
          <w:color w:val="auto"/>
        </w:rPr>
      </w:pPr>
    </w:p>
    <w:p>
      <w:pPr>
        <w:ind w:left="960" w:right="1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73"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shall have the meaning set forth in Section 13.7.</w:t>
      </w:r>
    </w:p>
    <w:p>
      <w:pPr>
        <w:spacing w:after="0" w:line="307" w:lineRule="exact"/>
        <w:rPr>
          <w:sz w:val="20"/>
          <w:szCs w:val="20"/>
          <w:color w:val="auto"/>
        </w:rPr>
      </w:pPr>
    </w:p>
    <w:p>
      <w:pPr>
        <w:jc w:val="both"/>
        <w:ind w:left="960" w:right="20" w:firstLine="602"/>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Counterparty</w:t>
      </w:r>
      <w:r>
        <w:rPr>
          <w:rFonts w:ascii="Arial" w:cs="Arial" w:eastAsia="Arial" w:hAnsi="Arial"/>
          <w:sz w:val="17"/>
          <w:szCs w:val="17"/>
          <w:color w:val="auto"/>
        </w:rPr>
        <w:t xml:space="preserve">” shall mean, with respect to any Specified Swap Agreement, (a) any counterparty thereto that, at the time such Specified Swap Agreement was entered into or as of the Closing Date, was the Administrative Agent, a Joint Lead Arranger or a Lender or an Affiliate of the Administrative Agent, a Joint Lead Arranger or a Lender or (b) solely with respect to hedges in effect on the Closing Date pursuant to then outstanding Specified Swap Agreements, Truist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Truist Bank agrees in a letter delivered to the Administrative Agent in form and substance reasonably satisfactory to the Administrative Agent, to indemnify the Administrative Agent, the Collateral Agent and Affiliates thereof as contemplated by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and in a manner reasonably acceptable to the Administrative Agent with respect to any action taken by it in respect of the Collateral or any breach by it of any Loan Document and, with respect to all other matters covered by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which relate to the Collateral, agrees to undertake a portion of the liability of the Lenders thereunder (without relieving the Lenders of their obligations) determined based on net termination liability (if any) of the Borrower or any of its Restricted Subsidiaries to the Truist Bank under the applicable Specified Swap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Truist Bank is hereby deemed to (i) appoint the Administrative Agent as its agent under the Loan Documents, and</w:t>
      </w:r>
    </w:p>
    <w:p>
      <w:pPr>
        <w:spacing w:after="0" w:line="9" w:lineRule="exact"/>
        <w:rPr>
          <w:sz w:val="20"/>
          <w:szCs w:val="20"/>
          <w:color w:val="auto"/>
        </w:rPr>
      </w:pPr>
    </w:p>
    <w:p>
      <w:pPr>
        <w:jc w:val="both"/>
        <w:ind w:left="960" w:right="40" w:firstLine="2"/>
        <w:spacing w:after="0" w:line="235" w:lineRule="auto"/>
        <w:tabs>
          <w:tab w:leader="none" w:pos="127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agrees to be bound by the provisions of this Agreement and the other Loan Documents;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counterparty described in the foregoing clause (a) (other than the Administrative Agent or any of its Affiliates) shall be considered a Qualified Counterparty or a Secured Party until such time as it (or the Borrower) shall have delivered written notice to the Administrative Agent that such counterparty is at the time such Specified Swap Agreement is entered into (or was as of the Closing Date) a Joint Lead Arranger or a Lender or an Affiliate of a Joint Lead Arranger or a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Qualified Counterparty may deliver (or the Borrower may deliver on its behalf) one such notice with respect to all Specified Swap Agreements entered into pursuant to a specified ISDA Master Agreement.</w:t>
      </w:r>
    </w:p>
    <w:p>
      <w:pPr>
        <w:spacing w:after="0" w:line="208" w:lineRule="exact"/>
        <w:rPr>
          <w:sz w:val="20"/>
          <w:szCs w:val="20"/>
          <w:color w:val="auto"/>
        </w:rPr>
      </w:pPr>
    </w:p>
    <w:p>
      <w:pPr>
        <w:jc w:val="both"/>
        <w:ind w:left="960" w:right="4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shall mean, in respect of any Swap Obligation, each Loan Party that has total assets exceeding $10,000,000 at the time such Swap Obligation is incurred.</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shall mean any Capital Stock that is not a Disqualified Stock.</w:t>
      </w:r>
    </w:p>
    <w:p>
      <w:pPr>
        <w:spacing w:after="0" w:line="295"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Public Offering</w:t>
      </w:r>
      <w:r>
        <w:rPr>
          <w:rFonts w:ascii="Arial" w:cs="Arial" w:eastAsia="Arial" w:hAnsi="Arial"/>
          <w:sz w:val="18"/>
          <w:szCs w:val="18"/>
          <w:color w:val="auto"/>
        </w:rPr>
        <w:t>” shall mean (x) an issuance or sale by the Borrower or its direct or indirect parent of its common equity interests in an underwritten primary or secondary public offering, other than a public offering pursuant to a registration statement on Form S-8, pursuant to an effective registration statement on file with the SEC or (y) any transaction or series of related transactions (including by merger with a SPAC) following the consummation of which the Borrower or its direct or indirect parent is either subject to the periodic reporting obligations of the Exchange Act or has a class of equity interests publicly traded on a recognized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326390" cy="182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40"/>
          </w:cols>
          <w:pgMar w:left="360" w:top="1326" w:right="799" w:bottom="1440" w:gutter="0" w:footer="0" w:header="0"/>
        </w:sectPr>
      </w:pPr>
    </w:p>
    <w:bookmarkStart w:id="142" w:name="page143"/>
    <w:bookmarkEnd w:id="142"/>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xml:space="preserve">” shall mean (a) with respect to the fees payable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0" w:lineRule="exact"/>
        <w:rPr>
          <w:sz w:val="20"/>
          <w:szCs w:val="20"/>
          <w:color w:val="auto"/>
        </w:rPr>
      </w:pPr>
    </w:p>
    <w:p>
      <w:pPr>
        <w:jc w:val="both"/>
        <w:ind w:left="960" w:right="20" w:firstLine="2"/>
        <w:spacing w:after="0" w:line="239" w:lineRule="auto"/>
        <w:tabs>
          <w:tab w:leader="none" w:pos="1220"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(c)</w:t>
      </w:r>
      <w:r>
        <w:rPr>
          <w:rFonts w:ascii="Arial" w:cs="Arial" w:eastAsia="Arial" w:hAnsi="Arial"/>
          <w:sz w:val="18"/>
          <w:szCs w:val="18"/>
          <w:color w:val="auto"/>
        </w:rPr>
        <w:t>, the day that is fifteen days after the last day of each March, June, September and December occurring after the Closing Date (or, if such day is not a Business Day, the next succeeding Business Day) and (b) in all other cases, the last Business Day of each March, June, September and December occurring after the Closing Date.</w:t>
      </w:r>
    </w:p>
    <w:p>
      <w:pPr>
        <w:spacing w:after="0" w:line="20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with respect to any Person, all the right, title and interest of such Person in and to land, improvements and fixtures, including Leaseholds.</w:t>
      </w:r>
    </w:p>
    <w:p>
      <w:pPr>
        <w:spacing w:after="0" w:line="173"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shall mean any settlement of or payment in respect of any property or casualty insurance (excluding business interruption insurance) claim or any condemnation, eminent domain or similar proceeding relating to any asset of the Borrower or any of its Restricted Subsidiaries.</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shall have the meaning set forth in the definition of “Pro Forma Basis.”</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shall mean, in respect of any Indebtedness, to refinance, redeem, defease, refund, extend, renew or repay any Indebtedness with the proceeds of other Indebtedness, or to issue other Indebtedness, in exchange or replacement for, such Indebtedness in whole or in part; “</w:t>
      </w:r>
      <w:r>
        <w:rPr>
          <w:rFonts w:ascii="Arial" w:cs="Arial" w:eastAsia="Arial" w:hAnsi="Arial"/>
          <w:sz w:val="18"/>
          <w:szCs w:val="18"/>
          <w:u w:val="single" w:color="auto"/>
          <w:color w:val="auto"/>
        </w:rPr>
        <w:t>Refinanced</w:t>
      </w:r>
      <w:r>
        <w:rPr>
          <w:rFonts w:ascii="Arial" w:cs="Arial" w:eastAsia="Arial" w:hAnsi="Arial"/>
          <w:sz w:val="18"/>
          <w:szCs w:val="18"/>
          <w:color w:val="auto"/>
        </w:rPr>
        <w:t>” and “</w:t>
      </w:r>
      <w:r>
        <w:rPr>
          <w:rFonts w:ascii="Arial" w:cs="Arial" w:eastAsia="Arial" w:hAnsi="Arial"/>
          <w:sz w:val="18"/>
          <w:szCs w:val="18"/>
          <w:u w:val="single" w:color="auto"/>
          <w:color w:val="auto"/>
        </w:rPr>
        <w:t>Refinancing</w:t>
      </w:r>
      <w:r>
        <w:rPr>
          <w:rFonts w:ascii="Arial" w:cs="Arial" w:eastAsia="Arial" w:hAnsi="Arial"/>
          <w:sz w:val="18"/>
          <w:szCs w:val="18"/>
          <w:color w:val="auto"/>
        </w:rPr>
        <w:t>” shall have correlative meanings.</w:t>
      </w:r>
    </w:p>
    <w:p>
      <w:pPr>
        <w:spacing w:after="0" w:line="261"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Refinanced Credit Agreement Debt</w:t>
      </w:r>
      <w:r>
        <w:rPr>
          <w:rFonts w:ascii="Arial" w:cs="Arial" w:eastAsia="Arial" w:hAnsi="Arial"/>
          <w:sz w:val="17"/>
          <w:szCs w:val="17"/>
          <w:color w:val="auto"/>
        </w:rPr>
        <w:t>” shall have the meaning set forth in the definition of “Credit Agreement Refinancing</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Debt.”</w:t>
      </w:r>
    </w:p>
    <w:p>
      <w:pPr>
        <w:spacing w:after="0" w:line="21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Refinanced Debt</w:t>
      </w:r>
      <w:r>
        <w:rPr>
          <w:rFonts w:ascii="Arial" w:cs="Arial" w:eastAsia="Arial" w:hAnsi="Arial"/>
          <w:sz w:val="17"/>
          <w:szCs w:val="17"/>
          <w:color w:val="auto"/>
        </w:rPr>
        <w:t>” shall have the meaning set forth in the definition of “Credit Agreement Refinancing Requirements.”</w:t>
      </w:r>
    </w:p>
    <w:p>
      <w:pPr>
        <w:spacing w:after="0" w:line="231" w:lineRule="exact"/>
        <w:rPr>
          <w:sz w:val="20"/>
          <w:szCs w:val="20"/>
          <w:color w:val="auto"/>
        </w:rPr>
      </w:pPr>
    </w:p>
    <w:p>
      <w:pPr>
        <w:jc w:val="both"/>
        <w:ind w:left="960" w:right="20" w:firstLine="602"/>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shall mean, collectively, (a) the repayment in full of the term loans under the Existing Credit Agreement, together with all interest, fees and other amounts owing in respect thereof and</w:t>
      </w:r>
    </w:p>
    <w:p>
      <w:pPr>
        <w:spacing w:after="0" w:line="2" w:lineRule="exact"/>
        <w:rPr>
          <w:sz w:val="20"/>
          <w:szCs w:val="20"/>
          <w:color w:val="auto"/>
        </w:rPr>
      </w:pPr>
    </w:p>
    <w:p>
      <w:pPr>
        <w:ind w:left="960" w:right="20" w:firstLine="3"/>
        <w:spacing w:after="0" w:line="273" w:lineRule="auto"/>
        <w:tabs>
          <w:tab w:leader="none" w:pos="175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replacement of the revolving facility under the Existing Credit Agreement with the Revolving Facility and the repayment in full of all loans outstanding thereunder, together with all interest, fees and other amounts owing in respect thereof.</w:t>
      </w:r>
    </w:p>
    <w:p>
      <w:pPr>
        <w:spacing w:after="0" w:line="179"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shall mean an amendment to this Agreement executed by each of (a) the Borrower, (b) the Administrative Agent and (c) each Additional Lender and Lender that agrees to provide any portion of the Credit Agreement Refinancing Debt being incurred pursuant thereto,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26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9.4(b)(xvi)</w:t>
      </w:r>
      <w:r>
        <w:rPr>
          <w:rFonts w:ascii="Arial" w:cs="Arial" w:eastAsia="Arial" w:hAnsi="Arial"/>
          <w:sz w:val="18"/>
          <w:szCs w:val="18"/>
          <w:color w:val="auto"/>
        </w:rPr>
        <w:t>.</w:t>
      </w:r>
    </w:p>
    <w:p>
      <w:pPr>
        <w:spacing w:after="0" w:line="29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9.2(b)(ii)</w:t>
      </w:r>
      <w:r>
        <w:rPr>
          <w:rFonts w:ascii="Arial" w:cs="Arial" w:eastAsia="Arial" w:hAnsi="Arial"/>
          <w:sz w:val="18"/>
          <w:szCs w:val="18"/>
          <w:color w:val="auto"/>
        </w:rPr>
        <w: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shall mean Regulation D of the Board.</w:t>
      </w:r>
    </w:p>
    <w:p>
      <w:pPr>
        <w:spacing w:after="0" w:line="295" w:lineRule="exact"/>
        <w:rPr>
          <w:sz w:val="20"/>
          <w:szCs w:val="20"/>
          <w:color w:val="auto"/>
        </w:rPr>
      </w:pPr>
    </w:p>
    <w:p>
      <w:pPr>
        <w:jc w:val="both"/>
        <w:ind w:left="960" w:right="20" w:firstLine="602"/>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Person</w:t>
      </w:r>
      <w:r>
        <w:rPr>
          <w:rFonts w:ascii="Arial" w:cs="Arial" w:eastAsia="Arial" w:hAnsi="Arial"/>
          <w:sz w:val="17"/>
          <w:szCs w:val="17"/>
          <w:color w:val="auto"/>
        </w:rPr>
        <w:t>” shall mean, with respect to any Person, such Person’s Affiliates and the partners, directors, officers, managers, members, employees, agents, trustees, advisors and representatives of such Person and of such Person’s Affiliates.</w:t>
      </w:r>
    </w:p>
    <w:p>
      <w:pPr>
        <w:spacing w:after="0" w:line="16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20"/>
          </w:cols>
          <w:pgMar w:left="360" w:top="1326" w:right="819" w:bottom="1440" w:gutter="0" w:footer="0" w:header="0"/>
        </w:sectPr>
      </w:pPr>
    </w:p>
    <w:bookmarkStart w:id="143" w:name="page144"/>
    <w:bookmarkEnd w:id="143"/>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Assets</w:t>
      </w:r>
      <w:r>
        <w:rPr>
          <w:rFonts w:ascii="Arial" w:cs="Arial" w:eastAsia="Arial" w:hAnsi="Arial"/>
          <w:sz w:val="16"/>
          <w:szCs w:val="16"/>
          <w:color w:val="auto"/>
        </w:rPr>
        <w:t>” shall mean (a) substantially all the assets of a business operating or engaged in a Similar Business,</w:t>
      </w:r>
    </w:p>
    <w:p>
      <w:pPr>
        <w:spacing w:after="0" w:line="33" w:lineRule="exact"/>
        <w:rPr>
          <w:sz w:val="20"/>
          <w:szCs w:val="20"/>
          <w:color w:val="auto"/>
        </w:rPr>
      </w:pPr>
    </w:p>
    <w:p>
      <w:pPr>
        <w:jc w:val="both"/>
        <w:ind w:left="960" w:right="20" w:firstLine="3"/>
        <w:spacing w:after="0" w:line="239" w:lineRule="auto"/>
        <w:tabs>
          <w:tab w:leader="none" w:pos="12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Capital Stock in any Person operating or engaged in a Similar Business that results in the Borrower or another of its Restricted Subsidiaries, as the case may be, owning an amount of the Capital Stock of such Person such that it constitutes a Restricted Subsidiary or (c) any other property or assets used or useful in a Similar Business.</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95" w:lineRule="exact"/>
        <w:rPr>
          <w:sz w:val="20"/>
          <w:szCs w:val="20"/>
          <w:color w:val="auto"/>
        </w:rPr>
      </w:pPr>
    </w:p>
    <w:p>
      <w:pPr>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shall mean any of the events set forth in Section 4043(c) of ERISA with respect to a Plan, other than those events as to which the thirty-day notice period is waived under subsection .22, .23, .25, .27, .28, .29, .30, .31, .32, .34, or .35 of PBGC Regulation Section 4043.</w:t>
      </w:r>
    </w:p>
    <w:p>
      <w:pPr>
        <w:spacing w:after="0" w:line="186" w:lineRule="exact"/>
        <w:rPr>
          <w:sz w:val="20"/>
          <w:szCs w:val="20"/>
          <w:color w:val="auto"/>
        </w:rPr>
      </w:pPr>
    </w:p>
    <w:p>
      <w:pPr>
        <w:jc w:val="both"/>
        <w:ind w:left="960" w:firstLine="60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shall mean, at any time, Non-Defaulting Lenders holding at least a majority of the sum of (i) all outstanding Term Loans of Non-Defaulting Term Lenders, (ii) the Total Revolving Loan Commitments in effect at such time less the Revolving Loan Commitments of all Defaulting Lenders at such time (or, after the termination thereof, the sum of the total outstanding Revolving Loans of Non- Defaulting Lenders and the aggregate RL Percentages of all Non-Defaulting Lenders of the total outstanding Swingline Loans and Letter of Credit Outstandings at such time) and (iii) all outstanding Incremental Term Loans of Non-Defaulting Incremental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definition the outstanding principal amount of Alternate Currency Loans and the Alternate Currency Letter of Credit Outstandings at any time shall be determined using the Dollar Equivalent thereof at such time.</w:t>
      </w:r>
    </w:p>
    <w:p>
      <w:pPr>
        <w:spacing w:after="0" w:line="208"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with respect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98"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shall mean an EEA Resolution Authority or, with respect to any UK Financial Institution, a UK Resolution Authority.</w:t>
      </w:r>
    </w:p>
    <w:p>
      <w:pPr>
        <w:spacing w:after="0" w:line="173"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w:t>
      </w:r>
      <w:r>
        <w:rPr>
          <w:rFonts w:ascii="Arial" w:cs="Arial" w:eastAsia="Arial" w:hAnsi="Arial"/>
          <w:sz w:val="18"/>
          <w:szCs w:val="18"/>
          <w:color w:val="auto"/>
        </w:rPr>
        <w:t>” shall mean, when referring to cash or Cash Equivalents of the Borrower and its Restricted Subsidiaries, that such cash or Cash Equivalents appear (or would be required to appear) as “restricted” on the consolidated balance sheet of the Borrower (unless such appearance is related to the Liens created under the Security Documents or in respect of other Indebtedness permitted hereunder), it being understood that cash and Cash Equivalents shall not be deemed “Restricted” as a result of the set-off rights of any Lender under this Agreement.</w:t>
      </w:r>
    </w:p>
    <w:p>
      <w:pPr>
        <w:spacing w:after="0" w:line="20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shall mean an Investment other than a Permitted Investment.</w:t>
      </w:r>
    </w:p>
    <w:p>
      <w:pPr>
        <w:spacing w:after="0" w:line="3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9.2(a)(v)</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shall mean, with respect to the Borrower, any Subsidiary of the Borrower other than any Unrestricted Subsidiary. Unless otherwise qualified, all references to a “Restricted Subsidiary” or to “Restricted Subsidiaries” in this Agreement shall refer to a Restricted Subsidiary or Restricted Subsidiaries of the Borrower.</w:t>
      </w:r>
    </w:p>
    <w:p>
      <w:pPr>
        <w:spacing w:after="0" w:line="186" w:lineRule="exact"/>
        <w:rPr>
          <w:sz w:val="20"/>
          <w:szCs w:val="20"/>
          <w:color w:val="auto"/>
        </w:rPr>
      </w:pPr>
    </w:p>
    <w:p>
      <w:pPr>
        <w:jc w:val="both"/>
        <w:ind w:left="960" w:right="20" w:firstLine="602"/>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shall mean (a) with respect to any Loan, each of the following: (i) each date of a Borrowing denominated in an Alternate Currency, (ii) each date of a continuation of a Loan denominated in an Alternate Currency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and (iii) such additional dates as the Administrative Agent shall determine or the Required Lenders shall require; and</w:t>
      </w:r>
    </w:p>
    <w:p>
      <w:pPr>
        <w:spacing w:after="0" w:line="2" w:lineRule="exact"/>
        <w:rPr>
          <w:sz w:val="20"/>
          <w:szCs w:val="20"/>
          <w:color w:val="auto"/>
        </w:rPr>
      </w:pPr>
    </w:p>
    <w:p>
      <w:pPr>
        <w:ind w:left="960" w:right="20" w:firstLine="3"/>
        <w:spacing w:after="0" w:line="245" w:lineRule="auto"/>
        <w:tabs>
          <w:tab w:leader="none" w:pos="12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any Letter of Credit, each of the following: (i) each date of issuance of a Letter of Credit denominated in an Alternate Currency, (ii) each date of an amendment of any such Letter of Credit having the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345440</wp:posOffset>
            </wp:positionV>
            <wp:extent cx="326390" cy="182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20"/>
          </w:cols>
          <w:pgMar w:left="360" w:top="1326" w:right="819" w:bottom="1440" w:gutter="0" w:footer="0" w:header="0"/>
        </w:sectPr>
      </w:pPr>
    </w:p>
    <w:bookmarkStart w:id="144" w:name="page145"/>
    <w:bookmarkEnd w:id="144"/>
    <w:p>
      <w:pPr>
        <w:jc w:val="both"/>
        <w:ind w:left="960" w:right="20"/>
        <w:spacing w:after="0" w:line="248" w:lineRule="auto"/>
        <w:rPr>
          <w:sz w:val="20"/>
          <w:szCs w:val="20"/>
          <w:color w:val="auto"/>
        </w:rPr>
      </w:pPr>
      <w:r>
        <w:rPr>
          <w:rFonts w:ascii="Arial" w:cs="Arial" w:eastAsia="Arial" w:hAnsi="Arial"/>
          <w:sz w:val="18"/>
          <w:szCs w:val="18"/>
          <w:color w:val="auto"/>
        </w:rPr>
        <w:t>increasing the amount thereof, (iii) each date of any payment by the applicable Issuing Lender under any Letter of Credit denominated in an Alternate Currency and (iv) such additional dates as the Administrative Agent or the applicable Issuing Lender shall determine or the Required Lenders shall require.</w:t>
      </w:r>
    </w:p>
    <w:p>
      <w:pPr>
        <w:spacing w:after="0" w:line="19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Excess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shall mean, with respect to any Revolving Lender at any time, an amount equal to the sum of (a) the aggregate principal amount of all Revolving Loans held by such Lender then outstanding and (b) such Lender’s RL Percentage of the L/C Obligations then outstanding and</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 such Lender’s RL Percentage of the aggregate principal amount of Swingline Loans then outstanding.</w:t>
      </w:r>
    </w:p>
    <w:p>
      <w:pPr>
        <w:spacing w:after="0" w:line="203" w:lineRule="exact"/>
        <w:rPr>
          <w:sz w:val="20"/>
          <w:szCs w:val="20"/>
          <w:color w:val="auto"/>
        </w:rPr>
      </w:pPr>
    </w:p>
    <w:p>
      <w:pPr>
        <w:jc w:val="both"/>
        <w:ind w:left="960" w:right="20" w:firstLine="60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shall mean the Revolving Loan Commitments and the extensions of credit made thereunder, as the context may require.</w:t>
      </w:r>
    </w:p>
    <w:p>
      <w:pPr>
        <w:spacing w:after="0" w:line="18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shall mean each Lender that has a Revolving Loan Commitment or that holds Revolving Loans, together with any of its designated Affiliates or other branches.</w:t>
      </w:r>
    </w:p>
    <w:p>
      <w:pPr>
        <w:spacing w:after="0" w:line="18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shall mean an Initial Revolving Loan, an Incremental Revolving Loan and an Other Revolving Loan, as the context requires.</w:t>
      </w:r>
    </w:p>
    <w:p>
      <w:pPr>
        <w:spacing w:after="0" w:line="173" w:lineRule="exact"/>
        <w:rPr>
          <w:sz w:val="20"/>
          <w:szCs w:val="20"/>
          <w:color w:val="auto"/>
        </w:rPr>
      </w:pPr>
    </w:p>
    <w:p>
      <w:pPr>
        <w:jc w:val="both"/>
        <w:ind w:left="960" w:right="2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Commitment</w:t>
      </w:r>
      <w:r>
        <w:rPr>
          <w:rFonts w:ascii="Arial" w:cs="Arial" w:eastAsia="Arial" w:hAnsi="Arial"/>
          <w:sz w:val="18"/>
          <w:szCs w:val="18"/>
          <w:color w:val="auto"/>
        </w:rPr>
        <w:t xml:space="preserve">” shall mean, for each Lender, the amount set forth opposite such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directly below the column entitled “Revolving Loan Commitment,” as same may be increased or reduced pursuant to the terms and conditions hereof. In respect of each Revolving Lender that becomes a Revolving Lender after the Closing Date, the initial amount of such Revolving Lender’s Revolving Loan Commitment shall be set forth in the Assignment and Assumption, Incremental Amendment or Refinancing Amendment pursuant to which such Revolving Lender shall have assumed or established its Revolving Loan Commitment, subject to any increase or reduction pursuant to the terms and conditions hereof. The original aggregate amount of the Revolving Loan Commitments is $150,000,000.</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Commitment Increase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Commitment Increase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2.15(d)</w:t>
      </w:r>
      <w:r>
        <w:rPr>
          <w:rFonts w:ascii="Arial" w:cs="Arial" w:eastAsia="Arial" w:hAnsi="Arial"/>
          <w:sz w:val="18"/>
          <w:szCs w:val="18"/>
          <w:color w:val="auto"/>
        </w:rPr>
        <w:t>.</w:t>
      </w:r>
    </w:p>
    <w:p>
      <w:pPr>
        <w:spacing w:after="0" w:line="291" w:lineRule="exact"/>
        <w:rPr>
          <w:sz w:val="20"/>
          <w:szCs w:val="20"/>
          <w:color w:val="auto"/>
        </w:rPr>
      </w:pPr>
    </w:p>
    <w:p>
      <w:pPr>
        <w:ind w:left="960" w:right="2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Maturity Date</w:t>
      </w:r>
      <w:r>
        <w:rPr>
          <w:rFonts w:ascii="Arial" w:cs="Arial" w:eastAsia="Arial" w:hAnsi="Arial"/>
          <w:sz w:val="18"/>
          <w:szCs w:val="18"/>
          <w:color w:val="auto"/>
        </w:rPr>
        <w:t xml:space="preserve">” shall mean July 2, 2026;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Revolving Loan Maturity Date shall be the next preceding Business Day.</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and “</w:t>
      </w:r>
      <w:r>
        <w:rPr>
          <w:rFonts w:ascii="Arial" w:cs="Arial" w:eastAsia="Arial" w:hAnsi="Arial"/>
          <w:sz w:val="18"/>
          <w:szCs w:val="18"/>
          <w:u w:val="single" w:color="auto"/>
          <w:color w:val="auto"/>
        </w:rPr>
        <w:t>Revolving Notes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95" w:lineRule="exact"/>
        <w:rPr>
          <w:sz w:val="20"/>
          <w:szCs w:val="20"/>
          <w:color w:val="auto"/>
        </w:rPr>
      </w:pPr>
    </w:p>
    <w:p>
      <w:pPr>
        <w:jc w:val="both"/>
        <w:ind w:left="96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RL Percentage</w:t>
      </w:r>
      <w:r>
        <w:rPr>
          <w:rFonts w:ascii="Arial" w:cs="Arial" w:eastAsia="Arial" w:hAnsi="Arial"/>
          <w:sz w:val="18"/>
          <w:szCs w:val="18"/>
          <w:color w:val="auto"/>
        </w:rPr>
        <w:t xml:space="preserve">” shall mean, with respect to any Revolving Lender at any time, a fraction (expressed as a percentage) the numerator of which is the Revolving Loan Commitment of such Revolving Lender at such time and the denominator of which is the Total Revolving Loan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RL Percentage of any Revolving Lender is to be determined after the Total Revolving Loan Commitment has been terminated, then the RL Percentages of such Revolving Lender shall be determined immediately prior (and without giving effect) to such termination (but giving effect to assignments made thereafter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RL Percentages of the Revolving Lenders are subject to modification as and to the extent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S&amp;P Global Ratings, a Standard &amp; Poor’s Financial Services LLC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20"/>
          </w:cols>
          <w:pgMar w:left="360" w:top="1326" w:right="819" w:bottom="1440" w:gutter="0" w:footer="0" w:header="0"/>
        </w:sectPr>
      </w:pPr>
    </w:p>
    <w:bookmarkStart w:id="145" w:name="page146"/>
    <w:bookmarkEnd w:id="145"/>
    <w:p>
      <w:pPr>
        <w:jc w:val="both"/>
        <w:ind w:left="960" w:right="2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Leaseback Transaction</w:t>
      </w:r>
      <w:r>
        <w:rPr>
          <w:rFonts w:ascii="Arial" w:cs="Arial" w:eastAsia="Arial" w:hAnsi="Arial"/>
          <w:sz w:val="18"/>
          <w:szCs w:val="18"/>
          <w:color w:val="auto"/>
        </w:rPr>
        <w:t>” shall mean any arrangement providing for the leasing by the Borrower or any of its Restricted Subsidiaries of any real or tangible personal property, which property has been or is to be sold or transferred by the Borrower or such Restricted Subsidiary to a third Person in contemplation of such leasing.</w:t>
      </w:r>
    </w:p>
    <w:p>
      <w:pPr>
        <w:spacing w:after="0" w:line="198" w:lineRule="exact"/>
        <w:rPr>
          <w:sz w:val="20"/>
          <w:szCs w:val="20"/>
          <w:color w:val="auto"/>
        </w:rPr>
      </w:pPr>
    </w:p>
    <w:p>
      <w:pPr>
        <w:jc w:val="both"/>
        <w:ind w:left="960" w:right="580" w:firstLine="60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Same Day Funds</w:t>
      </w:r>
      <w:r>
        <w:rPr>
          <w:rFonts w:ascii="Arial" w:cs="Arial" w:eastAsia="Arial" w:hAnsi="Arial"/>
          <w:sz w:val="17"/>
          <w:szCs w:val="17"/>
          <w:color w:val="auto"/>
        </w:rPr>
        <w:t>” shall mean (a) with respect to disbursements and payments in Dollars, immediately available funds, and (b) with respect to disbursements and payments in an Alternate Currency, same day or other funds as may be determined by the Administrative Agent or the applicable Issuing Lender, as the case may be, to be customary in the place of disbursement or payment for the settlement of international banking transactions in the relevant Alternate Currency.</w:t>
      </w:r>
    </w:p>
    <w:p>
      <w:pPr>
        <w:spacing w:after="0" w:line="175" w:lineRule="exact"/>
        <w:rPr>
          <w:sz w:val="20"/>
          <w:szCs w:val="20"/>
          <w:color w:val="auto"/>
        </w:rPr>
      </w:pPr>
    </w:p>
    <w:p>
      <w:pPr>
        <w:ind w:left="960" w:right="54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shall mean, at any time, a country or territory which is itself the subject or target of any Sanctions and with which dealings are prohibited under applicable law.</w:t>
      </w:r>
    </w:p>
    <w:p>
      <w:pPr>
        <w:spacing w:after="0" w:line="173" w:lineRule="exact"/>
        <w:rPr>
          <w:sz w:val="20"/>
          <w:szCs w:val="20"/>
          <w:color w:val="auto"/>
        </w:rPr>
      </w:pPr>
    </w:p>
    <w:p>
      <w:pPr>
        <w:jc w:val="both"/>
        <w:ind w:left="960" w:right="260" w:firstLine="602"/>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shall mean,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located, organized or resident in a Sanctioned Country or (c) any Person owned or controlled by any such Person described in clause (a) or (b) above, with respect to</w:t>
      </w:r>
    </w:p>
    <w:p>
      <w:pPr>
        <w:ind w:left="1220" w:hanging="257"/>
        <w:spacing w:after="0" w:line="235" w:lineRule="auto"/>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and</w:t>
      </w:r>
    </w:p>
    <w:p>
      <w:pPr>
        <w:ind w:left="1220" w:hanging="257"/>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only to the extent dealing with such Person is prohibited by applicable law.</w:t>
      </w:r>
    </w:p>
    <w:p>
      <w:pPr>
        <w:spacing w:after="0" w:line="216" w:lineRule="exact"/>
        <w:rPr>
          <w:sz w:val="20"/>
          <w:szCs w:val="20"/>
          <w:color w:val="auto"/>
        </w:rPr>
      </w:pPr>
    </w:p>
    <w:p>
      <w:pPr>
        <w:jc w:val="both"/>
        <w:ind w:left="960" w:right="2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applicable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any EU member state.</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shall mean the Securities and Exchange Commission, any successor thereto and any analogous Governmental Authority.</w:t>
      </w:r>
    </w:p>
    <w:p>
      <w:pPr>
        <w:spacing w:after="0" w:line="242" w:lineRule="exact"/>
        <w:rPr>
          <w:sz w:val="20"/>
          <w:szCs w:val="20"/>
          <w:color w:val="auto"/>
        </w:rPr>
      </w:pPr>
    </w:p>
    <w:p>
      <w:pPr>
        <w:jc w:val="both"/>
        <w:ind w:left="960" w:right="2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shall mean the collective reference to the Administrative Agent, the Collateral Agent, the Lenders (including any Issuing Lender in its capacity as Issuing Lender), any Qualified Counterparties and banks or financial institutions that are providing Cash Management Obligations in accordance with the definition of “Cash Management Obligations” and the beneficiaries of the Borrower’s Obligations under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69" w:lineRule="exact"/>
        <w:rPr>
          <w:sz w:val="20"/>
          <w:szCs w:val="20"/>
          <w:color w:val="auto"/>
        </w:rPr>
      </w:pPr>
    </w:p>
    <w:p>
      <w:pPr>
        <w:jc w:val="both"/>
        <w:ind w:left="960" w:right="2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and the rules and regulations promulgated thereunder, as amended to the date hereof and from time to time hereafter.</w:t>
      </w:r>
    </w:p>
    <w:p>
      <w:pPr>
        <w:spacing w:after="0" w:line="186" w:lineRule="exact"/>
        <w:rPr>
          <w:sz w:val="20"/>
          <w:szCs w:val="20"/>
          <w:color w:val="auto"/>
        </w:rPr>
      </w:pPr>
    </w:p>
    <w:p>
      <w:pPr>
        <w:jc w:val="both"/>
        <w:ind w:left="960" w:right="2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shall mean the Securities Exchange Act of 1934 and the rules and regulations promulgated thereunder, as amended to the date hereof and from time to time hereafter.</w:t>
      </w:r>
    </w:p>
    <w:p>
      <w:pPr>
        <w:spacing w:after="0" w:line="186" w:lineRule="exact"/>
        <w:rPr>
          <w:sz w:val="20"/>
          <w:szCs w:val="20"/>
          <w:color w:val="auto"/>
        </w:rPr>
      </w:pPr>
    </w:p>
    <w:p>
      <w:pPr>
        <w:jc w:val="both"/>
        <w:ind w:left="960" w:right="2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shall mean the First Lien Pledge and Security Agreement, dated as of November 21, 2017, a copy of which is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as modified, supplemented, amended, restated (including any amendment and restatement thereof), extended or renewed from time to time in accordance with the terms thereof and hereof.</w:t>
      </w:r>
    </w:p>
    <w:p>
      <w:pPr>
        <w:spacing w:after="0" w:line="186" w:lineRule="exact"/>
        <w:rPr>
          <w:sz w:val="20"/>
          <w:szCs w:val="20"/>
          <w:color w:val="auto"/>
        </w:rPr>
      </w:pPr>
    </w:p>
    <w:p>
      <w:pPr>
        <w:jc w:val="both"/>
        <w:ind w:left="960" w:right="2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shall mean the Security Agreement and all other pledge or security agreements, mortgages, charges, deeds of trust, assignments or other similar agreements or instruments, in each case, governed by U.S. law and executed and delivered by the Borrower or any of its Restricted Subsidiaries (whether on or after the Closing Date) in connection with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360" w:top="1326" w:right="579" w:bottom="1440" w:gutter="0" w:footer="0" w:header="0"/>
        </w:sectPr>
      </w:pPr>
    </w:p>
    <w:bookmarkStart w:id="146" w:name="page147"/>
    <w:bookmarkEnd w:id="146"/>
    <w:p>
      <w:pPr>
        <w:ind w:left="960"/>
        <w:spacing w:after="0"/>
        <w:rPr>
          <w:sz w:val="20"/>
          <w:szCs w:val="20"/>
          <w:color w:val="auto"/>
        </w:rPr>
      </w:pPr>
      <w:r>
        <w:rPr>
          <w:rFonts w:ascii="Arial" w:cs="Arial" w:eastAsia="Arial" w:hAnsi="Arial"/>
          <w:sz w:val="17"/>
          <w:szCs w:val="17"/>
          <w:color w:val="auto"/>
        </w:rPr>
        <w:t>and, in each case as amended, modified or supplemented from time to time (including each Additional Security Document).</w:t>
      </w:r>
    </w:p>
    <w:p>
      <w:pPr>
        <w:spacing w:after="0" w:line="243" w:lineRule="exact"/>
        <w:rPr>
          <w:sz w:val="20"/>
          <w:szCs w:val="20"/>
          <w:color w:val="auto"/>
        </w:rPr>
      </w:pPr>
    </w:p>
    <w:p>
      <w:pPr>
        <w:jc w:val="both"/>
        <w:ind w:left="96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xml:space="preserve">” shall mean, with respect to any series of First Priority Credit Agreement Refinancing Debt or Indebtedness Incurred under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that is permitted to be secured by a Lien on the Collateral pursuant to the definition of “Permitted Liens,”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9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Service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13.4</w:t>
      </w:r>
      <w:r>
        <w:rPr>
          <w:rFonts w:ascii="Arial" w:cs="Arial" w:eastAsia="Arial" w:hAnsi="Arial"/>
          <w:sz w:val="18"/>
          <w:szCs w:val="18"/>
          <w:color w:val="auto"/>
        </w:rPr>
        <w:t>.</w:t>
      </w:r>
    </w:p>
    <w:p>
      <w:pPr>
        <w:spacing w:after="0" w:line="307" w:lineRule="exact"/>
        <w:rPr>
          <w:sz w:val="20"/>
          <w:szCs w:val="20"/>
          <w:color w:val="auto"/>
        </w:rPr>
      </w:pPr>
    </w:p>
    <w:p>
      <w:pPr>
        <w:ind w:left="960" w:right="24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Event of Default</w:t>
      </w:r>
      <w:r>
        <w:rPr>
          <w:rFonts w:ascii="Arial" w:cs="Arial" w:eastAsia="Arial" w:hAnsi="Arial"/>
          <w:sz w:val="18"/>
          <w:szCs w:val="18"/>
          <w:color w:val="auto"/>
        </w:rPr>
        <w:t xml:space="preserve">” shall mean an Event of Default under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Section 11.1(f)</w:t>
      </w:r>
      <w:r>
        <w:rPr>
          <w:rFonts w:ascii="Arial" w:cs="Arial" w:eastAsia="Arial" w:hAnsi="Arial"/>
          <w:sz w:val="18"/>
          <w:szCs w:val="18"/>
          <w:color w:val="auto"/>
        </w:rPr>
        <w:t>, with respect to the Borrower).</w:t>
      </w:r>
    </w:p>
    <w:p>
      <w:pPr>
        <w:spacing w:after="0" w:line="249"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shall mean any business conducted or proposed to be conducted by the Borrower and its Restricted Subsidiaries on the Closing Date or any business that is similar, ancillary, complementary or related to, or a reasonable extension, development or expansion thereto and other activities that are not material in nature.</w:t>
      </w:r>
    </w:p>
    <w:p>
      <w:pPr>
        <w:spacing w:after="0" w:line="198" w:lineRule="exact"/>
        <w:rPr>
          <w:sz w:val="20"/>
          <w:szCs w:val="20"/>
          <w:color w:val="auto"/>
        </w:rPr>
      </w:pPr>
    </w:p>
    <w:p>
      <w:pPr>
        <w:jc w:val="both"/>
        <w:ind w:left="96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Single Employer Plan</w:t>
      </w:r>
      <w:r>
        <w:rPr>
          <w:rFonts w:ascii="Arial" w:cs="Arial" w:eastAsia="Arial" w:hAnsi="Arial"/>
          <w:sz w:val="17"/>
          <w:szCs w:val="17"/>
          <w:color w:val="auto"/>
        </w:rPr>
        <w:t>” shall mean any Plan that is covered by Title IV of ERISA or Section 412 of the Code or Section 302 of ERISA, other than a Multiemployer Plan, that is maintained or contributed to by the Borrower or any Commonly Controlled Entity or to which the Borrower or a Commonly Controlled Entity has or may have an obligation to contribute, and such plan for the six-year period immediately following the latest date on which the Borrower or a Commonly Controlled Entity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83"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shall mean, with respect to any Person and its Subsidiaries on a consolidated basis, that as of any date of determination, (a) the sum of the “fair value” of the assets of such Person and its Subsidiaries on a consolidated basis will, as of such date, exceed the sum of all debts of such Person and its Subsidiaries on a consolidated basis as of such date, as such quoted terms are determined in accordance with applicable federal and state laws governing determinations of the insolvency of debtors,</w:t>
      </w:r>
    </w:p>
    <w:p>
      <w:pPr>
        <w:spacing w:after="0" w:line="3" w:lineRule="exact"/>
        <w:rPr>
          <w:sz w:val="20"/>
          <w:szCs w:val="20"/>
          <w:color w:val="auto"/>
        </w:rPr>
      </w:pPr>
    </w:p>
    <w:p>
      <w:pPr>
        <w:jc w:val="both"/>
        <w:ind w:left="960" w:firstLine="2"/>
        <w:spacing w:after="0" w:line="232" w:lineRule="auto"/>
        <w:tabs>
          <w:tab w:leader="none" w:pos="122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“present fair saleable value” of the assets of such Person and its Subsidiaries on a consolidated basis will, as of such date, be greater than the amount that will be required to pay the probable liability on existing debts of such Person and its Subsidiaries on a consolidated basis as such debts become absolute and matured, as such quoted term is determined in accordance with applicable federal and state laws governing determinations of the insolvency of debtors, (c) such Person and its Subsidiaries on a consolidated basis will not have, as of such date, an unreasonably small amount of capital with which to conduct any business in which it is or is about to become engaged and (d) such Person and its Subsidiaries on a consolidated basis does not intend to incur, or believe or reasonably should believe that it will incur, debts beyond its ability to pay as they mature. For purposes of this definition, (i) “</w:t>
      </w:r>
      <w:r>
        <w:rPr>
          <w:rFonts w:ascii="Arial" w:cs="Arial" w:eastAsia="Arial" w:hAnsi="Arial"/>
          <w:sz w:val="18"/>
          <w:szCs w:val="18"/>
          <w:u w:val="single" w:color="auto"/>
          <w:color w:val="auto"/>
        </w:rPr>
        <w:t>debt</w:t>
      </w:r>
      <w:r>
        <w:rPr>
          <w:rFonts w:ascii="Arial" w:cs="Arial" w:eastAsia="Arial" w:hAnsi="Arial"/>
          <w:sz w:val="18"/>
          <w:szCs w:val="18"/>
          <w:color w:val="auto"/>
        </w:rPr>
        <w:t>” means liability on a “claim,” and</w:t>
      </w:r>
    </w:p>
    <w:p>
      <w:pPr>
        <w:spacing w:after="0" w:line="4" w:lineRule="exact"/>
        <w:rPr>
          <w:rFonts w:ascii="Arial" w:cs="Arial" w:eastAsia="Arial" w:hAnsi="Arial"/>
          <w:sz w:val="18"/>
          <w:szCs w:val="18"/>
          <w:color w:val="auto"/>
        </w:rPr>
      </w:pPr>
    </w:p>
    <w:p>
      <w:pPr>
        <w:jc w:val="both"/>
        <w:ind w:left="960" w:firstLine="3"/>
        <w:spacing w:after="0" w:line="250" w:lineRule="auto"/>
        <w:tabs>
          <w:tab w:leader="none" w:pos="176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claim</w:t>
      </w:r>
      <w:r>
        <w:rPr>
          <w:rFonts w:ascii="Arial" w:cs="Arial" w:eastAsia="Arial" w:hAnsi="Arial"/>
          <w:sz w:val="17"/>
          <w:szCs w:val="17"/>
          <w:color w:val="auto"/>
        </w:rPr>
        <w:t>”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For purposes of this definition, the amount of any contingent, unliquidated and disputed claim and any claim that has not been reduced to judgment at any time shall be computed as the amount that, in light of all the facts and circumstances existing at such time, represents the amount that can reasonably be expected to become an actual or matured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345440</wp:posOffset>
            </wp:positionV>
            <wp:extent cx="326390" cy="182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00"/>
          </w:cols>
          <w:pgMar w:left="360" w:top="1326" w:right="839" w:bottom="1440" w:gutter="0" w:footer="0" w:header="0"/>
        </w:sectPr>
      </w:pPr>
    </w:p>
    <w:bookmarkStart w:id="147" w:name="page148"/>
    <w:bookmarkEnd w:id="147"/>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shall mean, with respect to any Business Day, a rate per annum equal to the Sterling Overnight Index Average for such Business Day published by the SONIA Administrator on the SONIA Administrator’s Website.</w:t>
      </w:r>
    </w:p>
    <w:p>
      <w:pPr>
        <w:spacing w:after="0" w:line="186"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shall mean the Bank of England (or any successor administrator of the Sterling Overnight Index Average).</w:t>
      </w:r>
    </w:p>
    <w:p>
      <w:pPr>
        <w:spacing w:after="0" w:line="173" w:lineRule="exact"/>
        <w:rPr>
          <w:sz w:val="20"/>
          <w:szCs w:val="20"/>
          <w:color w:val="auto"/>
        </w:rPr>
      </w:pPr>
    </w:p>
    <w:p>
      <w:pPr>
        <w:jc w:val="both"/>
        <w:ind w:left="960" w:firstLine="602"/>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SONIA Administrator’s Website</w:t>
      </w:r>
      <w:r>
        <w:rPr>
          <w:rFonts w:ascii="Arial" w:cs="Arial" w:eastAsia="Arial" w:hAnsi="Arial"/>
          <w:sz w:val="16"/>
          <w:szCs w:val="16"/>
          <w:color w:val="auto"/>
        </w:rPr>
        <w:t>” shall mean the Bank of England’s website, currently at http://www.bankofengland.co.uk, or any successor source for the Sterling Overnight Index Average identified as such by the SONIA Administrator from time to time.</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 Rate</w:t>
      </w:r>
      <w:r>
        <w:rPr>
          <w:rFonts w:ascii="Arial" w:cs="Arial" w:eastAsia="Arial" w:hAnsi="Arial"/>
          <w:sz w:val="17"/>
          <w:szCs w:val="17"/>
          <w:color w:val="auto"/>
        </w:rPr>
        <w:t>” shall mean, for any day (a “</w:t>
      </w:r>
      <w:r>
        <w:rPr>
          <w:rFonts w:ascii="Arial" w:cs="Arial" w:eastAsia="Arial" w:hAnsi="Arial"/>
          <w:sz w:val="17"/>
          <w:szCs w:val="17"/>
          <w:u w:val="single" w:color="auto"/>
          <w:color w:val="auto"/>
        </w:rPr>
        <w:t>SONIA Interest Day</w:t>
      </w:r>
      <w:r>
        <w:rPr>
          <w:rFonts w:ascii="Arial" w:cs="Arial" w:eastAsia="Arial" w:hAnsi="Arial"/>
          <w:sz w:val="17"/>
          <w:szCs w:val="17"/>
          <w:color w:val="auto"/>
        </w:rPr>
        <w:t>”), SONIA for the day that is the fifth Business Day prior to</w:t>
      </w:r>
    </w:p>
    <w:p>
      <w:pPr>
        <w:spacing w:after="0" w:line="21" w:lineRule="exact"/>
        <w:rPr>
          <w:sz w:val="20"/>
          <w:szCs w:val="20"/>
          <w:color w:val="auto"/>
        </w:rPr>
      </w:pPr>
    </w:p>
    <w:p>
      <w:pPr>
        <w:jc w:val="both"/>
        <w:ind w:left="960" w:firstLine="3"/>
        <w:spacing w:after="0" w:line="237" w:lineRule="auto"/>
        <w:tabs>
          <w:tab w:leader="none" w:pos="126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SONIA Interest Day is a Business Day, such SONIA Interest Day or (B) if such SONIA Interest Day is not a Business Day, the Business Day immediately preceding SONIA Interest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SONIA Rate shall be less than zero, the SONIA Rate shall be deemed to be zero. Any change in the SONIA Rate due to a change in SONIA shall be effective from and including the effective date of such change in SONIA without notice to the Borrower.</w:t>
      </w:r>
    </w:p>
    <w:p>
      <w:pPr>
        <w:spacing w:after="0" w:line="20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Class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9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95"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shall mean the representations and warranties set forth in </w:t>
      </w:r>
      <w:r>
        <w:rPr>
          <w:rFonts w:ascii="Arial" w:cs="Arial" w:eastAsia="Arial" w:hAnsi="Arial"/>
          <w:sz w:val="18"/>
          <w:szCs w:val="18"/>
          <w:u w:val="single" w:color="auto"/>
          <w:color w:val="auto"/>
        </w:rPr>
        <w:t>Sections 6.3(a)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(but only in respect of the Organizational Documents),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6.19(a)</w:t>
      </w:r>
      <w:r>
        <w:rPr>
          <w:rFonts w:ascii="Arial" w:cs="Arial" w:eastAsia="Arial" w:hAnsi="Arial"/>
          <w:sz w:val="18"/>
          <w:szCs w:val="18"/>
          <w:color w:val="auto"/>
        </w:rPr>
        <w:t xml:space="preserve">, </w:t>
      </w:r>
      <w:r>
        <w:rPr>
          <w:rFonts w:ascii="Arial" w:cs="Arial" w:eastAsia="Arial" w:hAnsi="Arial"/>
          <w:sz w:val="18"/>
          <w:szCs w:val="18"/>
          <w:u w:val="single" w:color="auto"/>
          <w:color w:val="auto"/>
        </w:rPr>
        <w:t>6.20</w:t>
      </w:r>
      <w:r>
        <w:rPr>
          <w:rFonts w:ascii="Arial" w:cs="Arial" w:eastAsia="Arial" w:hAnsi="Arial"/>
          <w:sz w:val="18"/>
          <w:szCs w:val="18"/>
          <w:color w:val="auto"/>
        </w:rPr>
        <w:t xml:space="preserve"> (with such representation made as of the applicable date after giving effect to the applicable transactions), </w:t>
      </w:r>
      <w:r>
        <w:rPr>
          <w:rFonts w:ascii="Arial" w:cs="Arial" w:eastAsia="Arial" w:hAnsi="Arial"/>
          <w:sz w:val="18"/>
          <w:szCs w:val="18"/>
          <w:u w:val="single" w:color="auto"/>
          <w:color w:val="auto"/>
        </w:rPr>
        <w:t>6.21(a)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6.21(b)</w:t>
      </w:r>
      <w:r>
        <w:rPr>
          <w:rFonts w:ascii="Arial" w:cs="Arial" w:eastAsia="Arial" w:hAnsi="Arial"/>
          <w:sz w:val="18"/>
          <w:szCs w:val="18"/>
          <w:color w:val="auto"/>
        </w:rPr>
        <w:t xml:space="preserve">, </w:t>
      </w:r>
      <w:r>
        <w:rPr>
          <w:rFonts w:ascii="Arial" w:cs="Arial" w:eastAsia="Arial" w:hAnsi="Arial"/>
          <w:sz w:val="18"/>
          <w:szCs w:val="18"/>
          <w:u w:val="single" w:color="auto"/>
          <w:color w:val="auto"/>
        </w:rPr>
        <w:t>6.22</w:t>
      </w:r>
      <w:r>
        <w:rPr>
          <w:rFonts w:ascii="Arial" w:cs="Arial" w:eastAsia="Arial" w:hAnsi="Arial"/>
          <w:sz w:val="18"/>
          <w:szCs w:val="18"/>
          <w:color w:val="auto"/>
        </w:rPr>
        <w:t xml:space="preserve"> and, in respect of the use of proceeds of the Revolving Facility (or the applicable Incremental Facility, as the case may be), </w:t>
      </w:r>
      <w:r>
        <w:rPr>
          <w:rFonts w:ascii="Arial" w:cs="Arial" w:eastAsia="Arial" w:hAnsi="Arial"/>
          <w:sz w:val="18"/>
          <w:szCs w:val="18"/>
          <w:u w:val="single" w:color="auto"/>
          <w:color w:val="auto"/>
        </w:rPr>
        <w:t>6.21(c)</w:t>
      </w:r>
      <w:r>
        <w:rPr>
          <w:rFonts w:ascii="Arial" w:cs="Arial" w:eastAsia="Arial" w:hAnsi="Arial"/>
          <w:sz w:val="18"/>
          <w:szCs w:val="18"/>
          <w:color w:val="auto"/>
        </w:rPr>
        <w:t>.</w:t>
      </w:r>
    </w:p>
    <w:p>
      <w:pPr>
        <w:spacing w:after="0" w:line="269"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Agreement</w:t>
      </w:r>
      <w:r>
        <w:rPr>
          <w:rFonts w:ascii="Arial" w:cs="Arial" w:eastAsia="Arial" w:hAnsi="Arial"/>
          <w:sz w:val="18"/>
          <w:szCs w:val="18"/>
          <w:color w:val="auto"/>
        </w:rPr>
        <w:t>” shall mean any Swap Agreement entered into (whether before or after the date of this Agreement) by the Borrower or any of its Restricted Subsidiaries, on the one hand, and any Qualified Counterparty (or any Person who was a Qualified Counterparty as of the Closing Date or as of the date such Swap Agreement was entered into), on the other hand.</w:t>
      </w:r>
    </w:p>
    <w:p>
      <w:pPr>
        <w:spacing w:after="0" w:line="20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shall mean, individually or collectively, (i) funds managed, advised or sponsored by Permira Advisers LLC, (ii) funds managed, advised or sponsored by Francisco Partners LLC and (iii) their respective Affiliates and Control Investment Affiliates.</w:t>
      </w:r>
    </w:p>
    <w:p>
      <w:pPr>
        <w:spacing w:after="0" w:line="19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Currency Exchange Rate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1.5(c)</w:t>
      </w:r>
      <w:r>
        <w:rPr>
          <w:rFonts w:ascii="Arial" w:cs="Arial" w:eastAsia="Arial" w:hAnsi="Arial"/>
          <w:sz w:val="18"/>
          <w:szCs w:val="18"/>
          <w:color w:val="auto"/>
        </w:rPr>
        <w:t>.</w:t>
      </w:r>
    </w:p>
    <w:p>
      <w:pPr>
        <w:spacing w:after="0" w:line="29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Start Date</w:t>
      </w:r>
      <w:r>
        <w:rPr>
          <w:rFonts w:ascii="Arial" w:cs="Arial" w:eastAsia="Arial" w:hAnsi="Arial"/>
          <w:sz w:val="18"/>
          <w:szCs w:val="18"/>
          <w:color w:val="auto"/>
        </w:rPr>
        <w:t>” shall have the meaning set forth in the definition of “Applicable Margin.”</w:t>
      </w:r>
    </w:p>
    <w:p>
      <w:pPr>
        <w:spacing w:after="0" w:line="307"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Amount</w:t>
      </w:r>
      <w:r>
        <w:rPr>
          <w:rFonts w:ascii="Arial" w:cs="Arial" w:eastAsia="Arial" w:hAnsi="Arial"/>
          <w:sz w:val="18"/>
          <w:szCs w:val="18"/>
          <w:color w:val="auto"/>
        </w:rPr>
        <w:t>” shall mean, with respect to each Letter of Credit, at any time, the maximum amount available to be drawn thereunder, in each case determined (x) as if any future automatic increases in the maximum amount available that are provided for in any such Letter of Credit had in fact occurred at such time and (y) without regard to whether any conditions to drawing could then be met but after giving effect to all previous drawings made thereunder.</w:t>
      </w:r>
    </w:p>
    <w:p>
      <w:pPr>
        <w:spacing w:after="0" w:line="193"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Denominated Loans</w:t>
      </w:r>
      <w:r>
        <w:rPr>
          <w:rFonts w:ascii="Arial" w:cs="Arial" w:eastAsia="Arial" w:hAnsi="Arial"/>
          <w:sz w:val="18"/>
          <w:szCs w:val="18"/>
          <w:color w:val="auto"/>
        </w:rPr>
        <w:t>” and the “</w:t>
      </w:r>
      <w:r>
        <w:rPr>
          <w:rFonts w:ascii="Arial" w:cs="Arial" w:eastAsia="Arial" w:hAnsi="Arial"/>
          <w:sz w:val="18"/>
          <w:szCs w:val="18"/>
          <w:u w:val="single" w:color="auto"/>
          <w:color w:val="auto"/>
        </w:rPr>
        <w:t>£</w:t>
      </w:r>
      <w:r>
        <w:rPr>
          <w:rFonts w:ascii="Arial" w:cs="Arial" w:eastAsia="Arial" w:hAnsi="Arial"/>
          <w:sz w:val="18"/>
          <w:szCs w:val="18"/>
          <w:color w:val="auto"/>
        </w:rPr>
        <w:t>” shall mean each Revolving Loan or Incremental Term Loan denominated in Pounds Sterling at the time of the incurrence thereof.</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Transaction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00"/>
          </w:cols>
          <w:pgMar w:left="360" w:top="1326" w:right="839" w:bottom="1440" w:gutter="0" w:footer="0" w:header="0"/>
        </w:sectPr>
      </w:pPr>
    </w:p>
    <w:bookmarkStart w:id="148" w:name="page149"/>
    <w:bookmarkEnd w:id="148"/>
    <w:p>
      <w:pPr>
        <w:jc w:val="both"/>
        <w:ind w:left="960" w:right="20" w:firstLine="60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 corporation, partnership, limited liability company or other entity of which shares of stock or other Capital Stock having ordinary voting power (other than stock or such other Capital Stock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9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shall mean other than Excluded Subsidiaries and Immaterial Subsidiaries,</w:t>
      </w:r>
    </w:p>
    <w:p>
      <w:pPr>
        <w:spacing w:after="0" w:line="3" w:lineRule="exact"/>
        <w:rPr>
          <w:sz w:val="20"/>
          <w:szCs w:val="20"/>
          <w:color w:val="auto"/>
        </w:rPr>
      </w:pPr>
    </w:p>
    <w:p>
      <w:pPr>
        <w:ind w:left="1260" w:hanging="297"/>
        <w:spacing w:after="0"/>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Subsidiary of the Borrower that executes this Agreement as a “Guarantor” on the Closing Date,</w:t>
      </w:r>
    </w:p>
    <w:p>
      <w:pPr>
        <w:jc w:val="both"/>
        <w:ind w:left="960" w:right="20" w:firstLine="2"/>
        <w:spacing w:after="0" w:line="255" w:lineRule="auto"/>
        <w:tabs>
          <w:tab w:leader="none" w:pos="175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each Subsidiary of the Borrower that is required to become a Subsidiary Guarantor pursuant to </w:t>
      </w:r>
      <w:r>
        <w:rPr>
          <w:rFonts w:ascii="Arial" w:cs="Arial" w:eastAsia="Arial" w:hAnsi="Arial"/>
          <w:sz w:val="17"/>
          <w:szCs w:val="17"/>
          <w:u w:val="single" w:color="auto"/>
          <w:color w:val="auto"/>
        </w:rPr>
        <w:t>Section 8.8(c)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8.12</w:t>
      </w:r>
      <w:r>
        <w:rPr>
          <w:rFonts w:ascii="Arial" w:cs="Arial" w:eastAsia="Arial" w:hAnsi="Arial"/>
          <w:sz w:val="17"/>
          <w:szCs w:val="17"/>
          <w:color w:val="auto"/>
        </w:rPr>
        <w:t xml:space="preserve"> and (C) each other Subsidiary that is designated as a Subsidiary Guarantor by the Borrower, in each case, whether existing on the Closing Date or established, created or acquired after the Closing Date, unless and until such time as the respective Subsidiary is released from all of its obligations in accordance with the terms and provisions of this Agreement.</w:t>
      </w:r>
    </w:p>
    <w:p>
      <w:pPr>
        <w:spacing w:after="0" w:line="18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9.8(a)(i)</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9.8(e)(i)</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13.7</w:t>
      </w:r>
      <w:r>
        <w:rPr>
          <w:rFonts w:ascii="Arial" w:cs="Arial" w:eastAsia="Arial" w:hAnsi="Arial"/>
          <w:sz w:val="18"/>
          <w:szCs w:val="18"/>
          <w:color w:val="auto"/>
        </w:rPr>
        <w:t>.</w:t>
      </w:r>
    </w:p>
    <w:p>
      <w:pPr>
        <w:spacing w:after="0" w:line="307" w:lineRule="exact"/>
        <w:rPr>
          <w:sz w:val="20"/>
          <w:szCs w:val="20"/>
          <w:color w:val="auto"/>
        </w:rPr>
      </w:pPr>
    </w:p>
    <w:p>
      <w:pPr>
        <w:jc w:val="both"/>
        <w:ind w:left="96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shall mean any agreement with respect to any swap, cap, collar, hedge,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without limitation, any Interest Rate Protection Agreement)</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shall have the meaning set forth in the definition of “Excluded Swap Obligation.”</w:t>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Back-Stop Arrangements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Expiry Date</w:t>
      </w:r>
      <w:r>
        <w:rPr>
          <w:rFonts w:ascii="Arial" w:cs="Arial" w:eastAsia="Arial" w:hAnsi="Arial"/>
          <w:sz w:val="17"/>
          <w:szCs w:val="17"/>
          <w:color w:val="auto"/>
        </w:rPr>
        <w:t>” shall mean that date which is five Business Days prior to the Revolving Loan Maturity Date.</w:t>
      </w:r>
    </w:p>
    <w:p>
      <w:pPr>
        <w:spacing w:after="0" w:line="24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shall mean JPMorgan Chase Bank, N.A., in its capacity as Swingline Lender hereunder.</w:t>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and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95"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shall mean the Trans-European Automated Real-time Gross Settlement Express Transfer payment system which utilizes a single shared platform and which was launched on November 19, 2007.</w:t>
      </w:r>
    </w:p>
    <w:p>
      <w:pPr>
        <w:spacing w:after="0" w:line="173"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shall mean any day on which TARGET2 (or, if such payment system ceases to be operative, such other payment system, if any, determined by the Administrative Agent to be a suitable replacement) is open for the settlement of payments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20"/>
          </w:cols>
          <w:pgMar w:left="360" w:top="1326" w:right="819" w:bottom="1440" w:gutter="0" w:footer="0" w:header="0"/>
        </w:sectPr>
      </w:pPr>
    </w:p>
    <w:bookmarkStart w:id="149" w:name="page150"/>
    <w:bookmarkEnd w:id="149"/>
    <w:p>
      <w:pPr>
        <w:jc w:val="both"/>
        <w:ind w:left="960" w:firstLine="602"/>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shall mean all present or future taxes, levies, imposts, duties, deductions, withholdings (including backup withholding), fees, assessments or other similar charges now or hereafter imposed by any Governmental Authority and all interest, penalties, additions to tax or similar liabilities with respect to such taxes, levies, imposts, duties, fees, assessments or other charges.</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5.5(e)</w:t>
      </w:r>
      <w:r>
        <w:rPr>
          <w:rFonts w:ascii="Arial" w:cs="Arial" w:eastAsia="Arial" w:hAnsi="Arial"/>
          <w:sz w:val="18"/>
          <w:szCs w:val="18"/>
          <w:color w:val="auto"/>
        </w:rPr>
        <w:t>.</w:t>
      </w:r>
    </w:p>
    <w:p>
      <w:pPr>
        <w:spacing w:after="0" w:line="29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shall mean any Class of Term Loans, as the context may require.</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Lenders</w:t>
      </w:r>
      <w:r>
        <w:rPr>
          <w:rFonts w:ascii="Arial" w:cs="Arial" w:eastAsia="Arial" w:hAnsi="Arial"/>
          <w:sz w:val="18"/>
          <w:szCs w:val="18"/>
          <w:color w:val="auto"/>
        </w:rPr>
        <w:t>” shall mean each Lender that has a Term Loan Commitment or that holds a Term</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Loan.</w:t>
      </w:r>
    </w:p>
    <w:p>
      <w:pPr>
        <w:spacing w:after="0" w:line="27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shall mean an Other Term Loan or an Incremental Term Loan, as context requires.</w:t>
      </w:r>
    </w:p>
    <w:p>
      <w:pPr>
        <w:spacing w:after="0" w:line="295"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shall mean, for each Lender, (i) the Incremental Term Loan Commitments, if any, issued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(ii) the Other Term Commitments, if any, issued after the Closing Date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as each may be terminated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74" w:lineRule="exact"/>
        <w:rPr>
          <w:sz w:val="20"/>
          <w:szCs w:val="20"/>
          <w:color w:val="auto"/>
        </w:rPr>
      </w:pPr>
    </w:p>
    <w:p>
      <w:pPr>
        <w:jc w:val="both"/>
        <w:ind w:left="960" w:firstLine="602"/>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xml:space="preserve">” shall mean the latest four consecutive fiscal quarters of the Borrower for which the financial statements required by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applicable, have been delivered (or were required to be delivered) to the Administrative Agent.</w:t>
      </w:r>
    </w:p>
    <w:p>
      <w:pPr>
        <w:spacing w:after="0" w:line="140"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shall mean the greater of $20,000,000 and 17.5% of LTM CEBITDA (calculated at the time of determination).</w:t>
      </w:r>
    </w:p>
    <w:p>
      <w:pPr>
        <w:spacing w:after="0" w:line="186" w:lineRule="exact"/>
        <w:rPr>
          <w:sz w:val="20"/>
          <w:szCs w:val="20"/>
          <w:color w:val="auto"/>
        </w:rPr>
      </w:pPr>
    </w:p>
    <w:p>
      <w:pPr>
        <w:jc w:val="both"/>
        <w:ind w:left="96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Assets</w:t>
      </w:r>
      <w:r>
        <w:rPr>
          <w:rFonts w:ascii="Arial" w:cs="Arial" w:eastAsia="Arial" w:hAnsi="Arial"/>
          <w:sz w:val="17"/>
          <w:szCs w:val="17"/>
          <w:color w:val="auto"/>
        </w:rPr>
        <w:t>” shall mean the total assets of the Borrower and its Restricted Subsidiaries on a consolidated basis, as shown on the applicable consolidated balance sheet of the Borrower and its Restricted Subsidiaries and computed in accordance with GAAP. Total Assets shall be calculated after giving effect to the transaction giving rise to the need to calculate Total Assets.</w:t>
      </w:r>
    </w:p>
    <w:p>
      <w:pPr>
        <w:spacing w:after="0" w:line="17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shall mean, at any time, the sum of the Commitments of each of the Lenders at such time.</w:t>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First Lien Leverage Ratio</w:t>
      </w:r>
      <w:r>
        <w:rPr>
          <w:rFonts w:ascii="Arial" w:cs="Arial" w:eastAsia="Arial" w:hAnsi="Arial"/>
          <w:sz w:val="18"/>
          <w:szCs w:val="18"/>
          <w:color w:val="auto"/>
        </w:rPr>
        <w:t>” shall mean, as at the last day of any Test Period, the ratio of</w:t>
      </w:r>
    </w:p>
    <w:p>
      <w:pPr>
        <w:spacing w:after="0" w:line="10" w:lineRule="exact"/>
        <w:rPr>
          <w:sz w:val="20"/>
          <w:szCs w:val="20"/>
          <w:color w:val="auto"/>
        </w:rPr>
      </w:pPr>
    </w:p>
    <w:p>
      <w:pPr>
        <w:jc w:val="both"/>
        <w:ind w:left="960" w:firstLine="3"/>
        <w:spacing w:after="0" w:line="261" w:lineRule="auto"/>
        <w:tabs>
          <w:tab w:leader="none" w:pos="17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excess of (i) Consolidated Total Debt on such day that is secured on a first lien basis by a Lien on any property or asset of the Borrower or any Restricted Subsidiary (any such Indebtedness, “</w:t>
      </w:r>
      <w:r>
        <w:rPr>
          <w:rFonts w:ascii="Arial" w:cs="Arial" w:eastAsia="Arial" w:hAnsi="Arial"/>
          <w:sz w:val="16"/>
          <w:szCs w:val="16"/>
          <w:u w:val="single" w:color="auto"/>
          <w:color w:val="auto"/>
        </w:rPr>
        <w:t>First Lien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Consolidated Total Cash, to</w:t>
      </w:r>
    </w:p>
    <w:p>
      <w:pPr>
        <w:spacing w:after="0" w:line="1" w:lineRule="exact"/>
        <w:rPr>
          <w:rFonts w:ascii="Arial" w:cs="Arial" w:eastAsia="Arial" w:hAnsi="Arial"/>
          <w:sz w:val="16"/>
          <w:szCs w:val="16"/>
          <w:color w:val="auto"/>
        </w:rPr>
      </w:pPr>
    </w:p>
    <w:p>
      <w:pPr>
        <w:ind w:left="1220" w:hanging="257"/>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Consolidated CEBITDA for the period of four consecutive fiscal quarters then ending, calculated on a Pro Forma Basis.</w:t>
      </w:r>
    </w:p>
    <w:p>
      <w:pPr>
        <w:spacing w:after="0" w:line="21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xml:space="preserve">” shall mean, as at the last day of any Test Period, the ratio of (a) the excess of (i) Consolidated Total Debt on such day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(ii) Consolidated Total Cash, to (b) Consolidated CEBITDA for the period of four consecutive fiscal quarters then ending, calculated on a Pro Forma Basis.</w:t>
      </w:r>
    </w:p>
    <w:p>
      <w:pPr>
        <w:spacing w:after="0" w:line="186"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Extensions of Credit</w:t>
      </w:r>
      <w:r>
        <w:rPr>
          <w:rFonts w:ascii="Arial" w:cs="Arial" w:eastAsia="Arial" w:hAnsi="Arial"/>
          <w:sz w:val="18"/>
          <w:szCs w:val="18"/>
          <w:color w:val="auto"/>
        </w:rPr>
        <w:t>” shall mean, at any time, the aggregate amount of the Revolving Extensions of Credit of the Revolving Lenders outstanding at such time.</w:t>
      </w:r>
    </w:p>
    <w:p>
      <w:pPr>
        <w:spacing w:after="0" w:line="186"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Loan Commitment</w:t>
      </w:r>
      <w:r>
        <w:rPr>
          <w:rFonts w:ascii="Arial" w:cs="Arial" w:eastAsia="Arial" w:hAnsi="Arial"/>
          <w:sz w:val="18"/>
          <w:szCs w:val="18"/>
          <w:color w:val="auto"/>
        </w:rPr>
        <w:t>” shall mean, at any time, the sum of the Revolving Loan Commitments of each of the Lenders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00"/>
          </w:cols>
          <w:pgMar w:left="360" w:top="1326" w:right="839" w:bottom="1440" w:gutter="0" w:footer="0" w:header="0"/>
        </w:sectPr>
      </w:pPr>
    </w:p>
    <w:bookmarkStart w:id="150" w:name="page151"/>
    <w:bookmarkEnd w:id="150"/>
    <w:p>
      <w:pPr>
        <w:jc w:val="both"/>
        <w:ind w:left="960" w:right="8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Unutilized Revolving Loan Commitment</w:t>
      </w:r>
      <w:r>
        <w:rPr>
          <w:rFonts w:ascii="Arial" w:cs="Arial" w:eastAsia="Arial" w:hAnsi="Arial"/>
          <w:sz w:val="17"/>
          <w:szCs w:val="17"/>
          <w:color w:val="auto"/>
        </w:rPr>
        <w:t xml:space="preserve">” shall mean, at any time, an amount equal to the remainder of (x) the Total Revolving Loan Commitment in effect at such time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(y) the sum of (i) the aggregate principal amount of all Revolving Loans and Swingline Loans outstanding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amount of all Letter of Credit Outstandings at such time.</w:t>
      </w:r>
    </w:p>
    <w:p>
      <w:pPr>
        <w:spacing w:after="0" w:line="183" w:lineRule="exact"/>
        <w:rPr>
          <w:sz w:val="20"/>
          <w:szCs w:val="20"/>
          <w:color w:val="auto"/>
        </w:rPr>
      </w:pPr>
    </w:p>
    <w:p>
      <w:pPr>
        <w:jc w:val="both"/>
        <w:ind w:left="960" w:right="80" w:firstLine="60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Tranche</w:t>
      </w:r>
      <w:r>
        <w:rPr>
          <w:rFonts w:ascii="Arial" w:cs="Arial" w:eastAsia="Arial" w:hAnsi="Arial"/>
          <w:sz w:val="17"/>
          <w:szCs w:val="17"/>
          <w:color w:val="auto"/>
        </w:rPr>
        <w:t xml:space="preserve">” shall mean the respective facility and commitments utilized in making Loans hereunder, with there being two separate Tranches on the Closing Date,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Revolving Loans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13.4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13.12(a)</w:t>
      </w:r>
      <w:r>
        <w:rPr>
          <w:rFonts w:ascii="Arial" w:cs="Arial" w:eastAsia="Arial" w:hAnsi="Arial"/>
          <w:sz w:val="17"/>
          <w:szCs w:val="17"/>
          <w:color w:val="auto"/>
        </w:rPr>
        <w:t>, Revolving Loans and Swingline Loans shall be deemed to constitute part of a single “Tranche”.</w:t>
      </w:r>
    </w:p>
    <w:p>
      <w:pPr>
        <w:spacing w:after="0" w:line="170" w:lineRule="exact"/>
        <w:rPr>
          <w:sz w:val="20"/>
          <w:szCs w:val="20"/>
          <w:color w:val="auto"/>
        </w:rPr>
      </w:pPr>
    </w:p>
    <w:p>
      <w:pPr>
        <w:jc w:val="both"/>
        <w:ind w:left="960" w:right="80" w:firstLine="60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collectively, (i) the execution, delivery and performance by each Loan Party of this Agreement and the other Loan Documents to which it is a party, (ii) the consummation of the Refinancing, (iii) the consummation of the Qualified Public Offering and the use of proceeds thereof and</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(iv) the payment of all fees and expenses in connection with the foregoing.</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Capital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9.2(b)(ii)</w:t>
      </w:r>
      <w:r>
        <w:rPr>
          <w:rFonts w:ascii="Arial" w:cs="Arial" w:eastAsia="Arial" w:hAnsi="Arial"/>
          <w:sz w:val="18"/>
          <w:szCs w:val="18"/>
          <w:color w:val="auto"/>
        </w:rPr>
        <w:t>.</w:t>
      </w:r>
    </w:p>
    <w:p>
      <w:pPr>
        <w:spacing w:after="0" w:line="307" w:lineRule="exact"/>
        <w:rPr>
          <w:sz w:val="20"/>
          <w:szCs w:val="20"/>
          <w:color w:val="auto"/>
        </w:rPr>
      </w:pPr>
    </w:p>
    <w:p>
      <w:pPr>
        <w:jc w:val="both"/>
        <w:ind w:left="960" w:right="8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shall mean the type of Loan determined with regard to the interest option applicable thereto, </w:t>
      </w:r>
      <w:r>
        <w:rPr>
          <w:rFonts w:ascii="Arial" w:cs="Arial" w:eastAsia="Arial" w:hAnsi="Arial"/>
          <w:sz w:val="18"/>
          <w:szCs w:val="18"/>
          <w:u w:val="single" w:color="auto"/>
          <w:color w:val="auto"/>
        </w:rPr>
        <w:t>i.e</w:t>
      </w:r>
      <w:r>
        <w:rPr>
          <w:rFonts w:ascii="Arial" w:cs="Arial" w:eastAsia="Arial" w:hAnsi="Arial"/>
          <w:sz w:val="18"/>
          <w:szCs w:val="18"/>
          <w:color w:val="auto"/>
        </w:rPr>
        <w:t>., whether a Base Rate Loan, a LIBOR Loan, a Euro Denominated Loan, a Sterling Denominated Loan or an Alternate Currency Loan denominated in another currency.</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from time to time in effect in the relevant jurisdiction.</w:t>
      </w:r>
    </w:p>
    <w:p>
      <w:pPr>
        <w:spacing w:after="0" w:line="232" w:lineRule="exact"/>
        <w:rPr>
          <w:sz w:val="20"/>
          <w:szCs w:val="20"/>
          <w:color w:val="auto"/>
        </w:rPr>
      </w:pPr>
    </w:p>
    <w:p>
      <w:pPr>
        <w:jc w:val="both"/>
        <w:ind w:left="960" w:right="8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98" w:lineRule="exact"/>
        <w:rPr>
          <w:sz w:val="20"/>
          <w:szCs w:val="20"/>
          <w:color w:val="auto"/>
        </w:rPr>
      </w:pPr>
    </w:p>
    <w:p>
      <w:pPr>
        <w:jc w:val="both"/>
        <w:ind w:left="960" w:right="8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left="960" w:right="80" w:firstLine="60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shall mean the Bank of England or any other public administrative authority having responsibility for the resolution of any UK Financial Institution.</w:t>
      </w:r>
    </w:p>
    <w:p>
      <w:pPr>
        <w:spacing w:after="0" w:line="186" w:lineRule="exact"/>
        <w:rPr>
          <w:sz w:val="20"/>
          <w:szCs w:val="20"/>
          <w:color w:val="auto"/>
        </w:rPr>
      </w:pPr>
    </w:p>
    <w:p>
      <w:pPr>
        <w:jc w:val="both"/>
        <w:ind w:left="960" w:right="60" w:firstLine="602"/>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of any Plan shall mean the amount, if any, by which the present value of all accrued benefits under each Single Employer Plan (based on those assumptions used to fund such Plans), as of the last annual valuation date prior to the date on which this representation is made or deemed made, exceeds the value of the assets of such Plan allocable to such accrued benefits (excluding any accrued but unpaid contributions).</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shall each mean the United States of America.</w:t>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w:t>
      </w:r>
      <w:r>
        <w:rPr>
          <w:rFonts w:ascii="Arial" w:cs="Arial" w:eastAsia="Arial" w:hAnsi="Arial"/>
          <w:sz w:val="18"/>
          <w:szCs w:val="18"/>
          <w:color w:val="auto"/>
        </w:rPr>
        <w:t>” shall mean, when referring to cash or Cash Equivalents, that such cash or Cash Equivalents are not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80"/>
          </w:cols>
          <w:pgMar w:left="360" w:top="1326" w:right="759" w:bottom="1440" w:gutter="0" w:footer="0" w:header="0"/>
        </w:sectPr>
      </w:pPr>
    </w:p>
    <w:bookmarkStart w:id="151" w:name="page152"/>
    <w:bookmarkEnd w:id="151"/>
    <w:p>
      <w:pPr>
        <w:jc w:val="both"/>
        <w:ind w:left="960" w:right="20" w:firstLine="60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shall mean (i) any Subsidiary designated by the members or Authorized Officers of the Borrower as an Unrestricted Subsidiary pursuant to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subsequent to the Closing Date and (ii) any Subsidiary of an Unrestricted Subsidiary.</w:t>
      </w:r>
    </w:p>
    <w:p>
      <w:pPr>
        <w:spacing w:after="0" w:line="198"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Unutilized Revolving Loan Commitment</w:t>
      </w:r>
      <w:r>
        <w:rPr>
          <w:rFonts w:ascii="Arial" w:cs="Arial" w:eastAsia="Arial" w:hAnsi="Arial"/>
          <w:sz w:val="18"/>
          <w:szCs w:val="18"/>
          <w:color w:val="auto"/>
        </w:rPr>
        <w:t xml:space="preserve">” shall mean, with respect to any Lender at any time, such Lender’s Revolving Loan Commitment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(i) the aggregate outstanding principal amount of all Revolving Loans (taking the Dollar Equivalent of any such Loans denominated in an Alternate Currency) made by such Lender at such time and (ii) such Lender’s RL Percentage of the Letter of Credit Outstandings at such time (taking the Dollar Equivalent of any Letters of Credit denominated in an Alternate Currency).</w:t>
      </w:r>
    </w:p>
    <w:p>
      <w:pPr>
        <w:spacing w:after="0" w:line="194"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206"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shall mean, with respect to any Person, (i) any corporation 100.0% of whose Capital Stock is at the time owned by such Person or one or more Wholly Owned Subsidiaries of such Person and (ii) any partnership, limited liability company, association, joint venture or other entity in which such Person or one or more Wholly Owned Subsidiaries of such Person has a 100.0% equity interest at such time (other than in the case of a Foreign Subsidiary with respect to the preceding clauses</w:t>
      </w:r>
    </w:p>
    <w:p>
      <w:pPr>
        <w:spacing w:after="0" w:line="3" w:lineRule="exact"/>
        <w:rPr>
          <w:sz w:val="20"/>
          <w:szCs w:val="20"/>
          <w:color w:val="auto"/>
        </w:rPr>
      </w:pPr>
    </w:p>
    <w:p>
      <w:pPr>
        <w:ind w:left="960" w:right="20" w:firstLine="2"/>
        <w:spacing w:after="0" w:line="245" w:lineRule="auto"/>
        <w:tabs>
          <w:tab w:leader="none" w:pos="11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and (ii), director’s qualifying shares or other nominal amount of shares required to be held by Persons other than the Borrower and its Subsidiaries under applicable law).</w:t>
      </w:r>
    </w:p>
    <w:p>
      <w:pPr>
        <w:spacing w:after="0" w:line="201" w:lineRule="exact"/>
        <w:rPr>
          <w:sz w:val="20"/>
          <w:szCs w:val="20"/>
          <w:color w:val="auto"/>
        </w:rPr>
      </w:pPr>
    </w:p>
    <w:p>
      <w:pPr>
        <w:jc w:val="both"/>
        <w:ind w:left="960" w:right="20" w:firstLine="60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w:t>
      </w:r>
    </w:p>
    <w:p>
      <w:pPr>
        <w:spacing w:after="0" w:line="295" w:lineRule="exact"/>
        <w:rPr>
          <w:sz w:val="20"/>
          <w:szCs w:val="20"/>
          <w:color w:val="auto"/>
        </w:rPr>
      </w:pPr>
    </w:p>
    <w:p>
      <w:pPr>
        <w:ind w:left="960" w:right="20" w:firstLine="604"/>
        <w:spacing w:after="0" w:line="293" w:lineRule="auto"/>
        <w:tabs>
          <w:tab w:leader="none" w:pos="235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2" w:lineRule="exact"/>
        <w:rPr>
          <w:rFonts w:ascii="Arial" w:cs="Arial" w:eastAsia="Arial" w:hAnsi="Arial"/>
          <w:sz w:val="17"/>
          <w:szCs w:val="17"/>
          <w:color w:val="auto"/>
        </w:rPr>
      </w:pPr>
    </w:p>
    <w:p>
      <w:pPr>
        <w:jc w:val="both"/>
        <w:ind w:left="960" w:firstLine="605"/>
        <w:spacing w:after="0" w:line="254" w:lineRule="auto"/>
        <w:tabs>
          <w:tab w:leader="none" w:pos="235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As used herein and in the other Loan Documents, and any certificate or other document made or delivered pursuant hereto or thereto, (i) accounting terms not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have the respective meanings given to them under GAAP, (ii) the words “include,” “includes” and “including” shall be deemed to be followed by the phrase “without limitation,” (iii) unless the context otherwise requires, the words “asset” and “property” shall be construed to have the same meaning and effect and to refer to any and all tangible and intangible assets and properties, including cash, Capital Stock, securities, revenues, accounts, leasehold interests and contract rights, (iv) the word “will” shall be construed to have the same meaning and effect as the word “shall,” (v) the word “or” is not exclusive and has the meaning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340995</wp:posOffset>
            </wp:positionV>
            <wp:extent cx="326390" cy="182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20"/>
          </w:cols>
          <w:pgMar w:left="360" w:top="1326" w:right="819" w:bottom="1440" w:gutter="0" w:footer="0" w:header="0"/>
        </w:sectPr>
      </w:pPr>
    </w:p>
    <w:bookmarkStart w:id="152" w:name="page153"/>
    <w:bookmarkEnd w:id="152"/>
    <w:p>
      <w:pPr>
        <w:jc w:val="both"/>
        <w:ind w:left="960" w:right="20"/>
        <w:spacing w:after="0" w:line="239" w:lineRule="auto"/>
        <w:rPr>
          <w:sz w:val="20"/>
          <w:szCs w:val="20"/>
          <w:color w:val="auto"/>
        </w:rPr>
      </w:pPr>
      <w:r>
        <w:rPr>
          <w:rFonts w:ascii="Arial" w:cs="Arial" w:eastAsia="Arial" w:hAnsi="Arial"/>
          <w:sz w:val="18"/>
          <w:szCs w:val="18"/>
          <w:color w:val="auto"/>
        </w:rPr>
        <w:t>by the phrase “and/or,” unless the context otherwise requires, (vi) the word “extent” in the phrase “to the extent” shall mean the degree to which a subject or other theory extends and such phrase shall not mean “if,” and (vii) unless the context otherwise requires, any reference herein (A) to any Person shall be construed to include such Person’s successors and assigns and (B) to the Borrower or any other Loan Party shall be construed to include the Borrower or such Loan Party as debtor and debtor-in-possession and any receiver, examinership or trustee for the Borrower or any other Loan Party, as the case may be, in any insolvency, examinership or liquidation proceeding.</w:t>
      </w:r>
    </w:p>
    <w:p>
      <w:pPr>
        <w:spacing w:after="0" w:line="205" w:lineRule="exact"/>
        <w:rPr>
          <w:sz w:val="20"/>
          <w:szCs w:val="20"/>
          <w:color w:val="auto"/>
        </w:rPr>
      </w:pPr>
    </w:p>
    <w:p>
      <w:pPr>
        <w:jc w:val="both"/>
        <w:ind w:left="960" w:right="20" w:firstLine="604"/>
        <w:spacing w:after="0" w:line="248" w:lineRule="auto"/>
        <w:tabs>
          <w:tab w:leader="none" w:pos="23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5" w:lineRule="exact"/>
        <w:rPr>
          <w:rFonts w:ascii="Arial" w:cs="Arial" w:eastAsia="Arial" w:hAnsi="Arial"/>
          <w:sz w:val="18"/>
          <w:szCs w:val="18"/>
          <w:color w:val="auto"/>
        </w:rPr>
      </w:pPr>
    </w:p>
    <w:p>
      <w:pPr>
        <w:ind w:left="2360" w:hanging="796"/>
        <w:spacing w:after="0"/>
        <w:tabs>
          <w:tab w:leader="none" w:pos="23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w:t>
      </w:r>
    </w:p>
    <w:p>
      <w:pPr>
        <w:spacing w:after="0" w:line="21"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such terms.</w:t>
      </w:r>
    </w:p>
    <w:p>
      <w:pPr>
        <w:spacing w:after="0" w:line="215" w:lineRule="exact"/>
        <w:rPr>
          <w:rFonts w:ascii="Arial" w:cs="Arial" w:eastAsia="Arial" w:hAnsi="Arial"/>
          <w:sz w:val="17"/>
          <w:szCs w:val="17"/>
          <w:color w:val="auto"/>
        </w:rPr>
      </w:pPr>
    </w:p>
    <w:p>
      <w:pPr>
        <w:jc w:val="both"/>
        <w:ind w:left="960" w:right="20" w:firstLine="604"/>
        <w:spacing w:after="0"/>
        <w:tabs>
          <w:tab w:leader="none" w:pos="23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definition of or reference to any Loan Document,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 and all references to the knowledge of any Loan Party or any Subsidiary of any Loan Party or facts known by any such Person shall mean actual knowledge of any Authorized Officer of such Person.</w:t>
      </w:r>
    </w:p>
    <w:p>
      <w:pPr>
        <w:spacing w:after="0" w:line="206"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(f)Any Authorized Officer executing any Loan Document or any certificate or other document made or delivered pursuant hereto or thereto, so executes or certifies in his/her capacity as an Authorized Officer on behalf of the applicable Loan Party and not in any individual capacity.</w:t>
      </w:r>
    </w:p>
    <w:p>
      <w:pPr>
        <w:spacing w:after="0" w:line="186" w:lineRule="exact"/>
        <w:rPr>
          <w:sz w:val="20"/>
          <w:szCs w:val="20"/>
          <w:color w:val="auto"/>
        </w:rPr>
      </w:pPr>
    </w:p>
    <w:p>
      <w:pPr>
        <w:jc w:val="both"/>
        <w:ind w:left="960" w:firstLine="604"/>
        <w:spacing w:after="0" w:line="248" w:lineRule="auto"/>
        <w:tabs>
          <w:tab w:leader="none" w:pos="23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“enforceability” and its derivatives when used to describe the enforceability of an agreement shall mean that such agreement is enforceable except as enforceability may be limited by any Debtor Relief Law and by general equitable principles (whether enforcement is sought by proceedings in equity or at law).</w:t>
      </w:r>
    </w:p>
    <w:p>
      <w:pPr>
        <w:spacing w:after="0" w:line="198" w:lineRule="exact"/>
        <w:rPr>
          <w:sz w:val="20"/>
          <w:szCs w:val="20"/>
          <w:color w:val="auto"/>
        </w:rPr>
      </w:pPr>
    </w:p>
    <w:p>
      <w:pPr>
        <w:jc w:val="both"/>
        <w:ind w:left="960" w:right="20" w:firstLine="602"/>
        <w:spacing w:after="0" w:line="24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Interest Rates; LIBOR Notification</w:t>
      </w:r>
      <w:r>
        <w:rPr>
          <w:rFonts w:ascii="Arial" w:cs="Arial" w:eastAsia="Arial" w:hAnsi="Arial"/>
          <w:sz w:val="17"/>
          <w:szCs w:val="17"/>
          <w:color w:val="auto"/>
        </w:rPr>
        <w:t>. The interest rate on a Loan denominated in dollars or an Alternate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LIBOR is intended to represent the rate at which contributing banks may obtain short-term borrowings from each other in the London interbank market. On March 5, 2021, the FCA publicly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345440</wp:posOffset>
            </wp:positionV>
            <wp:extent cx="326390" cy="182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20"/>
          </w:cols>
          <w:pgMar w:left="360" w:top="1327" w:right="819" w:bottom="1440" w:gutter="0" w:footer="0" w:header="0"/>
        </w:sectPr>
      </w:pPr>
    </w:p>
    <w:bookmarkStart w:id="153" w:name="page154"/>
    <w:bookmarkEnd w:id="153"/>
    <w:p>
      <w:pPr>
        <w:jc w:val="both"/>
        <w:ind w:left="960"/>
        <w:spacing w:after="0" w:line="265" w:lineRule="auto"/>
        <w:rPr>
          <w:sz w:val="20"/>
          <w:szCs w:val="20"/>
          <w:color w:val="auto"/>
        </w:rPr>
      </w:pPr>
      <w:r>
        <w:rPr>
          <w:rFonts w:ascii="Arial" w:cs="Arial" w:eastAsia="Arial" w:hAnsi="Arial"/>
          <w:sz w:val="16"/>
          <w:szCs w:val="16"/>
          <w:color w:val="auto"/>
        </w:rPr>
        <w:t>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circumstances set forth in Section 2.11(a)(i)(A), Section 2.11(a)(ii) provides a mechanism for determining an alternative rate of interest. The Administrative Agent does not warrant, nor accept responsibility, nor shall the Administrative Agent have any liability with respect to the administration, submission or any other matter related to the SONIA Rate, EURIBOR Rate, LIBOR or other rates in the definition of “LIBOR Rate”, “EURIBOR Rate” or “SONIA Rate” or with respect to any alternative or successor rate thereto or other rate hereunder, or replacement rate thereof (including, without limitation, any such alternative, successor or replacement rate implemented pursuant to Section 2.11(a)(ii), or whether the composition or characteristics of any such alternative, successor or replacement reference rate will be similar to, or produce the same value or economic equivalence of, the SONIA Rate, EURIBOR Rate or the LIBOR Rate or have the same volume or liquidity as did the London interbank offered rate prior to its discontinuance or unavailability). The Administrative Agent and its affiliates and/or other related entities may engage in transactions that affect the calculation of the SONIA Rate, EURIBOR Rate, any alternative rate of interest determined pursuant to Section 2.11(a)(ii) or any alternative, successor or alternative rate and/or any relevant adjustments thereto, in each case, in a manner adverse to the Borrower. The Administrative Agent may select information sources or services in its reasonable discretion to ascertain any such alternative, successor or replacement reference rate,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88" w:lineRule="exact"/>
        <w:rPr>
          <w:sz w:val="20"/>
          <w:szCs w:val="20"/>
          <w:color w:val="auto"/>
        </w:rPr>
      </w:pPr>
    </w:p>
    <w:p>
      <w:pPr>
        <w:jc w:val="both"/>
        <w:ind w:left="960" w:right="20" w:firstLine="601"/>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Limited Condition Transactions</w:t>
      </w:r>
      <w:r>
        <w:rPr>
          <w:rFonts w:ascii="Arial" w:cs="Arial" w:eastAsia="Arial" w:hAnsi="Arial"/>
          <w:sz w:val="18"/>
          <w:szCs w:val="18"/>
          <w:color w:val="auto"/>
        </w:rPr>
        <w:t>. Notwithstanding anything to the contrary herein, in connection with any action being taken solely in connection with a Limited Condition Transaction, for purposes of:</w:t>
      </w:r>
    </w:p>
    <w:p>
      <w:pPr>
        <w:spacing w:after="0" w:line="173" w:lineRule="exact"/>
        <w:rPr>
          <w:sz w:val="20"/>
          <w:szCs w:val="20"/>
          <w:color w:val="auto"/>
        </w:rPr>
      </w:pPr>
    </w:p>
    <w:p>
      <w:pPr>
        <w:jc w:val="both"/>
        <w:ind w:left="1480" w:right="20" w:firstLine="664"/>
        <w:spacing w:after="0" w:line="242" w:lineRule="auto"/>
        <w:tabs>
          <w:tab w:leader="none" w:pos="237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Agreement (other than the Financial Covenant) which requires the calculation of any financial ratio or test, including the Total Net First Lien Leverage Ratio and Total Net Leverage Ratio (and, for the avoidance of doubt, any financial ratio set forth in the definition of Maximum Incremental Facilities Amount);</w:t>
      </w:r>
    </w:p>
    <w:p>
      <w:pPr>
        <w:spacing w:after="0" w:line="205" w:lineRule="exact"/>
        <w:rPr>
          <w:rFonts w:ascii="Arial" w:cs="Arial" w:eastAsia="Arial" w:hAnsi="Arial"/>
          <w:sz w:val="18"/>
          <w:szCs w:val="18"/>
          <w:color w:val="auto"/>
        </w:rPr>
      </w:pPr>
    </w:p>
    <w:p>
      <w:pPr>
        <w:ind w:left="1480" w:right="20" w:firstLine="612"/>
        <w:spacing w:after="0" w:line="263" w:lineRule="auto"/>
        <w:tabs>
          <w:tab w:leader="none" w:pos="237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determining compliance with representations and warranties, or a requirement regarding the absence of Defaults or Events of Default; or</w:t>
      </w:r>
    </w:p>
    <w:p>
      <w:pPr>
        <w:spacing w:after="0" w:line="185" w:lineRule="exact"/>
        <w:rPr>
          <w:rFonts w:ascii="Arial" w:cs="Arial" w:eastAsia="Arial" w:hAnsi="Arial"/>
          <w:sz w:val="18"/>
          <w:szCs w:val="18"/>
          <w:color w:val="auto"/>
        </w:rPr>
      </w:pPr>
    </w:p>
    <w:p>
      <w:pPr>
        <w:ind w:left="2360" w:hanging="319"/>
        <w:spacing w:after="0"/>
        <w:tabs>
          <w:tab w:leader="none" w:pos="23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testing availability under baskets set forth in this Agreement (including baskets measured as a percentage of</w:t>
      </w:r>
    </w:p>
    <w:p>
      <w:pPr>
        <w:spacing w:after="0" w:line="21" w:lineRule="exact"/>
        <w:rPr>
          <w:rFonts w:ascii="Arial" w:cs="Arial" w:eastAsia="Arial" w:hAnsi="Arial"/>
          <w:sz w:val="17"/>
          <w:szCs w:val="17"/>
          <w:color w:val="auto"/>
        </w:rPr>
      </w:pPr>
    </w:p>
    <w:p>
      <w:pPr>
        <w:ind w:left="1480"/>
        <w:spacing w:after="0"/>
        <w:rPr>
          <w:rFonts w:ascii="Arial" w:cs="Arial" w:eastAsia="Arial" w:hAnsi="Arial"/>
          <w:sz w:val="17"/>
          <w:szCs w:val="17"/>
          <w:color w:val="auto"/>
        </w:rPr>
      </w:pPr>
      <w:r>
        <w:rPr>
          <w:rFonts w:ascii="Arial" w:cs="Arial" w:eastAsia="Arial" w:hAnsi="Arial"/>
          <w:sz w:val="18"/>
          <w:szCs w:val="18"/>
          <w:color w:val="auto"/>
        </w:rPr>
        <w:t>LTM CEBITDA);</w:t>
      </w:r>
    </w:p>
    <w:p>
      <w:pPr>
        <w:spacing w:after="0" w:line="203" w:lineRule="exact"/>
        <w:rPr>
          <w:sz w:val="20"/>
          <w:szCs w:val="20"/>
          <w:color w:val="auto"/>
        </w:rPr>
      </w:pPr>
    </w:p>
    <w:p>
      <w:pPr>
        <w:jc w:val="both"/>
        <w:ind w:left="960" w:right="20"/>
        <w:spacing w:after="0" w:line="237" w:lineRule="auto"/>
        <w:rPr>
          <w:sz w:val="20"/>
          <w:szCs w:val="20"/>
          <w:color w:val="auto"/>
        </w:rPr>
      </w:pPr>
      <w:r>
        <w:rPr>
          <w:rFonts w:ascii="Arial" w:cs="Arial" w:eastAsia="Arial" w:hAnsi="Arial"/>
          <w:sz w:val="18"/>
          <w:szCs w:val="18"/>
          <w:color w:val="auto"/>
        </w:rPr>
        <w:t>in each case, at the option of the Borrower (the Borrower’s election to exercise such option in connection with any Limited Condition Transaction, an “</w:t>
      </w:r>
      <w:r>
        <w:rPr>
          <w:rFonts w:ascii="Arial" w:cs="Arial" w:eastAsia="Arial" w:hAnsi="Arial"/>
          <w:sz w:val="18"/>
          <w:szCs w:val="18"/>
          <w:u w:val="single" w:color="auto"/>
          <w:color w:val="auto"/>
        </w:rPr>
        <w:t>LCT Election</w:t>
      </w:r>
      <w:r>
        <w:rPr>
          <w:rFonts w:ascii="Arial" w:cs="Arial" w:eastAsia="Arial" w:hAnsi="Arial"/>
          <w:sz w:val="18"/>
          <w:szCs w:val="18"/>
          <w:color w:val="auto"/>
        </w:rPr>
        <w:t>”), the date of determination of whether any such action is permitted hereunder shall be deemed to be the date the definitive agreements for such Limited Condition Transaction are entered into (the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giving effect to the Limited Condition Transaction and the other transactions to be entered into in connection therewith (including any Incurrence of Indebtedness and the use of proceeds thereof) on a Pro Forma Basis as if they had occurred at the beginning of the most recent Test Period ending prior to the LCT Test Date, the Borrower would have been permitted to take such action on the relevant LCT Test Date in compliance with such ratio, test or basket, such ratio, test or basket shall be deemed to have been complied with.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349885</wp:posOffset>
            </wp:positionV>
            <wp:extent cx="326390" cy="182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20"/>
          </w:cols>
          <w:pgMar w:left="360" w:top="1326" w:right="819" w:bottom="1440" w:gutter="0" w:footer="0" w:header="0"/>
        </w:sectPr>
      </w:pPr>
    </w:p>
    <w:bookmarkStart w:id="154" w:name="page155"/>
    <w:bookmarkEnd w:id="154"/>
    <w:p>
      <w:pPr>
        <w:jc w:val="both"/>
        <w:ind w:left="960"/>
        <w:spacing w:after="0" w:line="249" w:lineRule="auto"/>
        <w:rPr>
          <w:sz w:val="20"/>
          <w:szCs w:val="20"/>
          <w:color w:val="auto"/>
        </w:rPr>
      </w:pPr>
      <w:r>
        <w:rPr>
          <w:rFonts w:ascii="Arial" w:cs="Arial" w:eastAsia="Arial" w:hAnsi="Arial"/>
          <w:sz w:val="17"/>
          <w:szCs w:val="17"/>
          <w:color w:val="auto"/>
        </w:rPr>
        <w:t>doubt, if the Borrower has made an LCT Election and any of the ratios, tests or baskets for which compliance was determined or tested as of the LCT Test Date are exceeded as a result of fluctuations in any such ratio, test or basket, including due to fluctuations in Consolidated CEBITDA or Total Assets of the Borrower or the Person subject to such Limited Condition Transaction, at or prior to the consummation of the relevant transaction or action, such baskets, tests or ratios will not be deemed to have been exceeded as a result of such fluctuations. If the Borrower has made an LCT Election for any Limited Condition Transaction, then in connection with any calculation of any ratio, test or basket availability with respect to the Incurrence of Indebtedness or Liens, the making of Restricted Payments, the making of any Permitted Investment, mergers, the conveyance, lease or other transfer of all or substantially all of the assets of the Borrower, the prepayment, redemption, purchase, defeasance or other satisfaction of Indebtedness, or the designation of an Unrestricted Subsidiary (a “</w:t>
      </w:r>
      <w:r>
        <w:rPr>
          <w:rFonts w:ascii="Arial" w:cs="Arial" w:eastAsia="Arial" w:hAnsi="Arial"/>
          <w:sz w:val="17"/>
          <w:szCs w:val="17"/>
          <w:u w:val="single" w:color="auto"/>
          <w:color w:val="auto"/>
        </w:rPr>
        <w:t>Subsequent Transaction</w:t>
      </w:r>
      <w:r>
        <w:rPr>
          <w:rFonts w:ascii="Arial" w:cs="Arial" w:eastAsia="Arial" w:hAnsi="Arial"/>
          <w:sz w:val="17"/>
          <w:szCs w:val="17"/>
          <w:color w:val="auto"/>
        </w:rPr>
        <w:t>”) following the relevant LCT Test Date and prior to the earlier of the date on which such Limited Condition Transaction is consummated or the date that the definitive agreement or irrevocable notice for such Limited Condition Transaction is terminated or expires without consummation of such Limited Condition Transaction, for purposes of determining whether such Subsequent Transaction is permitted under this Agreement, any such ratio, test or basket shall be required to be satisfied on a Pro Forma Basis assuming such Limited Condition Transaction and other transactions in connection therewith (including any incurrence of Indebtedness and the use of proceeds thereof) have been consummated.</w:t>
      </w:r>
    </w:p>
    <w:p>
      <w:pPr>
        <w:spacing w:after="0" w:line="20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Calculations; Computations; Latest Maturity Date</w:t>
      </w:r>
      <w:r>
        <w:rPr>
          <w:rFonts w:ascii="Arial" w:cs="Arial" w:eastAsia="Arial" w:hAnsi="Arial"/>
          <w:sz w:val="16"/>
          <w:szCs w:val="16"/>
          <w:color w:val="auto"/>
        </w:rPr>
        <w:t>.</w:t>
      </w:r>
    </w:p>
    <w:p>
      <w:pPr>
        <w:spacing w:after="0" w:line="295" w:lineRule="exact"/>
        <w:rPr>
          <w:sz w:val="20"/>
          <w:szCs w:val="20"/>
          <w:color w:val="auto"/>
        </w:rPr>
      </w:pPr>
    </w:p>
    <w:p>
      <w:pPr>
        <w:jc w:val="both"/>
        <w:ind w:left="960" w:right="20" w:firstLine="604"/>
        <w:spacing w:after="0" w:line="272" w:lineRule="auto"/>
        <w:tabs>
          <w:tab w:leader="none" w:pos="235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The financial statements to be furnished to the Lenders pursuant hereto shall be made and prepared in accordance with GAAP consistently applied throughout the periods involved (except as otherwise permitted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left="960" w:firstLine="2"/>
        <w:spacing w:after="0" w:line="247" w:lineRule="auto"/>
        <w:tabs>
          <w:tab w:leader="none" w:pos="127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except as otherwise specifically provided below, all computations of the Applicable Margin, all computations with respect to any basket, standard or term in this Agreement and all computations and all definitions (including accounting terms) used in determining compliance with the Financial Covenant and in determining the Total Net First Lien Leverage Ratio and the Total Net Leverage Ratio (collectively, the “</w:t>
      </w:r>
      <w:r>
        <w:rPr>
          <w:rFonts w:ascii="Arial" w:cs="Arial" w:eastAsia="Arial" w:hAnsi="Arial"/>
          <w:sz w:val="17"/>
          <w:szCs w:val="17"/>
          <w:u w:val="single" w:color="auto"/>
          <w:color w:val="auto"/>
        </w:rPr>
        <w:t>Leverage Ratios</w:t>
      </w:r>
      <w:r>
        <w:rPr>
          <w:rFonts w:ascii="Arial" w:cs="Arial" w:eastAsia="Arial" w:hAnsi="Arial"/>
          <w:sz w:val="17"/>
          <w:szCs w:val="17"/>
          <w:color w:val="auto"/>
        </w:rPr>
        <w:t>” and, each, a “</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shall utilize GAAP and policies as in effect from time to time, (B) notwithstanding anything to the contrary contained herein, all such financial statements shall be prepared, and the Financial Covenant and the Leverage Ratios shall be calculated, in each case, without giving effect to any election under any accounting principle permitting a Person to value its financial liabilities at the fair value thereof and (C) to the extent expressly provided herein, certain calculations shall be made on a Pro Forma Basis. In the event that any Accounting Change (as defined below) shall occur and such change results in a change in the method of calculation of any of the computations and definitions (including accounting terms) used in determining any of the items described in clause (A) above, then at the Borrower’s request or at the Administrative Agent’s request (at the direction of the Required Lenders), the Administrative Agent and the Borrower shall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amendment fee shall be payable in connection therewith and (ii) all amendments relating to the Leverage Ratios shall be subject to the prior written consent of the Required Lenders (such consent not to be unreasonably withheld or delayed). Until such time as such an amendment (whether or not such amendment is or was requested by the Borrower) shall have been executed and delivered by the parties hereto in accordance with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all computations of the Applicable Margin, all computations with respect to any basket, standard or term in this Agreement and all computations and all definitions (including accounting terms) used in determining compliance with the Financial Covenant and in determining any Leverage Ratio shall continue to be calculated or construed as if such Accounting Changes had not occurred (other than for purposes of delivery of financial statements under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w:t>
      </w:r>
      <w:r>
        <w:rPr>
          <w:rFonts w:ascii="Arial" w:cs="Arial" w:eastAsia="Arial" w:hAnsi="Arial"/>
          <w:sz w:val="17"/>
          <w:szCs w:val="17"/>
          <w:u w:val="single" w:color="auto"/>
          <w:color w:val="auto"/>
        </w:rPr>
        <w:t>Accounting Changes</w:t>
      </w:r>
      <w:r>
        <w:rPr>
          <w:rFonts w:ascii="Arial" w:cs="Arial" w:eastAsia="Arial" w:hAnsi="Arial"/>
          <w:sz w:val="17"/>
          <w:szCs w:val="17"/>
          <w:color w:val="auto"/>
        </w:rPr>
        <w:t>” refers to changes in accounting principles (i) required by the FASB or the SEC, (ii) as a result of a proper IFRS Election or (iii) otherwise proposed by the Borrower to, and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350520</wp:posOffset>
            </wp:positionV>
            <wp:extent cx="326390" cy="182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20"/>
          </w:cols>
          <w:pgMar w:left="360" w:top="1326" w:right="819" w:bottom="1440" w:gutter="0" w:footer="0" w:header="0"/>
        </w:sectPr>
      </w:pPr>
    </w:p>
    <w:bookmarkStart w:id="155" w:name="page156"/>
    <w:bookmarkEnd w:id="155"/>
    <w:p>
      <w:pPr>
        <w:jc w:val="both"/>
        <w:ind w:left="960" w:right="20"/>
        <w:spacing w:after="0" w:line="264" w:lineRule="auto"/>
        <w:rPr>
          <w:sz w:val="20"/>
          <w:szCs w:val="20"/>
          <w:color w:val="auto"/>
        </w:rPr>
      </w:pPr>
      <w:r>
        <w:rPr>
          <w:rFonts w:ascii="Arial" w:cs="Arial" w:eastAsia="Arial" w:hAnsi="Arial"/>
          <w:sz w:val="16"/>
          <w:szCs w:val="16"/>
          <w:color w:val="auto"/>
        </w:rPr>
        <w:t>by, the Administrative Agent. Notwithstanding anything to the contrary herein, the Borrower may elect (the “</w:t>
      </w:r>
      <w:r>
        <w:rPr>
          <w:rFonts w:ascii="Arial" w:cs="Arial" w:eastAsia="Arial" w:hAnsi="Arial"/>
          <w:sz w:val="16"/>
          <w:szCs w:val="16"/>
          <w:u w:val="single" w:color="auto"/>
          <w:color w:val="auto"/>
        </w:rPr>
        <w:t>IFRS Election</w:t>
      </w:r>
      <w:r>
        <w:rPr>
          <w:rFonts w:ascii="Arial" w:cs="Arial" w:eastAsia="Arial" w:hAnsi="Arial"/>
          <w:sz w:val="16"/>
          <w:szCs w:val="16"/>
          <w:color w:val="auto"/>
        </w:rPr>
        <w:t>”), by providing a written notice to the Administrative Agent, in connection with the delivery of financial statements and other information hereunder, to adopt the accounting standards and interpretations (“</w:t>
      </w:r>
      <w:r>
        <w:rPr>
          <w:rFonts w:ascii="Arial" w:cs="Arial" w:eastAsia="Arial" w:hAnsi="Arial"/>
          <w:sz w:val="16"/>
          <w:szCs w:val="16"/>
          <w:u w:val="single" w:color="auto"/>
          <w:color w:val="auto"/>
        </w:rPr>
        <w:t>IFRS</w:t>
      </w:r>
      <w:r>
        <w:rPr>
          <w:rFonts w:ascii="Arial" w:cs="Arial" w:eastAsia="Arial" w:hAnsi="Arial"/>
          <w:sz w:val="16"/>
          <w:szCs w:val="16"/>
          <w:color w:val="auto"/>
        </w:rPr>
        <w:t xml:space="preserve">”) adopted by the International Accounting Standard Board, as in effect on the first date of the period for which the Borrower is making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election, once made, shall be irrevocable and (b) from and after the date of the IFRS Election, (i) all financial statements and reports required to be provided after such election pursuant to this Agreement shall be prepared on the basis of IFRS, (ii) all ratios, financial definitions, computations and other determinations based on GAAP contained in this Agreement shall be computed in conformity with IFRS,</w:t>
      </w:r>
    </w:p>
    <w:p>
      <w:pPr>
        <w:spacing w:after="0" w:line="4" w:lineRule="exact"/>
        <w:rPr>
          <w:sz w:val="20"/>
          <w:szCs w:val="20"/>
          <w:color w:val="auto"/>
        </w:rPr>
      </w:pPr>
    </w:p>
    <w:p>
      <w:pPr>
        <w:jc w:val="both"/>
        <w:ind w:left="960" w:right="20" w:firstLine="2"/>
        <w:spacing w:after="0" w:line="235" w:lineRule="auto"/>
        <w:tabs>
          <w:tab w:leader="none" w:pos="12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all references herein to GAAP shall be deemed to be references to IFRS, (iv) all references to the FASB shall be deemed to be references to the IASB and (v) accounting terms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have the respective meanings given to them under IFRS;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term phrased in a manner customary under GAAP shall be interpreted to refer to the equivalent accounting or financial concept under IFRS and, if there is no such equivalent accounting or financial concept, shall be interpreted in a manner that best approximates the effect that such term would have if it were construed in accordance with GAAP as in effect on the date hereof.</w:t>
      </w:r>
    </w:p>
    <w:p>
      <w:pPr>
        <w:spacing w:after="0" w:line="209" w:lineRule="exact"/>
        <w:rPr>
          <w:rFonts w:ascii="Arial" w:cs="Arial" w:eastAsia="Arial" w:hAnsi="Arial"/>
          <w:sz w:val="18"/>
          <w:szCs w:val="18"/>
          <w:color w:val="auto"/>
        </w:rPr>
      </w:pPr>
    </w:p>
    <w:p>
      <w:pPr>
        <w:jc w:val="both"/>
        <w:ind w:left="960" w:right="20" w:firstLine="604"/>
        <w:spacing w:after="0" w:line="258" w:lineRule="auto"/>
        <w:tabs>
          <w:tab w:leader="none" w:pos="235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All computations of interest, Commitment Fees and other Fees hereunder shall be made on the basis of a year of 360 days (except for interest calculated by reference to the “prime rate,” which shall be based on a year of 365 or 366 days, as applicable, and interest calculated by reference to the SONIA Rate, which shall be based on a year of 365 days) for the actual number of days (including the first day but excluding the last day; except that in the case of Letter of Credit Fees and Facing Fees, the last day shall be included) occurring in the period for which such interest, Commitment Fees or Fees are payable.</w:t>
      </w:r>
    </w:p>
    <w:p>
      <w:pPr>
        <w:spacing w:after="0" w:line="178" w:lineRule="exact"/>
        <w:rPr>
          <w:rFonts w:ascii="Arial" w:cs="Arial" w:eastAsia="Arial" w:hAnsi="Arial"/>
          <w:sz w:val="17"/>
          <w:szCs w:val="17"/>
          <w:color w:val="auto"/>
        </w:rPr>
      </w:pPr>
    </w:p>
    <w:p>
      <w:pPr>
        <w:jc w:val="both"/>
        <w:ind w:left="960" w:firstLine="605"/>
        <w:spacing w:after="0" w:line="249" w:lineRule="auto"/>
        <w:tabs>
          <w:tab w:leader="none" w:pos="235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For purposes of this Agreement and the other Loan Documents, except as provided in </w:t>
      </w:r>
      <w:r>
        <w:rPr>
          <w:rFonts w:ascii="Arial" w:cs="Arial" w:eastAsia="Arial" w:hAnsi="Arial"/>
          <w:sz w:val="17"/>
          <w:szCs w:val="17"/>
          <w:u w:val="single" w:color="auto"/>
          <w:color w:val="auto"/>
        </w:rPr>
        <w:t>Section 1.5(d)</w:t>
      </w:r>
      <w:r>
        <w:rPr>
          <w:rFonts w:ascii="Arial" w:cs="Arial" w:eastAsia="Arial" w:hAnsi="Arial"/>
          <w:sz w:val="17"/>
          <w:szCs w:val="17"/>
          <w:color w:val="auto"/>
        </w:rPr>
        <w:t xml:space="preserve">, where the permissibility of a transaction or determinations of required actions or circumstances depend upon compliance with, or are determined by reference to, amounts stated in Dollars, any requisite currency translation shall be based on the rate determined by the Administrative Agent or the applicable Issuing Lender,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such Issuing Lender may obtain such spot rate from another financial institution designated by the Administrative Agent or such Issuing Lender if the Person acting in such capacity does not have as of the date of determination a spot buying rate for any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Issuing Lender may use such spot rate quoted on the date as of which the foreign exchange computation is made in the case of any Letter of Credit denominated in an Alternate Currency (the “</w:t>
      </w:r>
      <w:r>
        <w:rPr>
          <w:rFonts w:ascii="Arial" w:cs="Arial" w:eastAsia="Arial" w:hAnsi="Arial"/>
          <w:sz w:val="17"/>
          <w:szCs w:val="17"/>
          <w:u w:val="single" w:color="auto"/>
          <w:color w:val="auto"/>
        </w:rPr>
        <w:t>Spot Currency Exchange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any Leverage Ratio, such ratios will be determined at the currency exchange rates used in preparing the Borrower’s financial statements corresponding to the Test Period with respect to the applicable date of determination. Any determinations as to the Dollar Equivalent of Revolving Loans or Letters of Credit denominated in an Alternate Currency (whether for purposes of calculating the amount of L/C Obligations or fees payable in respect of Letters of Credit or the amount required to be paid to the applicable Issuing Lender in respect of a drawing on a Letter of Credit or otherwise), the amount of fees owing in respect of Letters of Credit denominated in an Alternate Currency and the amount of Unpaid Drawings owing to such Issuing Lender shall be made by the Administrative Agent and such determination shall be conclusive absent manifest error.</w:t>
      </w:r>
    </w:p>
    <w:p>
      <w:pPr>
        <w:spacing w:after="0" w:line="198" w:lineRule="exact"/>
        <w:rPr>
          <w:rFonts w:ascii="Arial" w:cs="Arial" w:eastAsia="Arial" w:hAnsi="Arial"/>
          <w:sz w:val="17"/>
          <w:szCs w:val="17"/>
          <w:color w:val="auto"/>
        </w:rPr>
      </w:pPr>
    </w:p>
    <w:p>
      <w:pPr>
        <w:jc w:val="both"/>
        <w:ind w:left="960" w:firstLine="605"/>
        <w:spacing w:after="0" w:line="242" w:lineRule="auto"/>
        <w:tabs>
          <w:tab w:leader="none" w:pos="235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purposes of determining compliance with any Dollar-denominated restriction on the incurrence of Indebtedness, the Dollar-equivalent principal amount of Indebtedness denominated in a foreign currency shall be calculated based on the Spot Currency Exchange Rate in effect on the date such Indebtedness was incurred, in the case of term debt, or first committed, in the case of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20"/>
          </w:cols>
          <w:pgMar w:left="360" w:top="1327" w:right="819" w:bottom="1440" w:gutter="0" w:footer="0" w:header="0"/>
        </w:sectPr>
      </w:pPr>
    </w:p>
    <w:bookmarkStart w:id="156" w:name="page157"/>
    <w:bookmarkEnd w:id="156"/>
    <w:p>
      <w:pPr>
        <w:jc w:val="center"/>
        <w:ind w:right="79"/>
        <w:spacing w:after="0"/>
        <w:rPr>
          <w:sz w:val="20"/>
          <w:szCs w:val="20"/>
          <w:color w:val="auto"/>
        </w:rPr>
      </w:pPr>
      <w:r>
        <w:rPr>
          <w:rFonts w:ascii="Arial" w:cs="Arial" w:eastAsia="Arial" w:hAnsi="Arial"/>
          <w:sz w:val="16"/>
          <w:szCs w:val="16"/>
          <w:color w:val="auto"/>
        </w:rPr>
        <w:t xml:space="preserve">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incurred to Refinance other Indebtedness denominated in a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326390" cy="182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099"/>
          </w:cols>
          <w:pgMar w:left="360" w:top="1264" w:right="1440" w:bottom="1440" w:gutter="0" w:footer="0" w:header="0"/>
        </w:sectPr>
      </w:pPr>
    </w:p>
    <w:bookmarkStart w:id="157" w:name="page158"/>
    <w:bookmarkEnd w:id="157"/>
    <w:p>
      <w:pPr>
        <w:jc w:val="both"/>
        <w:ind w:left="960" w:right="20"/>
        <w:spacing w:after="0" w:line="254" w:lineRule="auto"/>
        <w:rPr>
          <w:sz w:val="20"/>
          <w:szCs w:val="20"/>
          <w:color w:val="auto"/>
        </w:rPr>
      </w:pPr>
      <w:r>
        <w:rPr>
          <w:rFonts w:ascii="Arial" w:cs="Arial" w:eastAsia="Arial" w:hAnsi="Arial"/>
          <w:sz w:val="17"/>
          <w:szCs w:val="17"/>
          <w:color w:val="auto"/>
        </w:rPr>
        <w:t xml:space="preserve">currency, and such Refinancing would cause the applicable Dollar-denominated restriction to be exceeded if calculated at the Spot Currency Exchange Rate in effect on the date of such Refinancing such Dollar- denominated restriction shall be deemed not to have been exceeded so long as the principal amount of such Indebtedness so Refinanced does not exceed the principal amount of such Indebtedness being Refinanced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 amount necessary to pay any fees and expenses, including premiums, related to such Refinancing. Notwithstanding the foregoing, the principal amount of any Indebtedness incurred to Refinance other Indebtedness, if incurred in a different currency from the Indebtedness being Refinanced, shall be calculated based on the Spot Currency Exchange Rate that is in effect on the date of such Refinancing.</w:t>
      </w:r>
    </w:p>
    <w:p>
      <w:pPr>
        <w:spacing w:after="0" w:line="194" w:lineRule="exact"/>
        <w:rPr>
          <w:sz w:val="20"/>
          <w:szCs w:val="20"/>
          <w:color w:val="auto"/>
        </w:rPr>
      </w:pPr>
    </w:p>
    <w:p>
      <w:pPr>
        <w:jc w:val="both"/>
        <w:ind w:left="960" w:right="20" w:firstLine="604"/>
        <w:spacing w:after="0" w:line="239" w:lineRule="auto"/>
        <w:tabs>
          <w:tab w:leader="none" w:pos="23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 respect to the provisions of this Agreement (A) that require newly incurred or issued Indebtedness or Capital Stock (or Indebtedness or Capital Stock that is proposed to be incurred or issued) to have a maturity not earlier than the Latest Maturity Date or to have Weighted Average Life to Maturity no shorter than the remaining Weighted Average Life to Maturity of existing Term Loans (including Incremental Term Loans) having the Latest Maturity Date or (B) that otherwise refer to the Latest Maturity Date in respect of any such incurrence or issuance (or proposed incurrence or issuance), such provisions shall be deemed to refer to the Latest Maturity Date in effect at the time of determination.</w:t>
      </w:r>
    </w:p>
    <w:p>
      <w:pPr>
        <w:spacing w:after="0" w:line="193" w:lineRule="exact"/>
        <w:rPr>
          <w:sz w:val="20"/>
          <w:szCs w:val="20"/>
          <w:color w:val="auto"/>
        </w:rPr>
      </w:pPr>
    </w:p>
    <w:p>
      <w:pPr>
        <w:jc w:val="both"/>
        <w:ind w:left="960" w:right="20" w:firstLine="602"/>
        <w:spacing w:after="0" w:line="251" w:lineRule="auto"/>
        <w:rPr>
          <w:sz w:val="20"/>
          <w:szCs w:val="20"/>
          <w:color w:val="auto"/>
        </w:rPr>
      </w:pPr>
      <w:r>
        <w:rPr>
          <w:rFonts w:ascii="Arial" w:cs="Arial" w:eastAsia="Arial" w:hAnsi="Arial"/>
          <w:sz w:val="17"/>
          <w:szCs w:val="17"/>
          <w:color w:val="auto"/>
        </w:rPr>
        <w:t xml:space="preserve">(f)For purposes of determining compliance with any of the covenants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in connection with any Incremental Facility at any time (whether at the time of incurrence or thereafter), any Lien, Restricted Payment, Restricted Investment, Permitted Investment, Investment, Indebtedness, Disqualified Stock or Preferred Stock, Asset Sale or Affiliate transaction meets the criteria of one, or more than one, of the categories permitted pursuant to the applicable covenant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any related definitions or provisions used therein (including in connection with any Incremental Facility), the Borrower (i) shall in its sole discretion determine under which category such Lien (other than Liens with respect to the Revolving Loans), Investment, Indebtedness (other than Indebtedness consisting of the Revolving Loans), Disqualified Stock or Preferred Stock, Asset Sale or Affiliate transaction (or, in each case, any portion there) is permitted and (ii) shall be permitted to make any such determination or redetermination or classification or reclassification at such time and from time to time as it may determine and without notice to the Administrative Agent or any Lender.</w:t>
      </w:r>
    </w:p>
    <w:p>
      <w:pPr>
        <w:spacing w:after="0" w:line="200" w:lineRule="exact"/>
        <w:rPr>
          <w:sz w:val="20"/>
          <w:szCs w:val="20"/>
          <w:color w:val="auto"/>
        </w:rPr>
      </w:pPr>
    </w:p>
    <w:p>
      <w:pPr>
        <w:jc w:val="both"/>
        <w:ind w:left="960" w:firstLine="604"/>
        <w:spacing w:after="0" w:line="236" w:lineRule="auto"/>
        <w:tabs>
          <w:tab w:leader="none" w:pos="23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Borrower Incurs any Indebtedness, Disqualified Stock or Preferred Stock or takes any other action under a ratio-based basket or exception (or component thereof) under this Agreement on the same date that it Incurs Indebtedness, Disqualified Stock or Preferred Stock or takes any other action under any “fixed,” “freebie” or “starter” basket or exception (or component thereof), compliance with the Total Net First Lien Leverage Ratio, Total Net Secured Leverage Ratio or Total Net Leverage Ratio, as applicable, on a Pro Forma Basis will be calculated with respect to such Incurrence or action, as applicable, under the ratio-based basket or exception (or component thereof) without regard to any Incurrence or action, as applicable, under the “fixed,” “freebie” or “starter” basket or exception (or component thereof). Unless the Borrower elects otherwise, any Incurrence of Indebtedness, Disqualified Stock or Preferred Stock or other action shall be deemed to have been Incurred or taken, as applicable, first, under the ratio-based basket or exception (or component thereof) and, second, under the “fixed,” “freebie” or “starter” basket or exception (or component thereof).</w:t>
      </w:r>
    </w:p>
    <w:p>
      <w:pPr>
        <w:spacing w:after="0" w:line="209" w:lineRule="exact"/>
        <w:rPr>
          <w:rFonts w:ascii="Arial" w:cs="Arial" w:eastAsia="Arial" w:hAnsi="Arial"/>
          <w:sz w:val="18"/>
          <w:szCs w:val="18"/>
          <w:color w:val="auto"/>
        </w:rPr>
      </w:pPr>
    </w:p>
    <w:p>
      <w:pPr>
        <w:jc w:val="both"/>
        <w:ind w:left="960" w:right="20" w:firstLine="605"/>
        <w:spacing w:after="0" w:line="248" w:lineRule="auto"/>
        <w:tabs>
          <w:tab w:leader="none" w:pos="235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each dollar basket (including “general” baskets), the Borrower shall be permitted to convert (i) unused Restricted Payment capacity to Junior Indebtedness prepayment capacity and Investment capacity and (ii) Junior Indebtedness prepayment capacity to Investment capacity.</w:t>
      </w:r>
    </w:p>
    <w:p>
      <w:pPr>
        <w:spacing w:after="0" w:line="185" w:lineRule="exact"/>
        <w:rPr>
          <w:rFonts w:ascii="Arial" w:cs="Arial" w:eastAsia="Arial" w:hAnsi="Arial"/>
          <w:sz w:val="18"/>
          <w:szCs w:val="18"/>
          <w:color w:val="auto"/>
        </w:rPr>
      </w:pPr>
    </w:p>
    <w:p>
      <w:pPr>
        <w:jc w:val="both"/>
        <w:ind w:left="960" w:right="20" w:firstLine="605"/>
        <w:spacing w:after="0" w:line="242" w:lineRule="auto"/>
        <w:tabs>
          <w:tab w:leader="none" w:pos="17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purposes of any provision that permits the incurrence of Indebtedness, Disqualified Stock or Preferred Stock subject to compliance (or compliance on a Pro Forma Basis) with the Financial Covenant (including Section 2.15 and Section 9.4(b)(vi) and (xvii)), all Indebtedness incurred in reliance thereon shall be deemed to constitute First Lien Debt for purposes of determining whether such Incurrence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720"/>
          </w:cols>
          <w:pgMar w:left="360" w:top="1326" w:right="819" w:bottom="1440" w:gutter="0" w:footer="0" w:header="0"/>
        </w:sectPr>
      </w:pPr>
    </w:p>
    <w:bookmarkStart w:id="158" w:name="page159"/>
    <w:bookmarkEnd w:id="158"/>
    <w:p>
      <w:pPr>
        <w:jc w:val="both"/>
        <w:ind w:left="960" w:right="20"/>
        <w:spacing w:after="0" w:line="248" w:lineRule="auto"/>
        <w:rPr>
          <w:sz w:val="20"/>
          <w:szCs w:val="20"/>
          <w:color w:val="auto"/>
        </w:rPr>
      </w:pPr>
      <w:r>
        <w:rPr>
          <w:rFonts w:ascii="Arial" w:cs="Arial" w:eastAsia="Arial" w:hAnsi="Arial"/>
          <w:sz w:val="18"/>
          <w:szCs w:val="18"/>
          <w:color w:val="auto"/>
        </w:rPr>
        <w:t>and any subsequent Incurrence thereunder is permitted (it being understood that, for the avoidance of doubt, any such Indebtedness that is not First Lien Debt shall not be deemed to constitute First Lien Debt for purposes of determining compliance with the Financial Covenant pursuant to Section 9.1).</w:t>
      </w:r>
    </w:p>
    <w:p>
      <w:pPr>
        <w:spacing w:after="0" w:line="198" w:lineRule="exact"/>
        <w:rPr>
          <w:sz w:val="20"/>
          <w:szCs w:val="20"/>
          <w:color w:val="auto"/>
        </w:rPr>
      </w:pPr>
    </w:p>
    <w:p>
      <w:pPr>
        <w:jc w:val="both"/>
        <w:ind w:left="960" w:firstLine="601"/>
        <w:spacing w:after="0" w:line="25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issuing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spacing w:after="0" w:line="178"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w:t>
      </w:r>
    </w:p>
    <w:p>
      <w:pPr>
        <w:spacing w:after="0" w:line="2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SECTION 2.</w:t>
      </w:r>
    </w:p>
    <w:p>
      <w:pPr>
        <w:spacing w:after="0" w:line="219"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AMOUNT AND TERMS OF CREDIT</w:t>
      </w:r>
    </w:p>
    <w:p>
      <w:pPr>
        <w:spacing w:after="0" w:line="295"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Commitments</w:t>
      </w:r>
      <w:r>
        <w:rPr>
          <w:rFonts w:ascii="Arial" w:cs="Arial" w:eastAsia="Arial" w:hAnsi="Arial"/>
          <w:sz w:val="16"/>
          <w:szCs w:val="16"/>
          <w:color w:val="auto"/>
        </w:rPr>
        <w:t>.</w:t>
      </w:r>
    </w:p>
    <w:p>
      <w:pPr>
        <w:spacing w:after="0" w:line="295" w:lineRule="exact"/>
        <w:rPr>
          <w:sz w:val="20"/>
          <w:szCs w:val="20"/>
          <w:color w:val="auto"/>
        </w:rPr>
      </w:pPr>
    </w:p>
    <w:p>
      <w:pPr>
        <w:ind w:left="2160" w:hanging="595"/>
        <w:spacing w:after="0"/>
        <w:tabs>
          <w:tab w:leader="none" w:pos="2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2160" w:hanging="595"/>
        <w:spacing w:after="0"/>
        <w:tabs>
          <w:tab w:leader="none" w:pos="2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960" w:firstLine="605"/>
        <w:spacing w:after="0" w:line="248" w:lineRule="auto"/>
        <w:tabs>
          <w:tab w:leader="none" w:pos="235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Subject to and upon the terms and conditions set forth herein, each Lender with a Revolving Loan Commitment severally agrees to make, at any time and from time to time on or after the Closing Date and prior to the Revolving Loan Maturity Date, a revolving loan or revolving loans (each, an “</w:t>
      </w:r>
      <w:r>
        <w:rPr>
          <w:rFonts w:ascii="Arial" w:cs="Arial" w:eastAsia="Arial" w:hAnsi="Arial"/>
          <w:sz w:val="17"/>
          <w:szCs w:val="17"/>
          <w:u w:val="single" w:color="auto"/>
          <w:color w:val="auto"/>
        </w:rPr>
        <w:t>Initial Revolving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Loans</w:t>
      </w:r>
      <w:r>
        <w:rPr>
          <w:rFonts w:ascii="Arial" w:cs="Arial" w:eastAsia="Arial" w:hAnsi="Arial"/>
          <w:sz w:val="17"/>
          <w:szCs w:val="17"/>
          <w:color w:val="auto"/>
        </w:rPr>
        <w:t xml:space="preserve">”) to the Borrower, which Revolving Loans (i) may be made in Dollars or an Alternate Currency, (ii) subject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and except as provided herein, shall, at the option of the Borrower, be incurred and maintained as Base Rate Loans, LIBOR Loans or, in the case of Alternate Currency Loans, other Fixed Rate Loans or SONIA Rate Loans, as applicable, or (except in the case of Alternate Currency Loans) converted into Base Rate Loans or LIBOR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except as otherwise specifically provided in </w:t>
      </w:r>
      <w:r>
        <w:rPr>
          <w:rFonts w:ascii="Arial" w:cs="Arial" w:eastAsia="Arial" w:hAnsi="Arial"/>
          <w:sz w:val="17"/>
          <w:szCs w:val="17"/>
          <w:u w:val="single" w:color="auto"/>
          <w:color w:val="auto"/>
        </w:rPr>
        <w:t>Section 2.11(b)</w:t>
      </w:r>
      <w:r>
        <w:rPr>
          <w:rFonts w:ascii="Arial" w:cs="Arial" w:eastAsia="Arial" w:hAnsi="Arial"/>
          <w:sz w:val="17"/>
          <w:szCs w:val="17"/>
          <w:color w:val="auto"/>
        </w:rPr>
        <w:t>, all Revolving Loans comprising the same Borrowing shall at all times be of the same Type and (B) Base Rate Loans shall only be available in Dollars, (iii) may be repaid and reborrowed in accordance with the provisions hereof and (iv) shall not exceed for any such Lender at any time outstanding that aggregate principal amount which, when added to the product of (x) such Lender’s RL Percentage and (y) the sum of</w:t>
      </w:r>
    </w:p>
    <w:p>
      <w:pPr>
        <w:jc w:val="both"/>
        <w:ind w:left="960" w:right="20"/>
        <w:spacing w:after="0" w:line="236" w:lineRule="auto"/>
        <w:rPr>
          <w:rFonts w:ascii="Arial" w:cs="Arial" w:eastAsia="Arial" w:hAnsi="Arial"/>
          <w:sz w:val="17"/>
          <w:szCs w:val="17"/>
          <w:color w:val="auto"/>
        </w:rPr>
      </w:pPr>
      <w:r>
        <w:rPr>
          <w:rFonts w:ascii="Arial" w:cs="Arial" w:eastAsia="Arial" w:hAnsi="Arial"/>
          <w:sz w:val="18"/>
          <w:szCs w:val="18"/>
          <w:color w:val="auto"/>
        </w:rPr>
        <w:t>(I)the aggregate amount of all Letter of Credit Outstandings (exclusive of Unpaid Drawings which are repaid with the proceeds of, and simultaneously with the incurrence of, the respective incurrence of Revolving Loans) at such time and (II) the aggregate principal amount of all Swingline Loans (exclusive of Swingline Loans which are repaid with the proceeds of, and simultaneously with the incurrence of, the respective incurrence of Revolving Loans) then outstanding, equals the Revolving Loan Commitment of such Lender at such time.</w:t>
      </w:r>
    </w:p>
    <w:p>
      <w:pPr>
        <w:spacing w:after="0" w:line="207" w:lineRule="exact"/>
        <w:rPr>
          <w:rFonts w:ascii="Arial" w:cs="Arial" w:eastAsia="Arial" w:hAnsi="Arial"/>
          <w:sz w:val="17"/>
          <w:szCs w:val="17"/>
          <w:color w:val="auto"/>
        </w:rPr>
      </w:pPr>
    </w:p>
    <w:p>
      <w:pPr>
        <w:jc w:val="both"/>
        <w:ind w:left="960" w:right="20" w:firstLine="605"/>
        <w:spacing w:after="0" w:line="248" w:lineRule="auto"/>
        <w:tabs>
          <w:tab w:leader="none" w:pos="23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and upon the terms and conditions set forth herein, the Swingline Lender agrees to make, at any time and from time to time on or after the Closing Date and prior to the Swingline Expiry Date, a revolving loan or revolving loans (each, a “</w:t>
      </w:r>
      <w:r>
        <w:rPr>
          <w:rFonts w:ascii="Arial" w:cs="Arial" w:eastAsia="Arial" w:hAnsi="Arial"/>
          <w:sz w:val="18"/>
          <w:szCs w:val="18"/>
          <w:u w:val="single" w:color="auto"/>
          <w:color w:val="auto"/>
        </w:rPr>
        <w:t>Swingline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Swingline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20"/>
          </w:cols>
          <w:pgMar w:left="360" w:top="1326" w:right="819" w:bottom="1440" w:gutter="0" w:footer="0" w:header="0"/>
        </w:sectPr>
      </w:pPr>
    </w:p>
    <w:bookmarkStart w:id="159" w:name="page160"/>
    <w:bookmarkEnd w:id="159"/>
    <w:p>
      <w:pPr>
        <w:ind w:left="960"/>
        <w:spacing w:after="0"/>
        <w:rPr>
          <w:sz w:val="20"/>
          <w:szCs w:val="20"/>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to the Borrower, which Swingline Loans (i) shall be incurred and maintained as Base Rate Loans,</w:t>
      </w:r>
    </w:p>
    <w:p>
      <w:pPr>
        <w:spacing w:after="0" w:line="10" w:lineRule="exact"/>
        <w:rPr>
          <w:sz w:val="20"/>
          <w:szCs w:val="20"/>
          <w:color w:val="auto"/>
        </w:rPr>
      </w:pPr>
    </w:p>
    <w:p>
      <w:pPr>
        <w:jc w:val="both"/>
        <w:ind w:left="960" w:firstLine="2"/>
        <w:spacing w:after="0" w:line="248" w:lineRule="auto"/>
        <w:tabs>
          <w:tab w:leader="none" w:pos="125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shall be denominated in Dollars, (iii) may be repaid and reborrowed in accordance with the provisions hereof, (iv) shall not exceed an aggregate principal amount at any time outstanding, when combined with the aggregate principal amount of all Revolving Loans then outstanding and the aggregate amount of all Letter of Credit Outstandings at such time, an amount equal to the Total Revolving Loan Commitment at such time, (v) shall not be used to refinance any outstanding Swingline Loans and (vi) shall not exceed in aggregate principal amount at any time outstanding the Maximum Swingline Amount. Notwithstanding anything to the contrary contained in this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the Swingline Lender shall not be obligated to make any Swingline Loans at a time when a Lender Default exists with respect to a Revolving Lender unless the Swingline Lender has entered into arrangements in accordance with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otherwise reasonably satisfactory to the Swingline Lender to eliminate the Swingline Lender’s risk with respect to each Defaulting Lender’s participation in such Swingline Loans (which arrangements are hereby consented to by the Lenders), including by Collateralizing such Defaulting Lender’s RL Percentage of the outstanding Swingline Loans (such arrangements, the “Swingline Back-Stop Arrangements”), and (ii) the Swingline Lender shall not make any Swingline Loan after it has received written notice from the Borrower, any other Loan Party or the Required Lenders stating that a Default or an Event of Default exists and is continuing until such time as the Swingline Lender shall have received written notice (A) of rescission of all such notices from the party or parties originally delivering such notice or notices or (B) of the waiver of such Default or Event of Default by the Required Lenders.</w:t>
      </w:r>
    </w:p>
    <w:p>
      <w:pPr>
        <w:spacing w:after="0" w:line="201" w:lineRule="exact"/>
        <w:rPr>
          <w:rFonts w:ascii="Arial" w:cs="Arial" w:eastAsia="Arial" w:hAnsi="Arial"/>
          <w:sz w:val="17"/>
          <w:szCs w:val="17"/>
          <w:color w:val="auto"/>
        </w:rPr>
      </w:pPr>
    </w:p>
    <w:p>
      <w:pPr>
        <w:jc w:val="both"/>
        <w:ind w:left="960" w:firstLine="603"/>
        <w:spacing w:after="0" w:line="248" w:lineRule="auto"/>
        <w:tabs>
          <w:tab w:leader="none" w:pos="235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On any Business Day, the Swingline Lender may, in its sole discretion, give notice to the Revolving Lenders that the Swingline Lender’s outstanding Swingline Loans shall be funded with one or more Borrowings of Revolving Loans (provided that such notice shall be deemed to have been automatically given upon the occurrence of a Default or an Event of Default under </w:t>
      </w:r>
      <w:r>
        <w:rPr>
          <w:rFonts w:ascii="Arial" w:cs="Arial" w:eastAsia="Arial" w:hAnsi="Arial"/>
          <w:sz w:val="17"/>
          <w:szCs w:val="17"/>
          <w:u w:val="single" w:color="auto"/>
          <w:color w:val="auto"/>
        </w:rPr>
        <w:t>Section 11.1(f)</w:t>
      </w:r>
      <w:r>
        <w:rPr>
          <w:rFonts w:ascii="Arial" w:cs="Arial" w:eastAsia="Arial" w:hAnsi="Arial"/>
          <w:sz w:val="17"/>
          <w:szCs w:val="17"/>
          <w:color w:val="auto"/>
        </w:rPr>
        <w:t xml:space="preserve"> or upon the exercise of any of the remedies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in which case one or more Borrowings of Revolving Loans constituting Base Rate Loans (each such Borrowing, a “</w:t>
      </w:r>
      <w:r>
        <w:rPr>
          <w:rFonts w:ascii="Arial" w:cs="Arial" w:eastAsia="Arial" w:hAnsi="Arial"/>
          <w:sz w:val="17"/>
          <w:szCs w:val="17"/>
          <w:u w:val="single" w:color="auto"/>
          <w:color w:val="auto"/>
        </w:rPr>
        <w:t>Mandatory Borrowing</w:t>
      </w:r>
      <w:r>
        <w:rPr>
          <w:rFonts w:ascii="Arial" w:cs="Arial" w:eastAsia="Arial" w:hAnsi="Arial"/>
          <w:sz w:val="17"/>
          <w:szCs w:val="17"/>
          <w:color w:val="auto"/>
        </w:rPr>
        <w:t xml:space="preserve">”) shall be made promptly upon receipt of such notice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by all Revolving Lenders pro rata based on each such Revolving Lender’s RL Percentage and the proceeds thereof shall be applied directly by the Swingline Lender to repay the Swingline Lender for such outstanding Swingline Loans. Each Revolving Lender hereby irrevocably agrees to make Revolving Loans pursuant to each Mandatory Borrowing in the amount and in the manner specified in the preceding sentence and on the date specified in writing by the Swingline Lender notwithstanding (i) the amount of the Mandatory Borrowing may not comply with the Minimum Borrowing Amount otherwise required hereunder, (ii) whether any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then satisfied, (iii) whether a Default or an Event of Default then exists, (iv) the date of such Mandatory Borrowing, and (v) the amount of the Total Revolving Loan Commitment at such time. In the event that any Mandatory Borrowing cannot for any reason be made on the date otherwise required above (including, without limitation, as a result of the commencement of a proceeding under the Bankruptcy Code with respect to the Borrower), then each Revolving Lender hereby agrees that it shall forthwith purchase (as of the date the Mandatory Borrowing would otherwise have occurred, but adjusted for any payments received from the Borrower on or after such date and prior to such purchase) from the Swingline Lender such participations in the outstanding Swingline Loans as shall be necessary to cause the Revolving Lenders to share in such Swingline Loans ratably based upon their respective RL Percentages (determined before giving effect to any termination of the Revolving Loan Commitments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all interest payable on the Swingline Loans shall be for the account of the Swingline Lender until the date as of which the respective participation is required to be purchased and, to the extent attributable to the purchased participation, shall be payable to the participant from and after such date and (y) at the time any purchase of participations pursuant to this sentence is actually made, the purchasing Revolving Lender shall be required to pay the Swingline Lender interest on the principal amount of the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346075</wp:posOffset>
            </wp:positionV>
            <wp:extent cx="326390" cy="182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20"/>
          </w:cols>
          <w:pgMar w:left="360" w:top="1326" w:right="819" w:bottom="1440" w:gutter="0" w:footer="0" w:header="0"/>
        </w:sectPr>
      </w:pPr>
    </w:p>
    <w:bookmarkStart w:id="160" w:name="page161"/>
    <w:bookmarkEnd w:id="160"/>
    <w:p>
      <w:pPr>
        <w:jc w:val="both"/>
        <w:ind w:left="960" w:right="20"/>
        <w:spacing w:after="0" w:line="248" w:lineRule="auto"/>
        <w:rPr>
          <w:sz w:val="20"/>
          <w:szCs w:val="20"/>
          <w:color w:val="auto"/>
        </w:rPr>
      </w:pPr>
      <w:r>
        <w:rPr>
          <w:rFonts w:ascii="Arial" w:cs="Arial" w:eastAsia="Arial" w:hAnsi="Arial"/>
          <w:sz w:val="18"/>
          <w:szCs w:val="18"/>
          <w:color w:val="auto"/>
        </w:rPr>
        <w:t>purchased for each day from and including the day upon which the Mandatory Borrowing would otherwise have occurred to but excluding the date of payment for such participation, at the Overnight Rate for the first three days and at the interest rate otherwise applicable to Revolving Loans maintained as Base Rate Loans hereunder for each day thereafter.</w:t>
      </w:r>
    </w:p>
    <w:p>
      <w:pPr>
        <w:spacing w:after="0" w:line="198"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 xml:space="preserve">(f)If any new Tranche of Revolving Loans or any new Class of Revolving Loan Commitments is created under (and pursuant to) the terms of this Agreement, all borrowings and mandatory repayments or prepayments (and all participations in Letters of Credit) in respect of such new Tranche or new Class shall be effected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with existing Revolving Loans or Revolving Loan Commitments (in each case, for so long as both are outstanding).</w:t>
      </w:r>
    </w:p>
    <w:p>
      <w:pPr>
        <w:spacing w:after="0" w:line="193"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Amount of Each Borrowing</w:t>
      </w:r>
      <w:r>
        <w:rPr>
          <w:rFonts w:ascii="Arial" w:cs="Arial" w:eastAsia="Arial" w:hAnsi="Arial"/>
          <w:sz w:val="18"/>
          <w:szCs w:val="18"/>
          <w:color w:val="auto"/>
        </w:rPr>
        <w:t>. The aggregate principal amount of each Borrowing of Loans under a respective Tranche shall not be less than the Minimum Borrowing Amount applicable to such Tranche. More than one Borrowing may occur on the same date, but at no time shall there be outstanding more than ten (10) Borrowings of Fixed Rate Loans in the aggregate for each Tranche of Loans.</w:t>
      </w:r>
    </w:p>
    <w:p>
      <w:pPr>
        <w:spacing w:after="0" w:line="20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48" w:lineRule="auto"/>
        <w:tabs>
          <w:tab w:leader="none" w:pos="23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Whenever the Borrower desires to incur (x) Fixed Rate Loans hereunder, an Authorized Officer of the Borrower shall give the Administrative Agent at the Notice Office at least three (3) Business Days (and in respect of Loans to be funded (i) in Euros, four (4) Business Days and (ii) in any Pounds Sterling or any Alternate Currency other than Dollars or Euros, five (5) Business Days) prior notice of each Fixed Rate Loan to be incurred hereunder and (y) Base Rate Loans hereunder (excluding Swingline Loans and Revolving Loans made pursuant to a Mandatory Borrowing), an Authorized Officer of the Borrower shall give the Administrative Agent at the Notice Office notice of each Base Rate Loan to be incurred hereunder on the date of such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any such notice shall be deemed to have been given on a certain day only if given before 11:00 A.M. (New York City time) on such day in the case of Fixed Rate Loans, SONIA Rate Loans and Base Rate Loans. Each such notice (each, a “</w:t>
      </w:r>
      <w:r>
        <w:rPr>
          <w:rFonts w:ascii="Arial" w:cs="Arial" w:eastAsia="Arial" w:hAnsi="Arial"/>
          <w:sz w:val="17"/>
          <w:szCs w:val="17"/>
          <w:u w:val="single" w:color="auto"/>
          <w:color w:val="auto"/>
        </w:rPr>
        <w:t>Notice of Borrowing</w:t>
      </w:r>
      <w:r>
        <w:rPr>
          <w:rFonts w:ascii="Arial" w:cs="Arial" w:eastAsia="Arial" w:hAnsi="Arial"/>
          <w:sz w:val="17"/>
          <w:szCs w:val="17"/>
          <w:color w:val="auto"/>
        </w:rPr>
        <w:t xml:space="preserve">”), except as otherwise expressly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irrevocable and shall be in writing, or by telephone promptly confirmed in writing,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to specify: (i) the aggregate principal amount of the Loans to be incurred pursuant to such Borrowing, (ii) the date of such Borrowing (which shall be a Business Day), (iii) the Class of such Loans, (iv) in the case of Revolving Loans, whether such Revolving Loans will be denominated in Dollars or an Alternate Currency (and if an Alternate Currency, which Alternate Currency), (iv) whether any Dollar Denominated Loans being incurred pursuant to such Borrowing are to be initially maintained as Base Rate Loans or, to the extent permitted hereunder, LIBOR Loans and, if LIBOR Loans, the initial Interest Period to be applicable thereto and (v) in the case of Alternate Currency Loans, the initial Interest Period to be applicable thereto. The Administrative Agent shall promptly give each Lender which is required to make Loans of the Tranche specified in the respective Notice of Borrowing, notice of such proposed Borrowing, of such Lender’s proportionate share thereof and of the other matters required by the immediately preceding sentence to be specified in the Notice of Borrowing.</w:t>
      </w:r>
    </w:p>
    <w:p>
      <w:pPr>
        <w:spacing w:after="0" w:line="210" w:lineRule="exact"/>
        <w:rPr>
          <w:rFonts w:ascii="Arial" w:cs="Arial" w:eastAsia="Arial" w:hAnsi="Arial"/>
          <w:sz w:val="17"/>
          <w:szCs w:val="17"/>
          <w:color w:val="auto"/>
        </w:rPr>
      </w:pPr>
    </w:p>
    <w:p>
      <w:pPr>
        <w:jc w:val="both"/>
        <w:ind w:left="960" w:firstLine="605"/>
        <w:spacing w:after="0" w:line="258" w:lineRule="auto"/>
        <w:tabs>
          <w:tab w:leader="none" w:pos="235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(i)Whenever the Borrower desires to incur Swingline Loans hereunder, an Authorized Officer of the Borrower shall give the Swingline Lender no later than 1:00 P.M. (New York City time) on the date that a Swingline Loan is to be incurred, written notice or telephonic notice promptly confirmed in writing of each Swingline Loan to be incurred hereunder. Each such notice shall be irrevocable, be in such other form as may be approved by the Administrative Agent (including any form on an electronic platform or electronic transmission system as shall be approved by the Administrative Agent) and specify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20"/>
          </w:cols>
          <w:pgMar w:left="360" w:top="1326" w:right="819" w:bottom="1440" w:gutter="0" w:footer="0" w:header="0"/>
        </w:sectPr>
      </w:pPr>
    </w:p>
    <w:bookmarkStart w:id="161" w:name="page162"/>
    <w:bookmarkEnd w:id="161"/>
    <w:p>
      <w:pPr>
        <w:ind w:left="960" w:right="180"/>
        <w:spacing w:after="0" w:line="263" w:lineRule="auto"/>
        <w:rPr>
          <w:sz w:val="20"/>
          <w:szCs w:val="20"/>
          <w:color w:val="auto"/>
        </w:rPr>
      </w:pPr>
      <w:r>
        <w:rPr>
          <w:rFonts w:ascii="Arial" w:cs="Arial" w:eastAsia="Arial" w:hAnsi="Arial"/>
          <w:sz w:val="18"/>
          <w:szCs w:val="18"/>
          <w:color w:val="auto"/>
        </w:rPr>
        <w:t>case (A) the date of Borrowing (which shall be a Business Day) and (B) the aggregate principal amount of the Swingline Loans to be incurred pursuant to such Borrowing.</w:t>
      </w:r>
    </w:p>
    <w:p>
      <w:pPr>
        <w:spacing w:after="0" w:line="186" w:lineRule="exact"/>
        <w:rPr>
          <w:sz w:val="20"/>
          <w:szCs w:val="20"/>
          <w:color w:val="auto"/>
        </w:rPr>
      </w:pPr>
    </w:p>
    <w:p>
      <w:pPr>
        <w:ind w:left="1480" w:firstLine="613"/>
        <w:spacing w:after="0" w:line="293" w:lineRule="auto"/>
        <w:tabs>
          <w:tab w:leader="none" w:pos="236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Mandatory Borrowings shall be made upon the notice specified in </w:t>
      </w:r>
      <w:r>
        <w:rPr>
          <w:rFonts w:ascii="Arial" w:cs="Arial" w:eastAsia="Arial" w:hAnsi="Arial"/>
          <w:sz w:val="17"/>
          <w:szCs w:val="17"/>
          <w:u w:val="single" w:color="auto"/>
          <w:color w:val="auto"/>
        </w:rPr>
        <w:t>Section 2.1(f)</w:t>
      </w:r>
      <w:r>
        <w:rPr>
          <w:rFonts w:ascii="Arial" w:cs="Arial" w:eastAsia="Arial" w:hAnsi="Arial"/>
          <w:sz w:val="17"/>
          <w:szCs w:val="17"/>
          <w:color w:val="auto"/>
        </w:rPr>
        <w:t xml:space="preserve">, with the Borrower irrevocably agreeing, by its incurrence of any Swingline Loan, to the making of the Mandatory Borrowings as set forth in </w:t>
      </w:r>
      <w:r>
        <w:rPr>
          <w:rFonts w:ascii="Arial" w:cs="Arial" w:eastAsia="Arial" w:hAnsi="Arial"/>
          <w:sz w:val="17"/>
          <w:szCs w:val="17"/>
          <w:u w:val="single" w:color="auto"/>
          <w:color w:val="auto"/>
        </w:rPr>
        <w:t>Section 2.1(f)</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960" w:firstLine="604"/>
        <w:spacing w:after="0" w:line="238" w:lineRule="auto"/>
        <w:tabs>
          <w:tab w:leader="none" w:pos="23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in any way limiting the obligation of the Borrower to confirm in writing any telephonic notice of any Borrowing or prepayment of Loans, the Administrative Agent or the Swingline Lender, as the case may be, may act without liability upon the basis of telephonic notice of such Borrowing or prepayment, as the case may be, believed by the Administrative Agent or the Swingline Lender, as the case may be, in good faith to be from an Authorized Officer of the Borrower, prior to receipt of written confirmation. In each such case, the Borrower hereby waives the right to dispute the Administrative Agent’s or the Swingline Lender’s record of the terms of such telephonic notice of such Borrowing or prepayment of Loans, as the case may be, absent manifest error.</w:t>
      </w:r>
    </w:p>
    <w:p>
      <w:pPr>
        <w:spacing w:after="0" w:line="19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307" w:lineRule="exact"/>
        <w:rPr>
          <w:sz w:val="20"/>
          <w:szCs w:val="20"/>
          <w:color w:val="auto"/>
        </w:rPr>
      </w:pPr>
    </w:p>
    <w:p>
      <w:pPr>
        <w:ind w:left="2160" w:hanging="595"/>
        <w:spacing w:after="0"/>
        <w:tabs>
          <w:tab w:leader="none" w:pos="2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jc w:val="both"/>
        <w:ind w:left="960" w:firstLine="604"/>
        <w:spacing w:after="0" w:line="269" w:lineRule="auto"/>
        <w:tabs>
          <w:tab w:leader="none" w:pos="235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the extent not previously paid, (i) each Incremental Term Loan shall be due and payable on the Incremental Term Loan Maturity Date applicable to such Incremental Term Loan and (ii) each Other Term Loan shall be due and payable on the Maturity Date of such Other Term Loan set forth in the Refinancing Amendment applicable thereto.</w:t>
      </w:r>
    </w:p>
    <w:p>
      <w:pPr>
        <w:spacing w:after="0" w:line="170" w:lineRule="exact"/>
        <w:rPr>
          <w:rFonts w:ascii="Arial" w:cs="Arial" w:eastAsia="Arial" w:hAnsi="Arial"/>
          <w:sz w:val="17"/>
          <w:szCs w:val="17"/>
          <w:color w:val="auto"/>
        </w:rPr>
      </w:pPr>
    </w:p>
    <w:p>
      <w:pPr>
        <w:jc w:val="both"/>
        <w:ind w:left="960" w:firstLine="605"/>
        <w:spacing w:after="0" w:line="242" w:lineRule="auto"/>
        <w:tabs>
          <w:tab w:leader="none" w:pos="23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shall repay all of its outstanding Revolving Loans on the Revolving Loan Maturity Date, together with accrued and unpaid interest on the Revolving Loans, to but excluding the date of payment. The Borrower shall repay all outstanding Swingline Loans on the Swingline Expiry Date, together with accrued and unpaid interest on the Swingline Loans, to but excluding the date of payment.</w:t>
      </w:r>
    </w:p>
    <w:p>
      <w:pPr>
        <w:spacing w:after="0" w:line="205" w:lineRule="exact"/>
        <w:rPr>
          <w:rFonts w:ascii="Arial" w:cs="Arial" w:eastAsia="Arial" w:hAnsi="Arial"/>
          <w:sz w:val="18"/>
          <w:szCs w:val="18"/>
          <w:color w:val="auto"/>
        </w:rPr>
      </w:pPr>
    </w:p>
    <w:p>
      <w:pPr>
        <w:jc w:val="both"/>
        <w:ind w:left="960" w:firstLine="605"/>
        <w:spacing w:after="0" w:line="262" w:lineRule="auto"/>
        <w:tabs>
          <w:tab w:leader="none" w:pos="235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Borrower shall repay all of its outstanding (i) Incremental Revolving Loans on the Incremental Revolving Loan Maturity Date, together with accrued and unpaid interest on the Incremental Revolving Loans, to but excluding the date of payment and (ii) Other Revolving Loans on the Maturity Date set forth in the Refinancing Amendment applicable thereto, together with accrued and unpaid interest on Other Revolving Loans, to but excluding the date of payment.</w:t>
      </w:r>
    </w:p>
    <w:p>
      <w:pPr>
        <w:spacing w:after="0" w:line="187"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Payments Generally; Administrative Agent’s Clawback</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51" w:lineRule="auto"/>
        <w:tabs>
          <w:tab w:leader="none" w:pos="2355"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Disbursement of Funds</w:t>
      </w:r>
      <w:r>
        <w:rPr>
          <w:rFonts w:ascii="Arial" w:cs="Arial" w:eastAsia="Arial" w:hAnsi="Arial"/>
          <w:sz w:val="17"/>
          <w:szCs w:val="17"/>
          <w:color w:val="auto"/>
        </w:rPr>
        <w:t xml:space="preserve">. No later than 1:00 P.M. (New York City time) on the date specified in each Notice of Borrowing (or (x) in the case of Swingline Loans, no later than 4:00 P.M. (New York City time) on the date specified pursuant to </w:t>
      </w:r>
      <w:r>
        <w:rPr>
          <w:rFonts w:ascii="Arial" w:cs="Arial" w:eastAsia="Arial" w:hAnsi="Arial"/>
          <w:sz w:val="17"/>
          <w:szCs w:val="17"/>
          <w:u w:val="single" w:color="auto"/>
          <w:color w:val="auto"/>
        </w:rPr>
        <w:t>Section 2.3(b)(i)</w:t>
      </w:r>
      <w:r>
        <w:rPr>
          <w:rFonts w:ascii="Arial" w:cs="Arial" w:eastAsia="Arial" w:hAnsi="Arial"/>
          <w:sz w:val="17"/>
          <w:szCs w:val="17"/>
          <w:color w:val="auto"/>
        </w:rPr>
        <w:t xml:space="preserve"> or (y) in the case of Mandatory Borrowings, no later than 2:00 P.M. (New York City time) on the date specified in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each Lender with a Commitment of the respective Tranche will make available its pro rata portion (determined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each such Borrowing requested to be made on such date (or in the case of Swingline Loans, the Swingline Lender will make available the full amount thereof). All such amounts will be made available in Dollars or an Alternate Currency, as applicable, and in immediately available funds at the Payment Office, and upon receipt of all requested funds the Administrative Agent will, except in the case of Revolving Loans made pursuant to a Mandatory Borrowing, make available to the Borrower at such account as may be specified in the Notice of Borrowing, or to such other account as the Borrower may specify in writing prior to the Closing Date, the aggregate of the amounts so made available by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the date of a Borrowing of Revolving Loans (other than a Mandatory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00"/>
          </w:cols>
          <w:pgMar w:left="360" w:top="1326" w:right="839" w:bottom="1440" w:gutter="0" w:footer="0" w:header="0"/>
        </w:sectPr>
      </w:pPr>
    </w:p>
    <w:bookmarkStart w:id="162" w:name="page163"/>
    <w:bookmarkEnd w:id="162"/>
    <w:p>
      <w:pPr>
        <w:jc w:val="both"/>
        <w:ind w:left="960" w:right="20"/>
        <w:spacing w:after="0" w:line="248" w:lineRule="auto"/>
        <w:rPr>
          <w:sz w:val="20"/>
          <w:szCs w:val="20"/>
          <w:color w:val="auto"/>
        </w:rPr>
      </w:pPr>
      <w:r>
        <w:rPr>
          <w:rFonts w:ascii="Arial" w:cs="Arial" w:eastAsia="Arial" w:hAnsi="Arial"/>
          <w:sz w:val="18"/>
          <w:szCs w:val="18"/>
          <w:color w:val="auto"/>
        </w:rPr>
        <w:t>Borrowing), there are Unpaid Drawings or Swingline Loans then outstanding, then the proceeds of such Borrowing shall be applied, first, to the payment in full of any such Unpaid Drawings with respect to Letters of Credit, second, to the payment in full of any such Swingline Loans, and third, to the Borrower as otherwise provided above.</w:t>
      </w:r>
    </w:p>
    <w:p>
      <w:pPr>
        <w:spacing w:after="0" w:line="198" w:lineRule="exact"/>
        <w:rPr>
          <w:sz w:val="20"/>
          <w:szCs w:val="20"/>
          <w:color w:val="auto"/>
        </w:rPr>
      </w:pPr>
    </w:p>
    <w:p>
      <w:pPr>
        <w:jc w:val="both"/>
        <w:ind w:left="960" w:firstLine="604"/>
        <w:spacing w:after="0" w:line="247" w:lineRule="auto"/>
        <w:tabs>
          <w:tab w:leader="none" w:pos="2353"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been notified by any Lender prior to the date of Borrowing that such Lender does not intend to make available to the Administrative Agent such Lender’s portion of any Borrowing to be made on such date, the Administrative Agent may assume that such Lender has made such share available on such date and at such time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A notice of the Administrative Agent to any Lender or Borrower with respect to any amount owing under this subsection</w:t>
      </w:r>
    </w:p>
    <w:p>
      <w:pPr>
        <w:spacing w:after="0" w:line="6" w:lineRule="exact"/>
        <w:rPr>
          <w:rFonts w:ascii="Arial" w:cs="Arial" w:eastAsia="Arial" w:hAnsi="Arial"/>
          <w:sz w:val="17"/>
          <w:szCs w:val="17"/>
          <w:color w:val="auto"/>
        </w:rPr>
      </w:pPr>
    </w:p>
    <w:p>
      <w:pPr>
        <w:ind w:left="1220" w:hanging="258"/>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shall be conclusive, absent manifest error.</w:t>
      </w:r>
    </w:p>
    <w:p>
      <w:pPr>
        <w:spacing w:after="0" w:line="203" w:lineRule="exact"/>
        <w:rPr>
          <w:rFonts w:ascii="Arial" w:cs="Arial" w:eastAsia="Arial" w:hAnsi="Arial"/>
          <w:sz w:val="18"/>
          <w:szCs w:val="18"/>
          <w:color w:val="auto"/>
        </w:rPr>
      </w:pPr>
    </w:p>
    <w:p>
      <w:pPr>
        <w:jc w:val="both"/>
        <w:ind w:left="960" w:firstLine="604"/>
        <w:spacing w:after="0" w:line="251" w:lineRule="auto"/>
        <w:tabs>
          <w:tab w:leader="none" w:pos="2355"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or Issuing Lenders hereunder that the Borrower will not make such payment, the Administrative Agent may assume that the Borrower has made such payment on such date in accordance herewith and may, in reliance upon such assumption, distribute to the appropriate Lenders or Issuing Lenders, as the case may be, the amount due. In such event, if the Borrower has not in fact made such payment, then each of the appropriate Lenders or the Issuing Lenders, as the case may be, severally agrees to repay to the Administrative Agent forthwith on demand the amount so distributed to such Lender or Issuing Lender,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(c) shall be conclusive, absent manifest error.</w:t>
      </w:r>
    </w:p>
    <w:p>
      <w:pPr>
        <w:spacing w:after="0" w:line="200" w:lineRule="exact"/>
        <w:rPr>
          <w:rFonts w:ascii="Arial" w:cs="Arial" w:eastAsia="Arial" w:hAnsi="Arial"/>
          <w:sz w:val="17"/>
          <w:szCs w:val="17"/>
          <w:color w:val="auto"/>
        </w:rPr>
      </w:pPr>
    </w:p>
    <w:p>
      <w:pPr>
        <w:jc w:val="both"/>
        <w:ind w:left="960" w:right="20" w:firstLine="605"/>
        <w:spacing w:after="0"/>
        <w:tabs>
          <w:tab w:leader="none" w:pos="2353"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Failure to Satisfy Conditions Precedent</w:t>
      </w:r>
      <w:r>
        <w:rPr>
          <w:rFonts w:ascii="Arial" w:cs="Arial" w:eastAsia="Arial" w:hAnsi="Arial"/>
          <w:sz w:val="18"/>
          <w:szCs w:val="18"/>
          <w:color w:val="auto"/>
        </w:rPr>
        <w:t xml:space="preserve">. 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206" w:lineRule="exact"/>
        <w:rPr>
          <w:rFonts w:ascii="Arial" w:cs="Arial" w:eastAsia="Arial" w:hAnsi="Arial"/>
          <w:sz w:val="18"/>
          <w:szCs w:val="18"/>
          <w:color w:val="auto"/>
        </w:rPr>
      </w:pPr>
    </w:p>
    <w:p>
      <w:pPr>
        <w:jc w:val="both"/>
        <w:ind w:left="960" w:right="20" w:firstLine="605"/>
        <w:spacing w:after="0" w:line="248" w:lineRule="auto"/>
        <w:tabs>
          <w:tab w:leader="none" w:pos="235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The obligations of the Lenders hereunder to make Revolving Loans, to fund participations in Letters of Credit and to fund participations in Swingline Loans are several and not joint. The failure of any Lender to make any Loan or to fund any such participation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20"/>
          </w:cols>
          <w:pgMar w:left="360" w:top="1326" w:right="819" w:bottom="1440" w:gutter="0" w:footer="0" w:header="0"/>
        </w:sectPr>
      </w:pPr>
    </w:p>
    <w:bookmarkStart w:id="163" w:name="page164"/>
    <w:bookmarkEnd w:id="163"/>
    <w:p>
      <w:pPr>
        <w:ind w:left="960" w:right="20"/>
        <w:spacing w:after="0" w:line="263" w:lineRule="auto"/>
        <w:rPr>
          <w:sz w:val="20"/>
          <w:szCs w:val="20"/>
          <w:color w:val="auto"/>
        </w:rPr>
      </w:pPr>
      <w:r>
        <w:rPr>
          <w:rFonts w:ascii="Arial" w:cs="Arial" w:eastAsia="Arial" w:hAnsi="Arial"/>
          <w:sz w:val="18"/>
          <w:szCs w:val="18"/>
          <w:color w:val="auto"/>
        </w:rPr>
        <w:t>any date required hereunder shall not relieve any other Lender of its corresponding obligation to do so on such date, and no Lender shall be responsible for the failure of any other Lender to so make its Loan or to purchase its participation.</w:t>
      </w:r>
    </w:p>
    <w:p>
      <w:pPr>
        <w:spacing w:after="0" w:line="186" w:lineRule="exact"/>
        <w:rPr>
          <w:sz w:val="20"/>
          <w:szCs w:val="20"/>
          <w:color w:val="auto"/>
        </w:rPr>
      </w:pPr>
    </w:p>
    <w:p>
      <w:pPr>
        <w:jc w:val="both"/>
        <w:ind w:left="960" w:right="20" w:firstLine="605"/>
        <w:spacing w:after="0" w:line="248" w:lineRule="auto"/>
        <w:tabs>
          <w:tab w:leader="none" w:pos="175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18"/>
          <w:szCs w:val="18"/>
          <w:color w:val="auto"/>
        </w:rPr>
      </w:pPr>
    </w:p>
    <w:p>
      <w:pPr>
        <w:jc w:val="both"/>
        <w:ind w:left="960" w:firstLine="604"/>
        <w:spacing w:after="0" w:line="277" w:lineRule="auto"/>
        <w:tabs>
          <w:tab w:leader="none" w:pos="2353"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Insufficient Funds</w:t>
      </w:r>
      <w:r>
        <w:rPr>
          <w:rFonts w:ascii="Arial" w:cs="Arial" w:eastAsia="Arial" w:hAnsi="Arial"/>
          <w:sz w:val="16"/>
          <w:szCs w:val="16"/>
          <w:color w:val="auto"/>
        </w:rPr>
        <w:t xml:space="preserve">. If at any time insufficient funds are received by and available to the Administrative Agent to pay fully all amounts of principal, L/C Obligations,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 payment of principal and L/C Obligations then due hereunder, ratably among the parties entitled thereto in accordance with the amounts of principal and L/C Obligations then due to such parties.</w:t>
      </w:r>
    </w:p>
    <w:p>
      <w:pPr>
        <w:spacing w:after="0" w:line="180"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Notes</w:t>
      </w:r>
      <w:r>
        <w:rPr>
          <w:rFonts w:ascii="Arial" w:cs="Arial" w:eastAsia="Arial" w:hAnsi="Arial"/>
          <w:sz w:val="16"/>
          <w:szCs w:val="16"/>
          <w:color w:val="auto"/>
        </w:rPr>
        <w:t>.</w:t>
      </w:r>
    </w:p>
    <w:p>
      <w:pPr>
        <w:spacing w:after="0" w:line="307" w:lineRule="exact"/>
        <w:rPr>
          <w:sz w:val="20"/>
          <w:szCs w:val="20"/>
          <w:color w:val="auto"/>
        </w:rPr>
      </w:pPr>
    </w:p>
    <w:p>
      <w:pPr>
        <w:jc w:val="both"/>
        <w:ind w:left="960" w:right="20" w:firstLine="604"/>
        <w:spacing w:after="0" w:line="238" w:lineRule="auto"/>
        <w:tabs>
          <w:tab w:leader="none" w:pos="23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Borrower’s obligation to pay the principal of, and interest on, the Loans made by each Lender shall be evidenced in the Register maintained by the Administrative Agent pursuant to </w:t>
      </w:r>
      <w:r>
        <w:rPr>
          <w:rFonts w:ascii="Arial" w:cs="Arial" w:eastAsia="Arial" w:hAnsi="Arial"/>
          <w:sz w:val="18"/>
          <w:szCs w:val="18"/>
          <w:u w:val="single" w:color="auto"/>
          <w:color w:val="auto"/>
        </w:rPr>
        <w:t>Section 13.15</w:t>
      </w:r>
      <w:r>
        <w:rPr>
          <w:rFonts w:ascii="Arial" w:cs="Arial" w:eastAsia="Arial" w:hAnsi="Arial"/>
          <w:sz w:val="18"/>
          <w:szCs w:val="18"/>
          <w:color w:val="auto"/>
        </w:rPr>
        <w:t xml:space="preserve"> and shall, if requested by such Lender, also be evidenced (i) in the case of Revolving Loans, by a promissory note duly executed and delivered by the Borrower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with blanks appropriately completed in conformity herewith (each, a “</w:t>
      </w:r>
      <w:r>
        <w:rPr>
          <w:rFonts w:ascii="Arial" w:cs="Arial" w:eastAsia="Arial" w:hAnsi="Arial"/>
          <w:sz w:val="18"/>
          <w:szCs w:val="18"/>
          <w:u w:val="single" w:color="auto"/>
          <w:color w:val="auto"/>
        </w:rPr>
        <w:t>Revolving Note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Revolving Notes</w:t>
      </w:r>
      <w:r>
        <w:rPr>
          <w:rFonts w:ascii="Arial" w:cs="Arial" w:eastAsia="Arial" w:hAnsi="Arial"/>
          <w:sz w:val="18"/>
          <w:szCs w:val="18"/>
          <w:color w:val="auto"/>
        </w:rPr>
        <w:t xml:space="preserve">”) and (ii) in the case of Swingline Loans, by a promissory note duly executed and delivered by the Borrower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with blanks appropriately completed in conformity herewith (the “</w:t>
      </w:r>
      <w:r>
        <w:rPr>
          <w:rFonts w:ascii="Arial" w:cs="Arial" w:eastAsia="Arial" w:hAnsi="Arial"/>
          <w:sz w:val="18"/>
          <w:szCs w:val="18"/>
          <w:u w:val="single" w:color="auto"/>
          <w:color w:val="auto"/>
        </w:rPr>
        <w:t>Swingline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960" w:right="20" w:firstLine="604"/>
        <w:spacing w:after="0" w:line="242" w:lineRule="auto"/>
        <w:tabs>
          <w:tab w:leader="none" w:pos="23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Lender will note on its internal records the amount of each Loan made by it and each payment in respect thereof and prior to any transfer of any of its Notes will endorse on the reverse side thereof the outstanding principal amount of Loans evidenced thereby. Failure to make any such notation or any error in such notation shall not affect the Borrower’s obligations in respect of such Loans.</w:t>
      </w:r>
    </w:p>
    <w:p>
      <w:pPr>
        <w:spacing w:after="0" w:line="193" w:lineRule="exact"/>
        <w:rPr>
          <w:rFonts w:ascii="Arial" w:cs="Arial" w:eastAsia="Arial" w:hAnsi="Arial"/>
          <w:sz w:val="18"/>
          <w:szCs w:val="18"/>
          <w:color w:val="auto"/>
        </w:rPr>
      </w:pPr>
    </w:p>
    <w:p>
      <w:pPr>
        <w:jc w:val="both"/>
        <w:ind w:left="960" w:right="20" w:firstLine="604"/>
        <w:spacing w:after="0" w:line="252" w:lineRule="auto"/>
        <w:tabs>
          <w:tab w:leader="none" w:pos="235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above in this Section 2.6 or elsewhere in this Agreement, Notes shall only be delivered to Lenders which at any time specifically request the delivery of such Notes. No failure of any Lender to request or obtain a Note evidencing its Loans to the Borrower shall affect or in any manner impair the obligations of the Borrower to pay the Loans (and all related Obligations) incurred by the Borrower which would otherwise be evidenced thereby in accordance with the requirements of this Agreement, and shall not in any way affect the security or guaranties therefor provided pursuant to the various Loan Documents. Any Lender which does not have a Note evidencing its outstanding Loans shall in no event be required to make the notations otherwise described in the preceding clause (b). At any time when any Lender requests the delivery of a Note to evidence any of its Loans, the Borrower shall promptly execute and deliver to the respective Lender the requested Note in the appropriate amount or amounts to evidence such Loans.</w:t>
      </w:r>
    </w:p>
    <w:p>
      <w:pPr>
        <w:spacing w:after="0" w:line="197"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Conversions/Continuations</w:t>
      </w:r>
      <w:r>
        <w:rPr>
          <w:rFonts w:ascii="Arial" w:cs="Arial" w:eastAsia="Arial" w:hAnsi="Arial"/>
          <w:sz w:val="16"/>
          <w:szCs w:val="16"/>
          <w:color w:val="auto"/>
        </w:rPr>
        <w:t>.</w:t>
      </w:r>
    </w:p>
    <w:p>
      <w:pPr>
        <w:spacing w:after="0" w:line="295" w:lineRule="exact"/>
        <w:rPr>
          <w:sz w:val="20"/>
          <w:szCs w:val="20"/>
          <w:color w:val="auto"/>
        </w:rPr>
      </w:pPr>
    </w:p>
    <w:p>
      <w:pPr>
        <w:jc w:val="both"/>
        <w:ind w:left="960" w:right="20" w:firstLine="604"/>
        <w:spacing w:after="0"/>
        <w:tabs>
          <w:tab w:leader="none" w:pos="23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Borrower shall have the option to convert, on any Business Day, all or a portion equal to at least the Minimum Borrowing Amount of the outstanding principal amount of Dollar Denominated Loans (other than Swingline Loans which may not be converted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made pursuant to one or more Borrowings (so long as of the same Tranche) of one or more Types of Loans into a Borrowing (of the same Tranche) of another Type of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except as otherwise provided in </w:t>
      </w:r>
      <w:r>
        <w:rPr>
          <w:rFonts w:ascii="Arial" w:cs="Arial" w:eastAsia="Arial" w:hAnsi="Arial"/>
          <w:sz w:val="18"/>
          <w:szCs w:val="18"/>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20"/>
          </w:cols>
          <w:pgMar w:left="360" w:top="1326" w:right="819" w:bottom="1440" w:gutter="0" w:footer="0" w:header="0"/>
        </w:sectPr>
      </w:pPr>
    </w:p>
    <w:bookmarkStart w:id="164" w:name="page165"/>
    <w:bookmarkEnd w:id="164"/>
    <w:p>
      <w:pPr>
        <w:jc w:val="both"/>
        <w:ind w:left="960" w:right="20"/>
        <w:spacing w:after="0" w:line="239" w:lineRule="auto"/>
        <w:rPr>
          <w:sz w:val="20"/>
          <w:szCs w:val="20"/>
          <w:color w:val="auto"/>
        </w:rPr>
      </w:pPr>
      <w:r>
        <w:rPr>
          <w:rFonts w:ascii="Arial" w:cs="Arial" w:eastAsia="Arial" w:hAnsi="Arial"/>
          <w:sz w:val="18"/>
          <w:szCs w:val="18"/>
          <w:u w:val="single" w:color="auto"/>
          <w:color w:val="auto"/>
        </w:rPr>
        <w:t>2.11(b)</w:t>
      </w:r>
      <w:r>
        <w:rPr>
          <w:rFonts w:ascii="Arial" w:cs="Arial" w:eastAsia="Arial" w:hAnsi="Arial"/>
          <w:sz w:val="18"/>
          <w:szCs w:val="18"/>
          <w:color w:val="auto"/>
        </w:rPr>
        <w:t xml:space="preserve">, LIBOR Loans may be converted into Base Rate Loans only on the last day of an Interest Period applicable to the Loans being converted and no such partial conversion of LIBOR Loans shall reduce the outstanding principal amount of such LIBOR Loans made pursuant to a single Borrowing to less than the Minimum Borrowing Amount applicable thereto, (ii) unless the Required Lenders otherwise agree, Base Rate Loans may only be converted into LIBOR Loans if no Default or Event of Default is in existence on the date of the conversion and (iii) no conversion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result in a greater number of Borrowings of Fixed Rate Loans than is permitted under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68" w:lineRule="exact"/>
        <w:rPr>
          <w:sz w:val="20"/>
          <w:szCs w:val="20"/>
          <w:color w:val="auto"/>
        </w:rPr>
      </w:pPr>
    </w:p>
    <w:p>
      <w:pPr>
        <w:jc w:val="both"/>
        <w:ind w:left="960" w:right="20" w:firstLine="604"/>
        <w:spacing w:after="0" w:line="236" w:lineRule="auto"/>
        <w:tabs>
          <w:tab w:leader="none" w:pos="235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Any Fixed Rate Loan may be continued as such upon the expiration of the then current Interest Period with respect thereto by the Borrower giving irrevocable notice to the Administrative Agent, in accordance with the applicable provisions of the term “Interest Period”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length of the next Interest Period to be applicable to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Required Lenders provide written notice thereof to the Borrower, no Fixed Rate Loan may be continued as such when any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Borrower shall fail to give any required notice as described above in this paragraph or if such continuation is not permitted pursuant to the preceding proviso such Loans denominated in Dollars shall be automatically converted to Base Rate Loans on the last day of such then expiring Interest Period. Upon receipt of any such notice the Administrative Agent shall promptly notify each relevant Lender thereof.</w:t>
      </w:r>
    </w:p>
    <w:p>
      <w:pPr>
        <w:spacing w:after="0" w:line="212" w:lineRule="exact"/>
        <w:rPr>
          <w:rFonts w:ascii="Arial" w:cs="Arial" w:eastAsia="Arial" w:hAnsi="Arial"/>
          <w:sz w:val="18"/>
          <w:szCs w:val="18"/>
          <w:color w:val="auto"/>
        </w:rPr>
      </w:pPr>
    </w:p>
    <w:p>
      <w:pPr>
        <w:jc w:val="both"/>
        <w:ind w:left="960" w:right="20" w:firstLine="605"/>
        <w:spacing w:after="0" w:line="238" w:lineRule="auto"/>
        <w:tabs>
          <w:tab w:leader="none" w:pos="235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Each such conversion or continuation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be effected by the Borrower by giving the Administrative Agent at the Notice Office prior to 11:00 A.M. (New York City time) at least (x) in the case of conversions or continuations of Base Rate Loans into LIBOR Loans, three</w:t>
      </w:r>
    </w:p>
    <w:p>
      <w:pPr>
        <w:spacing w:after="0" w:line="2" w:lineRule="exact"/>
        <w:rPr>
          <w:rFonts w:ascii="Arial" w:cs="Arial" w:eastAsia="Arial" w:hAnsi="Arial"/>
          <w:sz w:val="18"/>
          <w:szCs w:val="18"/>
          <w:color w:val="auto"/>
        </w:rPr>
      </w:pPr>
    </w:p>
    <w:p>
      <w:pPr>
        <w:jc w:val="both"/>
        <w:ind w:left="960" w:firstLine="2"/>
        <w:spacing w:after="0" w:line="235" w:lineRule="auto"/>
        <w:tabs>
          <w:tab w:leader="none" w:pos="12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Business Days’ prior notice and (y) in the case of conversions or continuations of LIBOR Loans into Base Rate Loans, notice on the date of such conversion or continuation (each,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executed by an Authorized Officer, in each case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to specify the Loans to be so converted or continued, the Borrowing or Borrowings pursuant to which such Loans were incurred and, if to be converted or continued into LIBOR Loans, the Interest Period to be initially applicable thereto. The Administrative Agent shall give each Lender prompt notice of any such proposed conversion or continuation affecting any of its Dollar Denominated Loans.</w:t>
      </w:r>
    </w:p>
    <w:p>
      <w:pPr>
        <w:spacing w:after="0" w:line="193" w:lineRule="exact"/>
        <w:rPr>
          <w:rFonts w:ascii="Arial" w:cs="Arial" w:eastAsia="Arial" w:hAnsi="Arial"/>
          <w:sz w:val="18"/>
          <w:szCs w:val="18"/>
          <w:color w:val="auto"/>
        </w:rPr>
      </w:pPr>
    </w:p>
    <w:p>
      <w:pPr>
        <w:jc w:val="both"/>
        <w:ind w:left="960" w:right="20" w:firstLine="604"/>
        <w:spacing w:after="0" w:line="258" w:lineRule="auto"/>
        <w:tabs>
          <w:tab w:leader="none" w:pos="235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If by 11:00 A.M. (New York City time) on the third Business Day prior to the expiration of any Interest Period applicable to a Borrowing of Fixed Rate Loans, the Borrower has failed to elect, or is not permitted to elect, a new Interest Period to be applicable to such Fixed Rate Loans as provided above, the Borrower shall be deemed to have elected (x) if LIBOR Loans, to convert such LIBOR Loans into Base Rate Loans and (y) if Alternate Currency Loans, to select a one-month Interest Period for such Alternate Currency Loans, in each case effective as of the expiration date of such current Interest Period.</w:t>
      </w:r>
    </w:p>
    <w:p>
      <w:pPr>
        <w:spacing w:after="0" w:line="191"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Pro Rata Borrowings</w:t>
      </w:r>
      <w:r>
        <w:rPr>
          <w:rFonts w:ascii="Arial" w:cs="Arial" w:eastAsia="Arial" w:hAnsi="Arial"/>
          <w:sz w:val="18"/>
          <w:szCs w:val="18"/>
          <w:color w:val="auto"/>
        </w:rPr>
        <w:t xml:space="preserve">. All Borrowings of Revolving Loans under this Agreement shall be incurred from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within each Tranche on the basis of their applicable Revolving Loan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Mandatory Borrowings shall be incurred from the Revolving Lenders pro rata on the basis of their RL Percentages. It is understood that no Lender shall be responsible for any default by any other Lender of its obligation to make Loans hereunder and that each Lender shall be obligated to make the Loans provided to be made by it hereunder (solely to the extent such Lender is so obligated) regardless of the failure of any other Lender to make its Loans hereunder.</w:t>
      </w:r>
    </w:p>
    <w:p>
      <w:pPr>
        <w:spacing w:after="0" w:line="205"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95" w:lineRule="exact"/>
        <w:rPr>
          <w:sz w:val="20"/>
          <w:szCs w:val="20"/>
          <w:color w:val="auto"/>
        </w:rPr>
      </w:pPr>
    </w:p>
    <w:p>
      <w:pPr>
        <w:ind w:left="960" w:right="100" w:firstLine="604"/>
        <w:spacing w:after="0" w:line="263" w:lineRule="auto"/>
        <w:tabs>
          <w:tab w:leader="none" w:pos="23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Borrower agrees to pay interest in respect of the unpaid principal amount of each Dollar Denominated Loan maintained as a Base Rate Loan from the date of Borrowing thereof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720"/>
          </w:cols>
          <w:pgMar w:left="360" w:top="1326" w:right="819" w:bottom="1440" w:gutter="0" w:footer="0" w:header="0"/>
        </w:sectPr>
      </w:pPr>
    </w:p>
    <w:bookmarkStart w:id="165" w:name="page166"/>
    <w:bookmarkEnd w:id="165"/>
    <w:p>
      <w:pPr>
        <w:jc w:val="both"/>
        <w:ind w:left="960" w:right="20"/>
        <w:spacing w:after="0" w:line="248" w:lineRule="auto"/>
        <w:rPr>
          <w:sz w:val="20"/>
          <w:szCs w:val="20"/>
          <w:color w:val="auto"/>
        </w:rPr>
      </w:pPr>
      <w:r>
        <w:rPr>
          <w:rFonts w:ascii="Arial" w:cs="Arial" w:eastAsia="Arial" w:hAnsi="Arial"/>
          <w:sz w:val="18"/>
          <w:szCs w:val="18"/>
          <w:color w:val="auto"/>
        </w:rPr>
        <w:t xml:space="preserve">earlier of (i) the maturity thereof (whether by acceleration or otherwise) and (ii) the conversion of such Base Rate Loan to a LIBOR Loan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as applicable,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which shall be equal to the sum of the relevant Applicable Margin plus the Base Rate, each as in effect from time to time.</w:t>
      </w:r>
    </w:p>
    <w:p>
      <w:pPr>
        <w:spacing w:after="0" w:line="198" w:lineRule="exact"/>
        <w:rPr>
          <w:sz w:val="20"/>
          <w:szCs w:val="20"/>
          <w:color w:val="auto"/>
        </w:rPr>
      </w:pPr>
    </w:p>
    <w:p>
      <w:pPr>
        <w:jc w:val="both"/>
        <w:ind w:left="960" w:right="20" w:firstLine="604"/>
        <w:spacing w:after="0" w:line="258" w:lineRule="auto"/>
        <w:tabs>
          <w:tab w:leader="none" w:pos="235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Borrower agrees to pay interest in respect of the unpaid principal amount of each Dollar Denominated Loan maintained as a LIBOR Loan from the date of Borrowing thereof until the earlier of (i) the maturity thereof (whether by acceleration or otherwise) and (ii) the conversion of such LIBOR Loan to a Base Rate Loan pursuant to Section 2.7 or 2.11, as applicable, at a rate per annum which shall, during each Interest Period applicable thereto, be equal to the sum of the relevant Applicable Margin as in effect from time to time during such Interest Period plus the LIBOR Rate for such Interest Period.</w:t>
      </w:r>
    </w:p>
    <w:p>
      <w:pPr>
        <w:spacing w:after="0" w:line="178" w:lineRule="exact"/>
        <w:rPr>
          <w:rFonts w:ascii="Arial" w:cs="Arial" w:eastAsia="Arial" w:hAnsi="Arial"/>
          <w:sz w:val="17"/>
          <w:szCs w:val="17"/>
          <w:color w:val="auto"/>
        </w:rPr>
      </w:pPr>
    </w:p>
    <w:p>
      <w:pPr>
        <w:jc w:val="both"/>
        <w:ind w:left="960" w:right="20" w:firstLine="604"/>
        <w:spacing w:after="0"/>
        <w:tabs>
          <w:tab w:leader="none" w:pos="23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Borrower hereby agrees to pay interest in respect of the unpaid principal amount of each Alternate Currency Loan (other than SONIA Rate Loans) made to it from the date of Borrowing thereof until the maturity thereof (whether by acceleration, prepayment or otherwise) at a rate per annum which shall, during each Interest Period applicable thereto, be equal to the sum of the relevant Applicable Margin as in effect from time to time plus the applicable Alternate Currency Rate for such Interest Period.</w:t>
      </w:r>
    </w:p>
    <w:p>
      <w:pPr>
        <w:spacing w:after="0" w:line="206" w:lineRule="exact"/>
        <w:rPr>
          <w:rFonts w:ascii="Arial" w:cs="Arial" w:eastAsia="Arial" w:hAnsi="Arial"/>
          <w:sz w:val="18"/>
          <w:szCs w:val="18"/>
          <w:color w:val="auto"/>
        </w:rPr>
      </w:pPr>
    </w:p>
    <w:p>
      <w:pPr>
        <w:jc w:val="both"/>
        <w:ind w:left="960" w:right="20" w:firstLine="604"/>
        <w:spacing w:after="0" w:line="242" w:lineRule="auto"/>
        <w:tabs>
          <w:tab w:leader="none" w:pos="23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Borrower hereby agrees to pay interest in respect of the unpaid principal amount of each SONIA Rate Loan made to it from the date of Borrowing thereof until the maturity thereof (whether by acceleration, prepayment or otherwise)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which shall be equal to the sum of the relevant Applicable Margin plus the SONIA Rate, each as in effect from time to time.</w:t>
      </w:r>
    </w:p>
    <w:p>
      <w:pPr>
        <w:spacing w:after="0" w:line="205" w:lineRule="exact"/>
        <w:rPr>
          <w:rFonts w:ascii="Arial" w:cs="Arial" w:eastAsia="Arial" w:hAnsi="Arial"/>
          <w:sz w:val="18"/>
          <w:szCs w:val="18"/>
          <w:color w:val="auto"/>
        </w:rPr>
      </w:pPr>
    </w:p>
    <w:p>
      <w:pPr>
        <w:jc w:val="both"/>
        <w:ind w:left="960" w:right="20" w:firstLine="604"/>
        <w:spacing w:after="0" w:line="258" w:lineRule="auto"/>
        <w:tabs>
          <w:tab w:leader="none" w:pos="23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Overdue principal shall bear interest at a rate per annum equal to the rate which is 2.00% in excess of the rate then borne by such Loans. All other overdue amounts (including, to the extent permitted by law, overdue interest) payable hereunder and under any other Loan Document shall bear interest at a rate per annum equal to the rate which is 2.00% in excess of a rate applicable to Dollar Denominated Revolving Loans that are maintained as Base Rate Loans from time to time (if such rate were to be applicable under this Agreement). Interest that accrues under this Section 2.9(e) shall be payable on demand.</w:t>
      </w:r>
    </w:p>
    <w:p>
      <w:pPr>
        <w:spacing w:after="0" w:line="178" w:lineRule="exact"/>
        <w:rPr>
          <w:sz w:val="20"/>
          <w:szCs w:val="20"/>
          <w:color w:val="auto"/>
        </w:rPr>
      </w:pPr>
    </w:p>
    <w:p>
      <w:pPr>
        <w:jc w:val="both"/>
        <w:ind w:left="960" w:firstLine="602"/>
        <w:spacing w:after="0" w:line="251" w:lineRule="auto"/>
        <w:rPr>
          <w:sz w:val="20"/>
          <w:szCs w:val="20"/>
          <w:color w:val="auto"/>
        </w:rPr>
      </w:pPr>
      <w:r>
        <w:rPr>
          <w:rFonts w:ascii="Arial" w:cs="Arial" w:eastAsia="Arial" w:hAnsi="Arial"/>
          <w:sz w:val="17"/>
          <w:szCs w:val="17"/>
          <w:color w:val="auto"/>
        </w:rPr>
        <w:t>(f)Accrued (and theretofore unpaid) interest shall be payable (i) in respect of each Base Rate Loan, (x) quarterly in arrears on each Quarterly Payment Date, (y) on the date of any repayment or prepayment in full of all outstanding Base Rate Loans of any Tranche, and (z) at maturity (whether by acceleration or otherwise) and, after such maturity, on demand, (ii) in respect of each Fixed Rate Loan, (x) on the last day of each Interest Period applicable thereto and, in the case of an Interest Period in excess of three (3) months, on each date occurring at three (3) month intervals after the first day of such Interest Period, and (y) on the date of any repayment or prepayment (on the amount repaid or prepaid), at maturity (whether by acceleration or otherwise) and, after such maturity, on demand, and (iii) in respect of each SONIA Rate Loan, (x) each date that is on the numerically corresponding day in each calendar month that is one month after the Borrowing of such Loan (or, if there is no such numerically corresponding day in such month, then the last day of such month), and (y) on the date of any repayment or prepayment (on the amount repaid or prepaid), at maturity (whether by acceleration or otherwise) and, after such maturity, on demand.</w:t>
      </w:r>
    </w:p>
    <w:p>
      <w:pPr>
        <w:spacing w:after="0" w:line="200" w:lineRule="exact"/>
        <w:rPr>
          <w:sz w:val="20"/>
          <w:szCs w:val="20"/>
          <w:color w:val="auto"/>
        </w:rPr>
      </w:pPr>
    </w:p>
    <w:p>
      <w:pPr>
        <w:jc w:val="both"/>
        <w:ind w:left="960" w:right="20" w:firstLine="603"/>
        <w:spacing w:after="0" w:line="248" w:lineRule="auto"/>
        <w:tabs>
          <w:tab w:leader="none" w:pos="23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each Interest Determination Date, the Administrative Agent shall determine the Fixed Rate for each Interest Period applicable to the respective Fixed Rate Loans and shall promptly notify the Borrower and the Lenders thereof. Each such determination shall, absent manifest error, be final and conclusive and binding on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20"/>
          </w:cols>
          <w:pgMar w:left="360" w:top="1326" w:right="819" w:bottom="1440" w:gutter="0" w:footer="0" w:header="0"/>
        </w:sectPr>
      </w:pPr>
    </w:p>
    <w:bookmarkStart w:id="166" w:name="page167"/>
    <w:bookmarkEnd w:id="166"/>
    <w:p>
      <w:pPr>
        <w:jc w:val="both"/>
        <w:ind w:left="960" w:right="20" w:firstLine="602"/>
        <w:spacing w:after="0" w:line="255"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Interest Periods</w:t>
      </w:r>
      <w:r>
        <w:rPr>
          <w:rFonts w:ascii="Arial" w:cs="Arial" w:eastAsia="Arial" w:hAnsi="Arial"/>
          <w:sz w:val="17"/>
          <w:szCs w:val="17"/>
          <w:color w:val="auto"/>
        </w:rPr>
        <w:t>. At the time the Borrower gives any Notice of Borrowing or Notice of Conversion/Continuation in respect of the making of, or conversion into, any Fixed Rate Loan at or prior to 11:00 A.M. (New York City time) on the third Business Day prior to the making of, or the expiration of an Interest Period applicable to, such Fixed Rate Loan, the Borrower shall have the right to elect the interest period (each, an “</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applicable to such Fixed Rate Loan, which Interest Period shall, at the option of the Borrower, be a one (1), three (3), six (6) or, to the extent approved by each Lender with Loans or Commitments under the relevant Tranche, twelve (12) month period or any shorter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w:t>
      </w:r>
    </w:p>
    <w:p>
      <w:pPr>
        <w:spacing w:after="0" w:line="196" w:lineRule="exact"/>
        <w:rPr>
          <w:sz w:val="20"/>
          <w:szCs w:val="20"/>
          <w:color w:val="auto"/>
        </w:rPr>
      </w:pPr>
    </w:p>
    <w:p>
      <w:pPr>
        <w:ind w:left="2960" w:hanging="793"/>
        <w:spacing w:after="0"/>
        <w:tabs>
          <w:tab w:leader="none" w:pos="2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Fixed Rate Loans comprising a Borrowing shall at all times have the same Interest Period;</w:t>
      </w:r>
    </w:p>
    <w:p>
      <w:pPr>
        <w:spacing w:after="0" w:line="219" w:lineRule="exact"/>
        <w:rPr>
          <w:rFonts w:ascii="Arial" w:cs="Arial" w:eastAsia="Arial" w:hAnsi="Arial"/>
          <w:sz w:val="18"/>
          <w:szCs w:val="18"/>
          <w:color w:val="auto"/>
        </w:rPr>
      </w:pPr>
    </w:p>
    <w:p>
      <w:pPr>
        <w:jc w:val="both"/>
        <w:ind w:left="1560" w:right="20" w:firstLine="607"/>
        <w:spacing w:after="0" w:line="242" w:lineRule="auto"/>
        <w:tabs>
          <w:tab w:leader="none" w:pos="29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initial Interest Period for any Fixed Rate Loan shall commence on the date of Borrowing of such Fixed Rate Loan (including, in the case of a LIBOR Loan, the date of any conversion thereto from a Base Rate Loan) and each Interest Period occurring thereafter in respect of such Fixed Rate Loan shall commence on the day on which the next preceding Interest Period applicable thereto expires;</w:t>
      </w:r>
    </w:p>
    <w:p>
      <w:pPr>
        <w:spacing w:after="0" w:line="205" w:lineRule="exact"/>
        <w:rPr>
          <w:rFonts w:ascii="Arial" w:cs="Arial" w:eastAsia="Arial" w:hAnsi="Arial"/>
          <w:sz w:val="18"/>
          <w:szCs w:val="18"/>
          <w:color w:val="auto"/>
        </w:rPr>
      </w:pPr>
    </w:p>
    <w:p>
      <w:pPr>
        <w:jc w:val="both"/>
        <w:ind w:left="1560" w:right="20" w:firstLine="607"/>
        <w:spacing w:after="0" w:line="248" w:lineRule="auto"/>
        <w:tabs>
          <w:tab w:leader="none" w:pos="29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any Interest Period for a Fixed Rate Loan begins on a day for which there is no numerically corresponding day in the calendar month at the end of such Interest Period, such Interest Period shall end on the last Business Day of such calendar month;</w:t>
      </w:r>
    </w:p>
    <w:p>
      <w:pPr>
        <w:spacing w:after="0" w:line="198" w:lineRule="exact"/>
        <w:rPr>
          <w:rFonts w:ascii="Arial" w:cs="Arial" w:eastAsia="Arial" w:hAnsi="Arial"/>
          <w:sz w:val="18"/>
          <w:szCs w:val="18"/>
          <w:color w:val="auto"/>
        </w:rPr>
      </w:pPr>
    </w:p>
    <w:p>
      <w:pPr>
        <w:jc w:val="both"/>
        <w:ind w:left="1560" w:right="20" w:firstLine="607"/>
        <w:spacing w:after="0" w:line="262" w:lineRule="auto"/>
        <w:tabs>
          <w:tab w:leader="none" w:pos="295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if any Interest Period for a Fixed Rate Loan would otherwise expire on a day which is not a Business Day, such Interest Period shall expire on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Interest Period for a Fixed Rate Loan would otherwise expire on a day which is not a Business Day but is a day of the month after which no further Business Day occurs in such month, such Interest Period shall expire on the next preceding Business Day; and</w:t>
      </w:r>
    </w:p>
    <w:p>
      <w:pPr>
        <w:spacing w:after="0" w:line="174" w:lineRule="exact"/>
        <w:rPr>
          <w:rFonts w:ascii="Arial" w:cs="Arial" w:eastAsia="Arial" w:hAnsi="Arial"/>
          <w:sz w:val="17"/>
          <w:szCs w:val="17"/>
          <w:color w:val="auto"/>
        </w:rPr>
      </w:pPr>
    </w:p>
    <w:p>
      <w:pPr>
        <w:ind w:left="1560" w:right="20" w:firstLine="607"/>
        <w:spacing w:after="0" w:line="263" w:lineRule="auto"/>
        <w:tabs>
          <w:tab w:leader="none" w:pos="29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Interest Period in respect of any Borrowing of any Tranche of Loans shall be selected which extends beyond the Maturity Date for such Tranche of Loans.</w:t>
      </w:r>
    </w:p>
    <w:p>
      <w:pPr>
        <w:spacing w:after="0" w:line="18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Increased Costs, Illegality, etc.</w:t>
      </w:r>
    </w:p>
    <w:p>
      <w:pPr>
        <w:spacing w:after="0" w:line="295" w:lineRule="exact"/>
        <w:rPr>
          <w:sz w:val="20"/>
          <w:szCs w:val="20"/>
          <w:color w:val="auto"/>
        </w:rPr>
      </w:pPr>
    </w:p>
    <w:p>
      <w:pPr>
        <w:jc w:val="both"/>
        <w:ind w:left="960" w:right="20" w:firstLine="604"/>
        <w:spacing w:after="0" w:line="248" w:lineRule="auto"/>
        <w:tabs>
          <w:tab w:leader="none" w:pos="23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In the event that any Lender shall have determined (which determination shall, absent manifest error, be final and conclusive and binding upon all parties hereto but, with respect to clause (A) below, may be made only by the Administrative Agent):</w:t>
      </w:r>
    </w:p>
    <w:p>
      <w:pPr>
        <w:spacing w:after="0" w:line="198" w:lineRule="exact"/>
        <w:rPr>
          <w:rFonts w:ascii="Arial" w:cs="Arial" w:eastAsia="Arial" w:hAnsi="Arial"/>
          <w:sz w:val="18"/>
          <w:szCs w:val="18"/>
          <w:color w:val="auto"/>
        </w:rPr>
      </w:pPr>
    </w:p>
    <w:p>
      <w:pPr>
        <w:jc w:val="both"/>
        <w:ind w:left="1560" w:right="20" w:firstLine="606"/>
        <w:spacing w:after="0" w:line="255" w:lineRule="auto"/>
        <w:tabs>
          <w:tab w:leader="none" w:pos="295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on any Interest Determination Date or on any date on which a SONIA Rate Loan is outstanding or proposed to be made, that, by reason of any changes arising after the Closing Date generally affecting the applicable interbank market, adequate and fair means do not exist for ascertaining the applicable interest rate on the basis provided for in the definition of the relevant Fixed Rate (including, without limitation, because the LIBOR Screen Rate or EURIBOR Screen Rate is not available or published on a current basis) or SONIA Rate (any such rate, the “</w:t>
      </w:r>
      <w:r>
        <w:rPr>
          <w:rFonts w:ascii="Arial" w:cs="Arial" w:eastAsia="Arial" w:hAnsi="Arial"/>
          <w:sz w:val="17"/>
          <w:szCs w:val="17"/>
          <w:u w:val="single" w:color="auto"/>
          <w:color w:val="auto"/>
        </w:rPr>
        <w:t>Affected Rate</w:t>
      </w:r>
      <w:r>
        <w:rPr>
          <w:rFonts w:ascii="Arial" w:cs="Arial" w:eastAsia="Arial" w:hAnsi="Arial"/>
          <w:sz w:val="17"/>
          <w:szCs w:val="17"/>
          <w:color w:val="auto"/>
        </w:rPr>
        <w:t>” and any Loan bearing interest by reference to the Affected Rate, an “</w:t>
      </w:r>
      <w:r>
        <w:rPr>
          <w:rFonts w:ascii="Arial" w:cs="Arial" w:eastAsia="Arial" w:hAnsi="Arial"/>
          <w:sz w:val="17"/>
          <w:szCs w:val="17"/>
          <w:u w:val="single" w:color="auto"/>
          <w:color w:val="auto"/>
        </w:rPr>
        <w:t>Affected Rate Loan</w:t>
      </w:r>
      <w:r>
        <w:rPr>
          <w:rFonts w:ascii="Arial" w:cs="Arial" w:eastAsia="Arial" w:hAnsi="Arial"/>
          <w:sz w:val="17"/>
          <w:szCs w:val="17"/>
          <w:color w:val="auto"/>
        </w:rPr>
        <w:t>”); or</w:t>
      </w:r>
    </w:p>
    <w:p>
      <w:pPr>
        <w:spacing w:after="0" w:line="183" w:lineRule="exact"/>
        <w:rPr>
          <w:rFonts w:ascii="Arial" w:cs="Arial" w:eastAsia="Arial" w:hAnsi="Arial"/>
          <w:sz w:val="17"/>
          <w:szCs w:val="17"/>
          <w:color w:val="auto"/>
        </w:rPr>
      </w:pPr>
    </w:p>
    <w:p>
      <w:pPr>
        <w:jc w:val="both"/>
        <w:ind w:left="1560" w:firstLine="606"/>
        <w:spacing w:after="0" w:line="262" w:lineRule="auto"/>
        <w:tabs>
          <w:tab w:leader="none" w:pos="295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at any time, that such Lender shall incur increased costs or reductions in the amounts received or receivable hereunder with respect to any Fixed Rate Loan or SONIA Rate Loan because of (x) any change since the Closing Date in any applicable law or governmental rule, regulation, order, guideline or request (whether or not having the force of law) or in the interpretation or administration thereof and including the introduction of any new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336550</wp:posOffset>
            </wp:positionV>
            <wp:extent cx="326390" cy="182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720"/>
          </w:cols>
          <w:pgMar w:left="360" w:top="1326" w:right="819" w:bottom="1440" w:gutter="0" w:footer="0" w:header="0"/>
        </w:sectPr>
      </w:pPr>
    </w:p>
    <w:bookmarkStart w:id="167" w:name="page168"/>
    <w:bookmarkEnd w:id="167"/>
    <w:p>
      <w:pPr>
        <w:jc w:val="both"/>
        <w:ind w:left="1560"/>
        <w:spacing w:after="0" w:line="258" w:lineRule="auto"/>
        <w:rPr>
          <w:sz w:val="20"/>
          <w:szCs w:val="20"/>
          <w:color w:val="auto"/>
        </w:rPr>
      </w:pPr>
      <w:r>
        <w:rPr>
          <w:rFonts w:ascii="Arial" w:cs="Arial" w:eastAsia="Arial" w:hAnsi="Arial"/>
          <w:sz w:val="17"/>
          <w:szCs w:val="17"/>
          <w:color w:val="auto"/>
        </w:rPr>
        <w:t>governmental rule, regulation, order, guideline or request, such as, but not limited to, a change in official reserve requirements, but, in all events, excluding reserves required under Regulation D to the extent included in the computation of the LIBOR Rate or (y) other circumstances arising since the Closing Date affecting such Lender, the interbank market or the position of such Lender in such market (including that the Fixed Rate or the SONIA Rate, as applicable, with respect to such Loan does not adequately and fairly reflect the cost to such Lender of funding such Loan); or</w:t>
      </w:r>
    </w:p>
    <w:p>
      <w:pPr>
        <w:spacing w:after="0" w:line="191" w:lineRule="exact"/>
        <w:rPr>
          <w:sz w:val="20"/>
          <w:szCs w:val="20"/>
          <w:color w:val="auto"/>
        </w:rPr>
      </w:pPr>
    </w:p>
    <w:p>
      <w:pPr>
        <w:jc w:val="both"/>
        <w:ind w:left="1560" w:firstLine="606"/>
        <w:spacing w:after="0" w:line="262" w:lineRule="auto"/>
        <w:tabs>
          <w:tab w:leader="none" w:pos="295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at any time, that the making or continuance of any Loan has been made (x) unlawful by any law or governmental rule, regulation or order, (y) impossible by compliance by any Lender in good faith with any governmental request (whether or not having force of law) or (z) impracticable as a result of a contingency occurring after the Closing Date which materially and adversely generally affects the applicable interbank market or the applicable Affected Rate; or</w:t>
      </w:r>
    </w:p>
    <w:p>
      <w:pPr>
        <w:spacing w:after="0" w:line="174" w:lineRule="exact"/>
        <w:rPr>
          <w:rFonts w:ascii="Arial" w:cs="Arial" w:eastAsia="Arial" w:hAnsi="Arial"/>
          <w:sz w:val="17"/>
          <w:szCs w:val="17"/>
          <w:color w:val="auto"/>
        </w:rPr>
      </w:pPr>
    </w:p>
    <w:p>
      <w:pPr>
        <w:ind w:left="1560" w:firstLine="607"/>
        <w:spacing w:after="0" w:line="263" w:lineRule="auto"/>
        <w:tabs>
          <w:tab w:leader="none" w:pos="295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at any time that the respective Alternate Currency is not available in sufficient amounts to fund any Borrowing of such Alternate Currency Loans requested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61" w:lineRule="exact"/>
        <w:rPr>
          <w:sz w:val="20"/>
          <w:szCs w:val="20"/>
          <w:color w:val="auto"/>
        </w:rPr>
      </w:pPr>
    </w:p>
    <w:p>
      <w:pPr>
        <w:jc w:val="both"/>
        <w:ind w:left="960"/>
        <w:spacing w:after="0" w:line="248" w:lineRule="auto"/>
        <w:rPr>
          <w:sz w:val="20"/>
          <w:szCs w:val="20"/>
          <w:color w:val="auto"/>
        </w:rPr>
      </w:pPr>
      <w:r>
        <w:rPr>
          <w:rFonts w:ascii="Arial" w:cs="Arial" w:eastAsia="Arial" w:hAnsi="Arial"/>
          <w:sz w:val="17"/>
          <w:szCs w:val="17"/>
          <w:color w:val="auto"/>
        </w:rPr>
        <w:t xml:space="preserve">then, and in any such event, such Lender (or the Administrative Agent, in the case of clause (A) or (D) above) shall promptly give notice (by telephone promptly confirmed in writing) to the Borrower and, except in the case of clauses (A) and (D) above, to the Administrative Agent of such determination (which notice the Administrative Agent shall promptly transmit to each of the other Lenders). Thereafter (w) in the case of clause (A) above, Affected Rate Loans shall no longer be available until such time as the Administrative Agent notifies the Borrower and the Lenders that the circumstances giving rise to such notice by the Administrative Agent no longer exist, and any Notice of Borrowing or Notice of Conversion/Continuation given by the Borrower with respect to such Affected Rate Loans which have not yet been incurred (including by way of conversion) shall be deemed rescinded by the Borrower, (x) in the case of clause (B) above, the Borrower agrees to pay to each Lender, upon such Lender’s written request therefor, such additional amounts (in the form of an increased rate of, or a different method of calculating, interest or otherwise as such Lender shall determine after consultation with the Borrower) as shall be required to compensate each Lender for such increased costs or reductions in amounts received or receivable hereunder (a written notice as to the additional amounts owed to each Lender, showing in reasonable detail the basis for the calculation thereof, submitted to the Borrower by the Required Lenders shall, absent manifest error, be final and conclusive and binding on all the parties hereto), (y) in the case of clause (C) above, the Borrower shall take one of the actions specified in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as promptly as possible and, in any event, within the time period required by law and (z) in the case of clause (D) above, Alternate Currency Loans (exclusive of any such Alternate Currency Loans which have theretofore been funded) shall no longer be available until such time as the Administrative Agent notifies the Borrower and the Lenders that the circumstances giving rise to such notice by the Administrative Agent no longer exist, and any Notice of Borrowing given by the Borrower with respect to such Alternate Currency Loans which have not been incurred shall be deemed rescinded by the Borrower.</w:t>
      </w:r>
    </w:p>
    <w:p>
      <w:pPr>
        <w:spacing w:after="0" w:line="212" w:lineRule="exact"/>
        <w:rPr>
          <w:sz w:val="20"/>
          <w:szCs w:val="20"/>
          <w:color w:val="auto"/>
        </w:rPr>
      </w:pPr>
    </w:p>
    <w:p>
      <w:pPr>
        <w:jc w:val="both"/>
        <w:ind w:left="960" w:firstLine="604"/>
        <w:spacing w:after="0" w:line="237" w:lineRule="auto"/>
        <w:tabs>
          <w:tab w:leader="none" w:pos="18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If at any time the Administrative Agent reasonably determines (which determination shall be conclusive and binding absent manifest error) that (a) the circumstances set forth in clause (i)(A) have arisen and such circumstances are unlikely to be temporary or (b) the circumstances set forth in clause (i)(A) have not arisen but the supervisor for the administrator of the relevant Affected Rate or a Governmental Authority having jurisdiction over the Administrative Agent has made a public statement identifying a specific date after which such Affected Rate shall no longer be used for determining interest rates for loans, then the Administrative Agent and the Borrower shall endeavor to establish an alternate rate of interest to such Affected Rate that gives due consideration to the then prevailing market convention for determining a rate of interest for syndicated loans in the United States at such time, and shall enter into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349885</wp:posOffset>
            </wp:positionV>
            <wp:extent cx="326390" cy="182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700"/>
          </w:cols>
          <w:pgMar w:left="360" w:top="1326" w:right="839" w:bottom="1440" w:gutter="0" w:footer="0" w:header="0"/>
        </w:sectPr>
      </w:pPr>
    </w:p>
    <w:bookmarkStart w:id="168" w:name="page169"/>
    <w:bookmarkEnd w:id="168"/>
    <w:p>
      <w:pPr>
        <w:ind w:left="960" w:right="220"/>
        <w:spacing w:after="0" w:line="263" w:lineRule="auto"/>
        <w:rPr>
          <w:sz w:val="20"/>
          <w:szCs w:val="20"/>
          <w:color w:val="auto"/>
        </w:rPr>
      </w:pPr>
      <w:r>
        <w:rPr>
          <w:rFonts w:ascii="Arial" w:cs="Arial" w:eastAsia="Arial" w:hAnsi="Arial"/>
          <w:sz w:val="18"/>
          <w:szCs w:val="18"/>
          <w:color w:val="auto"/>
        </w:rPr>
        <w:t>amendment to this Agreement to reflect such alternate rate of interest and such other related changes to this Agreement as may be applicable.</w:t>
      </w:r>
    </w:p>
    <w:p>
      <w:pPr>
        <w:spacing w:after="0" w:line="186" w:lineRule="exact"/>
        <w:rPr>
          <w:sz w:val="20"/>
          <w:szCs w:val="20"/>
          <w:color w:val="auto"/>
        </w:rPr>
      </w:pPr>
    </w:p>
    <w:p>
      <w:pPr>
        <w:jc w:val="both"/>
        <w:ind w:left="960" w:firstLine="602"/>
        <w:spacing w:after="0" w:line="251" w:lineRule="auto"/>
        <w:rPr>
          <w:sz w:val="20"/>
          <w:szCs w:val="20"/>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13.12</w:t>
      </w:r>
      <w:r>
        <w:rPr>
          <w:rFonts w:ascii="Arial" w:cs="Arial" w:eastAsia="Arial" w:hAnsi="Arial"/>
          <w:sz w:val="17"/>
          <w:szCs w:val="17"/>
          <w:color w:val="auto"/>
        </w:rPr>
        <w:t xml:space="preserve">,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(ii) (but, in the case of the circumstances described in the first sentence of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only to the extent the Affected Rate for the applicable currency and, if applicable, such Interest Period is not available or published at such time on a current basis), (x) any election made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that requests the conversion of any Revolving Loan to, or continuation of any Revolving Loan as, a Fixed Rate Loan shall be ineffective, (y) if any Notice of Borrowing requests a Fixed Rate Revolving Loan, such Borrowing shall be made as Base Rate Loan and (z) any request by the Borrower for a Fixed Rate Revolving Loan in Alternate Currency shall be ineffective;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alternate rate of interest shall be less than zero, such rate shall be deemed to be zero for the purposes of this Agreement.</w:t>
      </w:r>
    </w:p>
    <w:p>
      <w:pPr>
        <w:spacing w:after="0" w:line="184" w:lineRule="exact"/>
        <w:rPr>
          <w:sz w:val="20"/>
          <w:szCs w:val="20"/>
          <w:color w:val="auto"/>
        </w:rPr>
      </w:pPr>
    </w:p>
    <w:p>
      <w:pPr>
        <w:jc w:val="both"/>
        <w:ind w:left="960" w:right="20" w:firstLine="603"/>
        <w:spacing w:after="0" w:line="272" w:lineRule="auto"/>
        <w:tabs>
          <w:tab w:leader="none" w:pos="236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At any time that any Fixed Rate Loan or SONIA Rate Loan is affected by the circumstances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2.11(a)(i)(B)</w:t>
      </w:r>
      <w:r>
        <w:rPr>
          <w:rFonts w:ascii="Arial" w:cs="Arial" w:eastAsia="Arial" w:hAnsi="Arial"/>
          <w:sz w:val="16"/>
          <w:szCs w:val="16"/>
          <w:color w:val="auto"/>
        </w:rPr>
        <w:t xml:space="preserve">, the Borrower may, and in the case of a Fixed Rate Loan affected by the circumstances described in </w:t>
      </w:r>
      <w:r>
        <w:rPr>
          <w:rFonts w:ascii="Arial" w:cs="Arial" w:eastAsia="Arial" w:hAnsi="Arial"/>
          <w:sz w:val="16"/>
          <w:szCs w:val="16"/>
          <w:u w:val="single" w:color="auto"/>
          <w:color w:val="auto"/>
        </w:rPr>
        <w:t>Section 2.11(a)(i)</w:t>
      </w:r>
    </w:p>
    <w:p>
      <w:pPr>
        <w:jc w:val="both"/>
        <w:ind w:left="960" w:right="20"/>
        <w:spacing w:after="0" w:line="246" w:lineRule="auto"/>
        <w:rPr>
          <w:rFonts w:ascii="Arial" w:cs="Arial" w:eastAsia="Arial" w:hAnsi="Arial"/>
          <w:sz w:val="16"/>
          <w:szCs w:val="16"/>
          <w:color w:val="auto"/>
        </w:rPr>
      </w:pPr>
      <w:r>
        <w:rPr>
          <w:rFonts w:ascii="Arial" w:cs="Arial" w:eastAsia="Arial" w:hAnsi="Arial"/>
          <w:sz w:val="17"/>
          <w:szCs w:val="17"/>
          <w:u w:val="single" w:color="auto"/>
          <w:color w:val="auto"/>
        </w:rPr>
        <w:t>(C)</w:t>
      </w:r>
      <w:r>
        <w:rPr>
          <w:rFonts w:ascii="Arial" w:cs="Arial" w:eastAsia="Arial" w:hAnsi="Arial"/>
          <w:sz w:val="17"/>
          <w:szCs w:val="17"/>
          <w:color w:val="auto"/>
        </w:rPr>
        <w:t xml:space="preserve">, the Borrower shall, either (x) if the affected Fixed Rate Loan or SONIA Rate Loan is then being made initially or pursuant to a conversion, cancel such Borrowing by giving the Administrative Agent telephonic notice (confirmed in writing) on the same date that the Borrower was notified by affected Lender or the Administrative Agent pursuant to </w:t>
      </w:r>
      <w:r>
        <w:rPr>
          <w:rFonts w:ascii="Arial" w:cs="Arial" w:eastAsia="Arial" w:hAnsi="Arial"/>
          <w:sz w:val="17"/>
          <w:szCs w:val="17"/>
          <w:u w:val="single" w:color="auto"/>
          <w:color w:val="auto"/>
        </w:rPr>
        <w:t>Section 2.11(a)(i)(B)</w:t>
      </w:r>
      <w:r>
        <w:rPr>
          <w:rFonts w:ascii="Arial" w:cs="Arial" w:eastAsia="Arial" w:hAnsi="Arial"/>
          <w:sz w:val="17"/>
          <w:szCs w:val="17"/>
          <w:color w:val="auto"/>
        </w:rPr>
        <w:t xml:space="preserve"> or</w:t>
      </w:r>
    </w:p>
    <w:p>
      <w:pPr>
        <w:jc w:val="both"/>
        <w:ind w:left="960" w:firstLine="3"/>
        <w:spacing w:after="0" w:line="235" w:lineRule="auto"/>
        <w:tabs>
          <w:tab w:leader="none" w:pos="17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or (y) if the affected Lender’s Fixed Rate Loan or SONIA Rate Loan is then outstanding, upon at least three (3) Business Days’ written notice to the Administrative Agent, (i) in the case of a LIBOR Loan, require the affected Lenders to convert such LIBOR Loan into a Base Rate Loan and (ii) in the case of any Fixed Rate Loan (other than a LIBOR Loan) or SONIA Rate Loan, repay all outstanding Borrowings which include such affected Loans in full in accordance with the applicable requirements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more than one Lender is affected at any time, then all affected Lenders must be treated the same pursuant to this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72" w:lineRule="exact"/>
        <w:rPr>
          <w:rFonts w:ascii="Arial" w:cs="Arial" w:eastAsia="Arial" w:hAnsi="Arial"/>
          <w:sz w:val="18"/>
          <w:szCs w:val="18"/>
          <w:color w:val="auto"/>
        </w:rPr>
      </w:pPr>
    </w:p>
    <w:p>
      <w:pPr>
        <w:jc w:val="both"/>
        <w:ind w:left="960" w:firstLine="604"/>
        <w:spacing w:after="0" w:line="249" w:lineRule="auto"/>
        <w:tabs>
          <w:tab w:leader="none" w:pos="235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If any Lender determines that after the Closing Date the introduction of or any change in any applicable law or governmental rule, regulation, order, guideline, directive or request (whether or not having the force of law) concerning capital adequacy, liquidity or any change in interpretation or administration thereof by the NAIC or any Governmental Authority, central bank or comparable agency or any change in a Requirement of Law, will have the effect of increasing the amount of capital required or expected to be maintained by the Lenders or any corporation controlling such Lenders based on the existence of such the Lender’s Commitments hereunder or their obligations hereunder, then the Borrower agrees to pay to Lenders, upon their written demand therefor, such additional amounts as shall be required to compensate such Lenders or such other corporation for the increased cost to such Lenders or such other corporation or the reduction in the rate of return to such Lenders or such other corporation as a result of such increase of capital. In determining such additional amounts, the Lenders will act reasonably and in good faith and will use averaging and attribution methods which are reasonable;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Lender’s determination of compensation owing under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shall, absent manifest error, be final and conclusive and binding on all the parties hereto. The Lenders, upon determining that any additional amounts will be payable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will give prompt written notice thereof to the Borrower, which notice shall show in reasonable detail the basis for calculation of such additional amounts, although the failure to give any such notice shall not release or diminish the Borrower’s obligations to pay additional amounts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upon the subsequent receipt of such notice, except to the extent that such Lender’s failure or delay results in prejudice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346710</wp:posOffset>
            </wp:positionV>
            <wp:extent cx="326390" cy="182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20"/>
          </w:cols>
          <w:pgMar w:left="360" w:top="1326" w:right="819" w:bottom="1440" w:gutter="0" w:footer="0" w:header="0"/>
        </w:sectPr>
      </w:pPr>
    </w:p>
    <w:bookmarkStart w:id="169" w:name="page170"/>
    <w:bookmarkEnd w:id="169"/>
    <w:p>
      <w:pPr>
        <w:jc w:val="both"/>
        <w:ind w:left="960" w:firstLine="604"/>
        <w:spacing w:after="0" w:line="235" w:lineRule="auto"/>
        <w:tabs>
          <w:tab w:leader="none" w:pos="235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In the event that any Lender shall in good faith determine (which determination shall, absent manifest error, be final and conclusive and binding on all parties hereto) at any time that it is required to maintain reserves (including, without limitation, any marginal, emergency, supplemental, special or other reserves required by applicable law) which have been established by any federal, state, local or foreign court or governmental agency, authority, instrumentality or regulatory body with jurisdiction over such Lenders (including any branch, Affiliate or funding office thereof) in respect of any Alternate Currency Loans or any category of liabilities which includes deposits by reference to which the interest rate on any Alternate Currency Loan is determined or any category of extensions of credit or other assets which includes loans by a non-United States office of any Lenders to non-United States residents, then, unless such reserves are included in the calculation of the interest rate applicable to such Alternate Currency Loans or in </w:t>
      </w:r>
      <w:r>
        <w:rPr>
          <w:rFonts w:ascii="Arial" w:cs="Arial" w:eastAsia="Arial" w:hAnsi="Arial"/>
          <w:sz w:val="18"/>
          <w:szCs w:val="18"/>
          <w:u w:val="single" w:color="auto"/>
          <w:color w:val="auto"/>
        </w:rPr>
        <w:t>Section 2.11(a)(B)</w:t>
      </w:r>
      <w:r>
        <w:rPr>
          <w:rFonts w:ascii="Arial" w:cs="Arial" w:eastAsia="Arial" w:hAnsi="Arial"/>
          <w:sz w:val="18"/>
          <w:szCs w:val="18"/>
          <w:color w:val="auto"/>
        </w:rPr>
        <w:t>, such Lender shall promptly notify the Borrower in writing specifying the additional amounts required to indemnify such Lender against the actual cost of maintaining such reserves (such written notice to provide in reasonable detail a computation of such additional amounts) and the Borrower (in the case of Loans owing by it and, in each case, denominated in an Alternate Currency) shall pay to such Lender such specified amounts as additional interest at the time that the Borrower is otherwise required to pay interest in respect of such Alternate Currency Loan or, if later, on written demand therefor by such Lender.</w:t>
      </w:r>
    </w:p>
    <w:p>
      <w:pPr>
        <w:spacing w:after="0" w:line="209" w:lineRule="exact"/>
        <w:rPr>
          <w:rFonts w:ascii="Arial" w:cs="Arial" w:eastAsia="Arial" w:hAnsi="Arial"/>
          <w:sz w:val="18"/>
          <w:szCs w:val="18"/>
          <w:color w:val="auto"/>
        </w:rPr>
      </w:pPr>
    </w:p>
    <w:p>
      <w:pPr>
        <w:jc w:val="both"/>
        <w:ind w:left="960" w:firstLine="604"/>
        <w:spacing w:after="0" w:line="237" w:lineRule="auto"/>
        <w:tabs>
          <w:tab w:leader="none" w:pos="23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the Dodd-Frank Wall Street Reform and Consumer Protection Act, Basel III and CRD IV and all requests, rules, guidelines, requirements and directives thereunder, issued in connection therewith or in implementation thereof, shall be deemed to be a change after the Closing Date in a Requirement of Law or government rule, regulation or order, regardless of the date enacted, adopted, issued or implemented (including for purposes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increased costs because of a change in a Requirement of Law resulting from the Dodd-Frank Wall Street Reform and Consumer Protection Act, Basel III and CRD IV may only be requested by the Lenders imposing such increased costs on borrowers similarly situated to the Borrower under syndicated credit facilities comparable to those provided hereunder.</w:t>
      </w:r>
    </w:p>
    <w:p>
      <w:pPr>
        <w:spacing w:after="0" w:line="19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 xml:space="preserve">(f)This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not apply to any Indemnified Taxes or Other Taxes (each of which are provided for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or any Excluded Taxes.</w:t>
      </w:r>
    </w:p>
    <w:p>
      <w:pPr>
        <w:spacing w:after="0" w:line="249"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Compensation</w:t>
      </w:r>
      <w:r>
        <w:rPr>
          <w:rFonts w:ascii="Arial" w:cs="Arial" w:eastAsia="Arial" w:hAnsi="Arial"/>
          <w:sz w:val="16"/>
          <w:szCs w:val="16"/>
          <w:color w:val="auto"/>
        </w:rPr>
        <w:t>. The Borrower agrees to compensate each Lender, upon its written request (which request shall</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set forth in reasonable detail the basis for requesting such compensation), for all losses, expenses and liabilities (including, without</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limitation, any loss, expense or liability incurred by reason of the liquidation or reemployment of deposits or other funds required by</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such Lender to fund its Fixed Rate Loans but excluding loss of anticipated profits) that such Lender may sustain: (i) if for any</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reason (other than a default by such Lender or the Administrative Agent) a Borrowing of, or conversion from or into, Fixed Rate</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Loans does not occur on a date specified therefor in a Notice of Borrowing or Notice of Conversion/Continuation (whether or not</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withdrawn by the Borrower or deemed withdrawn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(ii) if any prepayment or repayment (including any</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prepayment or repayment made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as a result of an acceleration of the Loans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or</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conversion of any of its Fixed Rate Loans occurs on a date which is not the last day of an Interest Period with respect thereto; (iii) if</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prepayment of any of its Fixed Rate Loans is not made on any date specified in a notice of prepayment given by the Borrower;</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or (iv) as a consequence of (x) any other default by the Borrower to repay Fixed Rate Loans when required by the terms of this</w:t>
      </w:r>
    </w:p>
    <w:p>
      <w:pPr>
        <w:ind w:left="960"/>
        <w:spacing w:after="0" w:line="238" w:lineRule="auto"/>
        <w:rPr>
          <w:sz w:val="20"/>
          <w:szCs w:val="20"/>
          <w:color w:val="auto"/>
        </w:rPr>
      </w:pPr>
      <w:r>
        <w:rPr>
          <w:rFonts w:ascii="Arial" w:cs="Arial" w:eastAsia="Arial" w:hAnsi="Arial"/>
          <w:sz w:val="18"/>
          <w:szCs w:val="18"/>
          <w:color w:val="auto"/>
        </w:rPr>
        <w:t>Agreement or any Note held by such Lender or</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(y) any election made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7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95" w:lineRule="exact"/>
        <w:rPr>
          <w:sz w:val="20"/>
          <w:szCs w:val="20"/>
          <w:color w:val="auto"/>
        </w:rPr>
      </w:pPr>
    </w:p>
    <w:p>
      <w:pPr>
        <w:jc w:val="both"/>
        <w:ind w:left="960" w:right="20" w:firstLine="605"/>
        <w:spacing w:after="0" w:line="248" w:lineRule="auto"/>
        <w:tabs>
          <w:tab w:leader="none" w:pos="23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With respect to any Lender’s claim for compensation for any amounts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3.6</w:t>
      </w:r>
      <w:r>
        <w:rPr>
          <w:rFonts w:ascii="Arial" w:cs="Arial" w:eastAsia="Arial" w:hAnsi="Arial"/>
          <w:sz w:val="18"/>
          <w:szCs w:val="18"/>
          <w:color w:val="auto"/>
        </w:rPr>
        <w:t>, the Borrower shall not be required to compensate such Lender if such Lender notifies Borrower of the event that gives rise to such claim more than one hundred eighty (180) days after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720"/>
          </w:cols>
          <w:pgMar w:left="360" w:top="1326" w:right="819" w:bottom="1440" w:gutter="0" w:footer="0" w:header="0"/>
        </w:sectPr>
      </w:pPr>
    </w:p>
    <w:bookmarkStart w:id="170" w:name="page171"/>
    <w:bookmarkEnd w:id="170"/>
    <w:p>
      <w:pPr>
        <w:ind w:left="960" w:right="120"/>
        <w:spacing w:after="0" w:line="263" w:lineRule="auto"/>
        <w:rPr>
          <w:sz w:val="20"/>
          <w:szCs w:val="20"/>
          <w:color w:val="auto"/>
        </w:rPr>
      </w:pPr>
      <w:r>
        <w:rPr>
          <w:rFonts w:ascii="Arial" w:cs="Arial" w:eastAsia="Arial" w:hAnsi="Arial"/>
          <w:sz w:val="18"/>
          <w:szCs w:val="18"/>
          <w:color w:val="auto"/>
        </w:rPr>
        <w:t xml:space="preserve">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186" w:lineRule="exact"/>
        <w:rPr>
          <w:sz w:val="20"/>
          <w:szCs w:val="20"/>
          <w:color w:val="auto"/>
        </w:rPr>
      </w:pPr>
    </w:p>
    <w:p>
      <w:pPr>
        <w:jc w:val="both"/>
        <w:ind w:left="960" w:right="20" w:firstLine="604"/>
        <w:spacing w:after="0" w:line="254" w:lineRule="auto"/>
        <w:tabs>
          <w:tab w:leader="none" w:pos="235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Each Lender agrees that on the occurrence of any event giving rise to the operation of </w:t>
      </w:r>
      <w:r>
        <w:rPr>
          <w:rFonts w:ascii="Arial" w:cs="Arial" w:eastAsia="Arial" w:hAnsi="Arial"/>
          <w:sz w:val="17"/>
          <w:szCs w:val="17"/>
          <w:u w:val="single" w:color="auto"/>
          <w:color w:val="auto"/>
        </w:rPr>
        <w:t>Section 2.11(a)(B)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Loans or Letters of Credit affected by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such terms that such Lender and its lending office suffer no legal, regulatory or unreimbursed economic disadvantage, with the object of avoiding the consequence of the event giving rise to the operation of such Section. Nothing in this </w:t>
      </w:r>
      <w:r>
        <w:rPr>
          <w:rFonts w:ascii="Arial" w:cs="Arial" w:eastAsia="Arial" w:hAnsi="Arial"/>
          <w:sz w:val="17"/>
          <w:szCs w:val="17"/>
          <w:u w:val="single" w:color="auto"/>
          <w:color w:val="auto"/>
        </w:rPr>
        <w:t>Section 2.13(b)</w:t>
      </w:r>
      <w:r>
        <w:rPr>
          <w:rFonts w:ascii="Arial" w:cs="Arial" w:eastAsia="Arial" w:hAnsi="Arial"/>
          <w:sz w:val="17"/>
          <w:szCs w:val="17"/>
          <w:color w:val="auto"/>
        </w:rPr>
        <w:t xml:space="preserve"> shall affect or postpone any of the obligations of the Borrower or the right of any Lender provided in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5.5</w:t>
      </w:r>
      <w:r>
        <w:rPr>
          <w:rFonts w:ascii="Arial" w:cs="Arial" w:eastAsia="Arial" w:hAnsi="Arial"/>
          <w:sz w:val="17"/>
          <w:szCs w:val="17"/>
          <w:color w:val="auto"/>
        </w:rPr>
        <w:t>.</w:t>
      </w:r>
    </w:p>
    <w:p>
      <w:pPr>
        <w:spacing w:after="0" w:line="257"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(x) If any Lender becomes a Defaulting Lender, (y) upon the occurrence of any event giving rise to the operation of </w:t>
      </w:r>
      <w:r>
        <w:rPr>
          <w:rFonts w:ascii="Arial" w:cs="Arial" w:eastAsia="Arial" w:hAnsi="Arial"/>
          <w:sz w:val="16"/>
          <w:szCs w:val="16"/>
          <w:u w:val="single" w:color="auto"/>
          <w:color w:val="auto"/>
        </w:rPr>
        <w:t>Section 2.11(a)(B)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with respect to any Lender which results in the Borrower being required to pay additional amounts or indemnity payments with respect to such Lender or such Lender charging to the Borrower increased costs in excess of those being generally charged by the other Lenders or</w:t>
      </w:r>
    </w:p>
    <w:p>
      <w:pPr>
        <w:spacing w:after="0" w:line="3" w:lineRule="exact"/>
        <w:rPr>
          <w:sz w:val="20"/>
          <w:szCs w:val="20"/>
          <w:color w:val="auto"/>
        </w:rPr>
      </w:pPr>
    </w:p>
    <w:p>
      <w:pPr>
        <w:jc w:val="both"/>
        <w:ind w:left="960" w:firstLine="2"/>
        <w:spacing w:after="0" w:line="235" w:lineRule="auto"/>
        <w:tabs>
          <w:tab w:leader="none" w:pos="12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in the case of a refusal by a Lender to consent to a proposed change, waiver, discharge or termination with respect to this Agreement that requires (or would require) the consent of all Lenders or each Lender adversely affected thereby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13.12(a)</w:t>
      </w:r>
      <w:r>
        <w:rPr>
          <w:rFonts w:ascii="Arial" w:cs="Arial" w:eastAsia="Arial" w:hAnsi="Arial"/>
          <w:sz w:val="18"/>
          <w:szCs w:val="18"/>
          <w:color w:val="auto"/>
        </w:rPr>
        <w:t xml:space="preserve"> and that has been approved by the Required Lenders as (and to the extent) provided in </w:t>
      </w:r>
      <w:r>
        <w:rPr>
          <w:rFonts w:ascii="Arial" w:cs="Arial" w:eastAsia="Arial" w:hAnsi="Arial"/>
          <w:sz w:val="18"/>
          <w:szCs w:val="18"/>
          <w:u w:val="single" w:color="auto"/>
          <w:color w:val="auto"/>
        </w:rPr>
        <w:t>Section 13.12(a)</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Modification</w:t>
      </w:r>
      <w:r>
        <w:rPr>
          <w:rFonts w:ascii="Arial" w:cs="Arial" w:eastAsia="Arial" w:hAnsi="Arial"/>
          <w:sz w:val="18"/>
          <w:szCs w:val="18"/>
          <w:color w:val="auto"/>
        </w:rPr>
        <w:t xml:space="preserve">”), the Borrower shall have the right, in accordance with </w:t>
      </w:r>
      <w:r>
        <w:rPr>
          <w:rFonts w:ascii="Arial" w:cs="Arial" w:eastAsia="Arial" w:hAnsi="Arial"/>
          <w:sz w:val="18"/>
          <w:szCs w:val="18"/>
          <w:u w:val="single" w:color="auto"/>
          <w:color w:val="auto"/>
        </w:rPr>
        <w:t>Section 13.4</w:t>
      </w:r>
      <w:r>
        <w:rPr>
          <w:rFonts w:ascii="Arial" w:cs="Arial" w:eastAsia="Arial" w:hAnsi="Arial"/>
          <w:sz w:val="18"/>
          <w:szCs w:val="18"/>
          <w:color w:val="auto"/>
        </w:rPr>
        <w:t>, to replace such Lender (the “</w:t>
      </w:r>
      <w:r>
        <w:rPr>
          <w:rFonts w:ascii="Arial" w:cs="Arial" w:eastAsia="Arial" w:hAnsi="Arial"/>
          <w:sz w:val="18"/>
          <w:szCs w:val="18"/>
          <w:u w:val="single" w:color="auto"/>
          <w:color w:val="auto"/>
        </w:rPr>
        <w:t>Replaced Lender</w:t>
      </w:r>
      <w:r>
        <w:rPr>
          <w:rFonts w:ascii="Arial" w:cs="Arial" w:eastAsia="Arial" w:hAnsi="Arial"/>
          <w:sz w:val="18"/>
          <w:szCs w:val="18"/>
          <w:color w:val="auto"/>
        </w:rPr>
        <w:t>”) with one or more other Eligible Assignees, none of whom shall constitute a Defaulting Lender at the time of such replacement (collectively, the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and each of which shall be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70" w:lineRule="exact"/>
        <w:rPr>
          <w:rFonts w:ascii="Arial" w:cs="Arial" w:eastAsia="Arial" w:hAnsi="Arial"/>
          <w:sz w:val="18"/>
          <w:szCs w:val="18"/>
          <w:color w:val="auto"/>
        </w:rPr>
      </w:pPr>
    </w:p>
    <w:p>
      <w:pPr>
        <w:jc w:val="both"/>
        <w:ind w:left="1480" w:firstLine="663"/>
        <w:spacing w:after="0" w:line="249" w:lineRule="auto"/>
        <w:tabs>
          <w:tab w:leader="none" w:pos="2372"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at the time of any replacement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the Replacement Lender shall enter into one or more Assignment and Assumptions pursuant to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(and with all fees payable pursuant to said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to be paid by the Replacement Lender or the Replaced Lender (as may be agreed to at such time by and among the Borrower, the Replacement Lender and the Replaced Lender)) pursuant to which the Replacement Lender shall consent to the Proposed Modification, if applicable, and acquire all of the Commitments and outstanding Loans of, and in each case all participations in Letters of Credit and Swingline Loans by, the Replaced Lender and, in connection therewith, shall pay to (x) the Replaced Lender in respect thereof an amount equal to the sum of (A) an amount equal to the principal of, and all accrued interest on, and any premium applicable to, all outstanding Loans of the respective Replaced Lender under each Tranche with respect to which such Replaced Lender is being replaced, (B) an amount equal to all Unpaid Drawings (unless there are no Unpaid Drawings with respect to the Tranche being replaced) that have been funded by (and not reimbursed to) such Replaced Lender, together with all then unpaid interest with respect thereto at such time and (C) an amount equal to all accrued, but theretofore unpaid, Fees owing to the Replaced Lender (but only with respect to the relevant Tranche, in the case of the replacement of less than all Tranches of Loans then held by the respective Replaced Lender)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(y) each Issuing Lender an amount equal to such Replaced Lender’s RL Percentage of any Unpaid Drawing relating to Letters of Credit issued by such Issuing Lender (which at such time remains an Unpaid Drawing) to the extent such amount was not theretofore funded by such Replaced Lender and (z) the Swingline Lender an amount equal to such Replaced Lender’s RL Percentage of any Mandatory Borrowing to the extent such amount was not theretofore funded by such Replaced Lender to the Swingline Lender;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344170</wp:posOffset>
            </wp:positionV>
            <wp:extent cx="326390" cy="182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20"/>
          </w:cols>
          <w:pgMar w:left="360" w:top="1326" w:right="819" w:bottom="1440" w:gutter="0" w:footer="0" w:header="0"/>
        </w:sectPr>
      </w:pPr>
    </w:p>
    <w:bookmarkStart w:id="171" w:name="page172"/>
    <w:bookmarkEnd w:id="171"/>
    <w:p>
      <w:pPr>
        <w:jc w:val="both"/>
        <w:ind w:left="1480" w:right="20" w:firstLine="612"/>
        <w:spacing w:after="0"/>
        <w:tabs>
          <w:tab w:leader="none" w:pos="23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all obligations of any Loan Party then owing to the Replaced Lender (other than those (a) specifically described in clause (i) above in respect of which the assignment purchase price has been, or is concurrently being, paid, but including all amounts, if any, owing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or (b) relating to any Tranche of Loans or Commitments of the respective Replaced Lender which will remain outstanding after giving effect to the respective replacement) shall be paid in full to such Replaced Lender concurrently with such replacement.</w:t>
      </w:r>
    </w:p>
    <w:p>
      <w:pPr>
        <w:spacing w:after="0" w:line="206" w:lineRule="exact"/>
        <w:rPr>
          <w:sz w:val="20"/>
          <w:szCs w:val="20"/>
          <w:color w:val="auto"/>
        </w:rPr>
      </w:pPr>
    </w:p>
    <w:p>
      <w:pPr>
        <w:jc w:val="both"/>
        <w:ind w:left="960" w:firstLine="602"/>
        <w:spacing w:after="0" w:line="249" w:lineRule="auto"/>
        <w:rPr>
          <w:sz w:val="20"/>
          <w:szCs w:val="20"/>
          <w:color w:val="auto"/>
        </w:rPr>
      </w:pPr>
      <w:r>
        <w:rPr>
          <w:rFonts w:ascii="Arial" w:cs="Arial" w:eastAsia="Arial" w:hAnsi="Arial"/>
          <w:sz w:val="17"/>
          <w:szCs w:val="17"/>
          <w:color w:val="auto"/>
        </w:rPr>
        <w:t xml:space="preserve">Upon receipt by the Replaced Lender of all amounts required to be paid to it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such Replaced Lender shall execute an Assignment and Assumption within two (2) Business Days of the date on which the Replacement Lender executes and delivers such Assignment and Assumption to such Replaced Lender (or such executed Assignment and Assumption is delivered by the Administrative Agent on behalf of such Replacement Lender). If such Replaced Lender does not execute and deliver such Assignment and Assumption within such two (2) Business Day period, then such Replaced Lender shall be deemed to have executed and delivered such Assignment and Assumption without any action on the part of such Lender and the Assignment and Assumption so executed by such Replacement Lender shall be effective for the purposes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Upon the execution of the respective Assignment and Assumption, the payment of amounts referred to in clauses (i) and (ii) above, recordation of the assignment on the Register by the Administrative Agent pursuant to </w:t>
      </w:r>
      <w:r>
        <w:rPr>
          <w:rFonts w:ascii="Arial" w:cs="Arial" w:eastAsia="Arial" w:hAnsi="Arial"/>
          <w:sz w:val="17"/>
          <w:szCs w:val="17"/>
          <w:u w:val="single" w:color="auto"/>
          <w:color w:val="auto"/>
        </w:rPr>
        <w:t>Section 13.15</w:t>
      </w:r>
      <w:r>
        <w:rPr>
          <w:rFonts w:ascii="Arial" w:cs="Arial" w:eastAsia="Arial" w:hAnsi="Arial"/>
          <w:sz w:val="17"/>
          <w:szCs w:val="17"/>
          <w:color w:val="auto"/>
        </w:rPr>
        <w:t xml:space="preserve"> and, if so requested by the Replacement Lender, delivery to the Replacement Lender of the appropriate Note or Notes executed by the Borrower, (x) the Replacement Lender shall become a Lender hereunder and the Replaced Lender shall cease to constitute a Lender hereunder, except with respect to indemnification provisions under this Agreement (including, without limitation,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w:t>
      </w:r>
      <w:r>
        <w:rPr>
          <w:rFonts w:ascii="Arial" w:cs="Arial" w:eastAsia="Arial" w:hAnsi="Arial"/>
          <w:sz w:val="17"/>
          <w:szCs w:val="17"/>
          <w:u w:val="single" w:color="auto"/>
          <w:color w:val="auto"/>
        </w:rPr>
        <w:t>12.6</w:t>
      </w:r>
      <w:r>
        <w:rPr>
          <w:rFonts w:ascii="Arial" w:cs="Arial" w:eastAsia="Arial" w:hAnsi="Arial"/>
          <w:sz w:val="17"/>
          <w:szCs w:val="17"/>
          <w:color w:val="auto"/>
        </w:rPr>
        <w:t xml:space="preserve">, </w:t>
      </w:r>
      <w:r>
        <w:rPr>
          <w:rFonts w:ascii="Arial" w:cs="Arial" w:eastAsia="Arial" w:hAnsi="Arial"/>
          <w:sz w:val="17"/>
          <w:szCs w:val="17"/>
          <w:u w:val="single" w:color="auto"/>
          <w:color w:val="auto"/>
        </w:rPr>
        <w:t>13.1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13.6</w:t>
      </w:r>
      <w:r>
        <w:rPr>
          <w:rFonts w:ascii="Arial" w:cs="Arial" w:eastAsia="Arial" w:hAnsi="Arial"/>
          <w:sz w:val="17"/>
          <w:szCs w:val="17"/>
          <w:color w:val="auto"/>
        </w:rPr>
        <w:t>), which shall survive as to such Replaced Lender and (y) the RL Percentages of the Lenders shall be automatically adjusted at such time to give effect to such replacement.</w:t>
      </w:r>
    </w:p>
    <w:p>
      <w:pPr>
        <w:spacing w:after="0" w:line="195"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Incremental Credit Extensions</w:t>
      </w:r>
      <w:r>
        <w:rPr>
          <w:rFonts w:ascii="Arial" w:cs="Arial" w:eastAsia="Arial" w:hAnsi="Arial"/>
          <w:sz w:val="16"/>
          <w:szCs w:val="16"/>
          <w:color w:val="auto"/>
        </w:rPr>
        <w:t>.</w:t>
      </w:r>
    </w:p>
    <w:p>
      <w:pPr>
        <w:spacing w:after="0" w:line="307" w:lineRule="exact"/>
        <w:rPr>
          <w:sz w:val="20"/>
          <w:szCs w:val="20"/>
          <w:color w:val="auto"/>
        </w:rPr>
      </w:pPr>
    </w:p>
    <w:p>
      <w:pPr>
        <w:jc w:val="both"/>
        <w:ind w:left="960" w:right="20" w:firstLine="604"/>
        <w:spacing w:after="0" w:line="253" w:lineRule="auto"/>
        <w:tabs>
          <w:tab w:leader="none" w:pos="235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Borrower may at any time or from time to time after the Closing Date, (i) request one or more additional tranches of term loans or one or more increases to an existing tranche of Term Loans (the commitments thereof, the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Loan Commitments</w:t>
      </w:r>
      <w:r>
        <w:rPr>
          <w:rFonts w:ascii="Arial" w:cs="Arial" w:eastAsia="Arial" w:hAnsi="Arial"/>
          <w:sz w:val="17"/>
          <w:szCs w:val="17"/>
          <w:color w:val="auto"/>
        </w:rPr>
        <w:t>,” the loans thereunder, the “</w:t>
      </w:r>
      <w:r>
        <w:rPr>
          <w:rFonts w:ascii="Arial" w:cs="Arial" w:eastAsia="Arial" w:hAnsi="Arial"/>
          <w:sz w:val="17"/>
          <w:szCs w:val="17"/>
          <w:u w:val="single" w:color="auto"/>
          <w:color w:val="auto"/>
        </w:rPr>
        <w:t>Incremental Term Loans</w:t>
      </w:r>
      <w:r>
        <w:rPr>
          <w:rFonts w:ascii="Arial" w:cs="Arial" w:eastAsia="Arial" w:hAnsi="Arial"/>
          <w:sz w:val="17"/>
          <w:szCs w:val="17"/>
          <w:color w:val="auto"/>
        </w:rPr>
        <w:t>” and a Lender making such loans, an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Lender</w:t>
      </w:r>
      <w:r>
        <w:rPr>
          <w:rFonts w:ascii="Arial" w:cs="Arial" w:eastAsia="Arial" w:hAnsi="Arial"/>
          <w:sz w:val="17"/>
          <w:szCs w:val="17"/>
          <w:color w:val="auto"/>
        </w:rPr>
        <w:t>”) or (ii) (A) request one or more increases in the amount of the Revolving Loan Commitments (any such increase, a “</w:t>
      </w:r>
      <w:r>
        <w:rPr>
          <w:rFonts w:ascii="Arial" w:cs="Arial" w:eastAsia="Arial" w:hAnsi="Arial"/>
          <w:sz w:val="17"/>
          <w:szCs w:val="17"/>
          <w:u w:val="single" w:color="auto"/>
          <w:color w:val="auto"/>
        </w:rPr>
        <w:t>Revolving Loan Commitment Increase</w:t>
      </w:r>
      <w:r>
        <w:rPr>
          <w:rFonts w:ascii="Arial" w:cs="Arial" w:eastAsia="Arial" w:hAnsi="Arial"/>
          <w:sz w:val="17"/>
          <w:szCs w:val="17"/>
          <w:color w:val="auto"/>
        </w:rPr>
        <w:t xml:space="preserve">”) or (B) subject to </w:t>
      </w:r>
      <w:r>
        <w:rPr>
          <w:rFonts w:ascii="Arial" w:cs="Arial" w:eastAsia="Arial" w:hAnsi="Arial"/>
          <w:sz w:val="17"/>
          <w:szCs w:val="17"/>
          <w:u w:val="single" w:color="auto"/>
          <w:color w:val="auto"/>
        </w:rPr>
        <w:t>Section 2.1(f)</w:t>
      </w:r>
      <w:r>
        <w:rPr>
          <w:rFonts w:ascii="Arial" w:cs="Arial" w:eastAsia="Arial" w:hAnsi="Arial"/>
          <w:sz w:val="17"/>
          <w:szCs w:val="17"/>
          <w:color w:val="auto"/>
        </w:rPr>
        <w:t>, the establishment of one or more new Revolving Loan Commitments (any such new commitment, a “</w:t>
      </w:r>
      <w:r>
        <w:rPr>
          <w:rFonts w:ascii="Arial" w:cs="Arial" w:eastAsia="Arial" w:hAnsi="Arial"/>
          <w:sz w:val="17"/>
          <w:szCs w:val="17"/>
          <w:u w:val="single" w:color="auto"/>
          <w:color w:val="auto"/>
        </w:rPr>
        <w:t>New Revolving Loan Commitment</w:t>
      </w:r>
      <w:r>
        <w:rPr>
          <w:rFonts w:ascii="Arial" w:cs="Arial" w:eastAsia="Arial" w:hAnsi="Arial"/>
          <w:sz w:val="17"/>
          <w:szCs w:val="17"/>
          <w:color w:val="auto"/>
        </w:rPr>
        <w:t>” and, together with Revolving Loan Commitment Increases, the “</w:t>
      </w:r>
      <w:r>
        <w:rPr>
          <w:rFonts w:ascii="Arial" w:cs="Arial" w:eastAsia="Arial" w:hAnsi="Arial"/>
          <w:sz w:val="17"/>
          <w:szCs w:val="17"/>
          <w:u w:val="single" w:color="auto"/>
          <w:color w:val="auto"/>
        </w:rPr>
        <w:t>Incremental Revolving Loan Commitments</w:t>
      </w:r>
      <w:r>
        <w:rPr>
          <w:rFonts w:ascii="Arial" w:cs="Arial" w:eastAsia="Arial" w:hAnsi="Arial"/>
          <w:sz w:val="17"/>
          <w:szCs w:val="17"/>
          <w:color w:val="auto"/>
        </w:rPr>
        <w:t>” and, such loans thereunder, the “</w:t>
      </w:r>
      <w:r>
        <w:rPr>
          <w:rFonts w:ascii="Arial" w:cs="Arial" w:eastAsia="Arial" w:hAnsi="Arial"/>
          <w:sz w:val="17"/>
          <w:szCs w:val="17"/>
          <w:u w:val="single" w:color="auto"/>
          <w:color w:val="auto"/>
        </w:rPr>
        <w:t>Incremental Revolving Loans</w:t>
      </w:r>
      <w:r>
        <w:rPr>
          <w:rFonts w:ascii="Arial" w:cs="Arial" w:eastAsia="Arial" w:hAnsi="Arial"/>
          <w:sz w:val="17"/>
          <w:szCs w:val="17"/>
          <w:color w:val="auto"/>
        </w:rPr>
        <w:t>” and, a Lender making such a commitment, an “</w:t>
      </w:r>
      <w:r>
        <w:rPr>
          <w:rFonts w:ascii="Arial" w:cs="Arial" w:eastAsia="Arial" w:hAnsi="Arial"/>
          <w:sz w:val="17"/>
          <w:szCs w:val="17"/>
          <w:u w:val="single" w:color="auto"/>
          <w:color w:val="auto"/>
        </w:rPr>
        <w:t>Incremental Revolving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57" w:lineRule="exact"/>
        <w:rPr>
          <w:rFonts w:ascii="Arial" w:cs="Arial" w:eastAsia="Arial" w:hAnsi="Arial"/>
          <w:sz w:val="17"/>
          <w:szCs w:val="17"/>
          <w:color w:val="auto"/>
        </w:rPr>
      </w:pPr>
    </w:p>
    <w:p>
      <w:pPr>
        <w:ind w:left="1480" w:right="200" w:firstLine="664"/>
        <w:spacing w:after="0" w:line="263" w:lineRule="auto"/>
        <w:tabs>
          <w:tab w:leader="none" w:pos="23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aggregate amount of Incremental Facilities Incurred during the term of this Agreement shall not exceed the Maximum Incremental Facilities Amount;</w:t>
      </w:r>
    </w:p>
    <w:p>
      <w:pPr>
        <w:spacing w:after="0" w:line="185" w:lineRule="exact"/>
        <w:rPr>
          <w:rFonts w:ascii="Arial" w:cs="Arial" w:eastAsia="Arial" w:hAnsi="Arial"/>
          <w:sz w:val="18"/>
          <w:szCs w:val="18"/>
          <w:color w:val="auto"/>
        </w:rPr>
      </w:pPr>
    </w:p>
    <w:p>
      <w:pPr>
        <w:ind w:left="1480" w:right="280" w:firstLine="613"/>
        <w:spacing w:after="0" w:line="263" w:lineRule="auto"/>
        <w:tabs>
          <w:tab w:leader="none" w:pos="23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Incremental Facilities will not be guaranteed by any person that is not a Guarantor or secured by any asset that is not Collateral (except the Collateral Exclusions);</w:t>
      </w:r>
    </w:p>
    <w:p>
      <w:pPr>
        <w:spacing w:after="0" w:line="173" w:lineRule="exact"/>
        <w:rPr>
          <w:rFonts w:ascii="Arial" w:cs="Arial" w:eastAsia="Arial" w:hAnsi="Arial"/>
          <w:sz w:val="18"/>
          <w:szCs w:val="18"/>
          <w:color w:val="auto"/>
        </w:rPr>
      </w:pPr>
    </w:p>
    <w:p>
      <w:pPr>
        <w:ind w:left="1480" w:right="20" w:firstLine="562"/>
        <w:spacing w:after="0" w:line="263" w:lineRule="auto"/>
        <w:tabs>
          <w:tab w:leader="none" w:pos="23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Event of Default (or, in the case of a Permitted Acquisition or other Investment permitted hereunder, no Significant Event of Default) has occurred and is continuing or would exist after giving effect thereto;</w:t>
      </w:r>
    </w:p>
    <w:p>
      <w:pPr>
        <w:spacing w:after="0" w:line="185" w:lineRule="exact"/>
        <w:rPr>
          <w:rFonts w:ascii="Arial" w:cs="Arial" w:eastAsia="Arial" w:hAnsi="Arial"/>
          <w:sz w:val="18"/>
          <w:szCs w:val="18"/>
          <w:color w:val="auto"/>
        </w:rPr>
      </w:pPr>
    </w:p>
    <w:p>
      <w:pPr>
        <w:jc w:val="both"/>
        <w:ind w:left="1480" w:right="20" w:firstLine="572"/>
        <w:spacing w:after="0" w:line="248" w:lineRule="auto"/>
        <w:tabs>
          <w:tab w:leader="none" w:pos="23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at the time that any Incremental Loan is made (and after giving effect thereto), the representations and warranties made by any Loan Party in or pursuant to the Loan Documents shall be true and correct in all material respects on and as of such date as if made on and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20"/>
          </w:cols>
          <w:pgMar w:left="360" w:top="1326" w:right="819" w:bottom="1440" w:gutter="0" w:footer="0" w:header="0"/>
        </w:sectPr>
      </w:pPr>
    </w:p>
    <w:bookmarkStart w:id="172" w:name="page173"/>
    <w:bookmarkEnd w:id="172"/>
    <w:p>
      <w:pPr>
        <w:jc w:val="both"/>
        <w:ind w:left="1480" w:right="20"/>
        <w:spacing w:after="0" w:line="253" w:lineRule="auto"/>
        <w:rPr>
          <w:sz w:val="20"/>
          <w:szCs w:val="20"/>
          <w:color w:val="auto"/>
        </w:rPr>
      </w:pPr>
      <w:r>
        <w:rPr>
          <w:rFonts w:ascii="Arial" w:cs="Arial" w:eastAsia="Arial" w:hAnsi="Arial"/>
          <w:sz w:val="17"/>
          <w:szCs w:val="17"/>
          <w:color w:val="auto"/>
        </w:rPr>
        <w:t xml:space="preserve">(except to the extent already qualified by materiality, in which case, such representations and warranties shall be true and correct in all respects), except to the extent such representations and warranties expressly relate to an earlier date, in which case such representations and warranties shall have been true and correct in all material respects as of such earlier date (except to the extent already qualified by materiality, in which case, such representations and warranties shall be true and correct in all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proceeds of any Incremental Term Loans or Incremental Revolving Loan Commitments are intended to be used to finance a Permitted Acquisition or other Investment permitted hereunder, in each case that is a Limited Condition Transaction, then the requirements set forth in this clause (iv) may be limited by the applicable Incremental Lenders to the Specified Representations;</w:t>
      </w:r>
    </w:p>
    <w:p>
      <w:pPr>
        <w:spacing w:after="0" w:line="195" w:lineRule="exact"/>
        <w:rPr>
          <w:sz w:val="20"/>
          <w:szCs w:val="20"/>
          <w:color w:val="auto"/>
        </w:rPr>
      </w:pPr>
    </w:p>
    <w:p>
      <w:pPr>
        <w:jc w:val="both"/>
        <w:ind w:left="1480" w:right="20" w:firstLine="623"/>
        <w:spacing w:after="0" w:line="269" w:lineRule="auto"/>
        <w:tabs>
          <w:tab w:leader="none" w:pos="237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Incremental Term Loans or Incremental Revolving Loan Commitments may be denominated in any Available Currency (it being understood that any such Incremental Term Loan or Incremental Revolving Loan Commitment may be utilized in Available Currencies as and to the extent provided in the applicable Incremental Amendment);</w:t>
      </w:r>
    </w:p>
    <w:p>
      <w:pPr>
        <w:spacing w:after="0" w:line="170" w:lineRule="exact"/>
        <w:rPr>
          <w:rFonts w:ascii="Arial" w:cs="Arial" w:eastAsia="Arial" w:hAnsi="Arial"/>
          <w:sz w:val="17"/>
          <w:szCs w:val="17"/>
          <w:color w:val="auto"/>
        </w:rPr>
      </w:pPr>
    </w:p>
    <w:p>
      <w:pPr>
        <w:jc w:val="both"/>
        <w:ind w:left="1480" w:right="20" w:firstLine="572"/>
        <w:spacing w:after="0" w:line="242" w:lineRule="auto"/>
        <w:tabs>
          <w:tab w:leader="none" w:pos="237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Incremental Facilities shall rank no greater than pari passu in right of payment and no greater than pari passu in right of security with the Revolving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Incremental Facility that is secured by the Collateral on a junior basis to the Obligations or that is set forth in an Incremental Agreement shall be subject to an Acceptable Intercreditor Agreement;</w:t>
      </w:r>
    </w:p>
    <w:p>
      <w:pPr>
        <w:spacing w:after="0" w:line="205" w:lineRule="exact"/>
        <w:rPr>
          <w:rFonts w:ascii="Arial" w:cs="Arial" w:eastAsia="Arial" w:hAnsi="Arial"/>
          <w:sz w:val="18"/>
          <w:szCs w:val="18"/>
          <w:color w:val="auto"/>
        </w:rPr>
      </w:pPr>
    </w:p>
    <w:p>
      <w:pPr>
        <w:jc w:val="both"/>
        <w:ind w:left="1480" w:right="20" w:firstLine="519"/>
        <w:spacing w:after="0" w:line="238" w:lineRule="auto"/>
        <w:tabs>
          <w:tab w:leader="none" w:pos="237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other than Customary Bridge Facilities and the Permitted Earlier Maturity Indebtedness Exception, Incremental Loans shall not mature prior to the Latest Maturity Date of all Classes of Commitments and Loans then in effect and, other than customary term loan A and term loan B facilities (provided that with respect to any such term loan A facilities the annual amortization thereunder shall not exceed 10%) in an aggregate principal amount not to exceed the Permitted WAL Exception, Customary Bridge Facilities and the Permitted Earlier Maturity Indebtedness Exception, Incremental Loans shall not have a Weighted Average Life to Maturity shorter than the Weighted Average Life to Maturity of all Classes of Commitments and Loans then in effect;</w:t>
      </w:r>
    </w:p>
    <w:p>
      <w:pPr>
        <w:spacing w:after="0" w:line="205" w:lineRule="exact"/>
        <w:rPr>
          <w:rFonts w:ascii="Arial" w:cs="Arial" w:eastAsia="Arial" w:hAnsi="Arial"/>
          <w:sz w:val="18"/>
          <w:szCs w:val="18"/>
          <w:color w:val="auto"/>
        </w:rPr>
      </w:pPr>
    </w:p>
    <w:p>
      <w:pPr>
        <w:jc w:val="both"/>
        <w:ind w:left="1480" w:firstLine="468"/>
        <w:spacing w:after="0" w:line="294" w:lineRule="auto"/>
        <w:tabs>
          <w:tab w:leader="none" w:pos="237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subject to clause (vii) above, (A) the amortization schedule applicable to any such Incremental Term Loans shall be determined by the Borrower and the applicable Incremental Term Lenders and (B) no such Incremental Revolving Loan Commitment shall have amortization or scheduled mandatory commitment reductions (other than at the maturity thereof);</w:t>
      </w:r>
    </w:p>
    <w:p>
      <w:pPr>
        <w:spacing w:after="0" w:line="151" w:lineRule="exact"/>
        <w:rPr>
          <w:rFonts w:ascii="Arial" w:cs="Arial" w:eastAsia="Arial" w:hAnsi="Arial"/>
          <w:sz w:val="16"/>
          <w:szCs w:val="16"/>
          <w:color w:val="auto"/>
        </w:rPr>
      </w:pPr>
    </w:p>
    <w:p>
      <w:pPr>
        <w:jc w:val="both"/>
        <w:ind w:left="1480" w:right="20" w:firstLine="571"/>
        <w:spacing w:after="0" w:line="256" w:lineRule="auto"/>
        <w:tabs>
          <w:tab w:leader="none" w:pos="237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except to the extent permitted by clauses (v), (vii) and (viii) above and clauses (x) and (xi) below, all terms and documentation with respect to any Incremental Facility (excluding any terms (x) applicable after the Latest Maturity Date or</w:t>
      </w:r>
    </w:p>
    <w:p>
      <w:pPr>
        <w:jc w:val="both"/>
        <w:ind w:left="1480" w:right="20" w:hanging="5"/>
        <w:spacing w:after="0" w:line="235" w:lineRule="auto"/>
        <w:tabs>
          <w:tab w:leader="none" w:pos="17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that are also made for the benefit of the Lenders shall (I) be substantially identical to, or no more favorable (taken as a whole) to the lenders providing such Incremental Facility than those contained in this Agreement, (II) be reasonably satisfactory to the Administrative Agent, or (III) in the case of Incremental Term Loan Commitments and Incremental Term Loans, be on customary market terms (as determined by the Borrower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of any such Incremental Facility shall not provide for any financial covenant unless such covenant shall also apply for the benefit of the Revolving Lenders;</w:t>
      </w:r>
    </w:p>
    <w:p>
      <w:pPr>
        <w:spacing w:after="0" w:line="209" w:lineRule="exact"/>
        <w:rPr>
          <w:rFonts w:ascii="Arial" w:cs="Arial" w:eastAsia="Arial" w:hAnsi="Arial"/>
          <w:sz w:val="18"/>
          <w:szCs w:val="18"/>
          <w:color w:val="auto"/>
        </w:rPr>
      </w:pPr>
    </w:p>
    <w:p>
      <w:pPr>
        <w:jc w:val="both"/>
        <w:ind w:left="1480" w:right="20" w:firstLine="622"/>
        <w:spacing w:after="0" w:line="248" w:lineRule="auto"/>
        <w:tabs>
          <w:tab w:leader="none" w:pos="237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all-in yield applicable to the Incremental Term Loans or Incremental Revolving Loan Commitments made hereunder shall be determined by the Borrower and the Incremental Term Lenders or the Incremental Revolving Lenders, as applicable;</w:t>
      </w:r>
    </w:p>
    <w:p>
      <w:pPr>
        <w:spacing w:after="0" w:line="198" w:lineRule="exact"/>
        <w:rPr>
          <w:rFonts w:ascii="Arial" w:cs="Arial" w:eastAsia="Arial" w:hAnsi="Arial"/>
          <w:sz w:val="18"/>
          <w:szCs w:val="18"/>
          <w:color w:val="auto"/>
        </w:rPr>
      </w:pPr>
    </w:p>
    <w:p>
      <w:pPr>
        <w:ind w:left="1480" w:right="20" w:firstLine="571"/>
        <w:spacing w:after="0" w:line="263" w:lineRule="auto"/>
        <w:tabs>
          <w:tab w:leader="none" w:pos="237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Incremental Facility may provide for the ability to participate (x) with respect to any voluntary prepayments, on a pro rata basis, greater than pro rata basis or less than pro 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720"/>
          </w:cols>
          <w:pgMar w:left="360" w:top="1326" w:right="819" w:bottom="1440" w:gutter="0" w:footer="0" w:header="0"/>
        </w:sectPr>
      </w:pPr>
    </w:p>
    <w:bookmarkStart w:id="173" w:name="page174"/>
    <w:bookmarkEnd w:id="173"/>
    <w:p>
      <w:pPr>
        <w:jc w:val="both"/>
        <w:ind w:left="1480" w:right="20"/>
        <w:spacing w:after="0"/>
        <w:rPr>
          <w:sz w:val="20"/>
          <w:szCs w:val="20"/>
          <w:color w:val="auto"/>
        </w:rPr>
      </w:pPr>
      <w:r>
        <w:rPr>
          <w:rFonts w:ascii="Arial" w:cs="Arial" w:eastAsia="Arial" w:hAnsi="Arial"/>
          <w:sz w:val="18"/>
          <w:szCs w:val="18"/>
          <w:color w:val="auto"/>
        </w:rPr>
        <w:t>basis with the applicable Facility and (y) with respect to any mandatory prepayments, on a pro rata basis (solely for Incremental Facilities that are secured by a lien on the Collateral that is pari passu with the lien securing the initial Facilities) or less than pro rata basis with the applicable Facility (and on a greater than pro rata basis with respect to (I) any such Incremental Facility incurred pursuant to the Permitted Earlier Maturity Indebtedness Exception or (II) prepayments of any such Incremental Facility with the proceeds of Refinancing Debt (as defined below)); and</w:t>
      </w:r>
    </w:p>
    <w:p>
      <w:pPr>
        <w:spacing w:after="0" w:line="206" w:lineRule="exact"/>
        <w:rPr>
          <w:sz w:val="20"/>
          <w:szCs w:val="20"/>
          <w:color w:val="auto"/>
        </w:rPr>
      </w:pPr>
    </w:p>
    <w:p>
      <w:pPr>
        <w:ind w:left="1480" w:right="20" w:firstLine="519"/>
        <w:spacing w:after="0" w:line="263" w:lineRule="auto"/>
        <w:tabs>
          <w:tab w:leader="none" w:pos="237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Borrower may appoint any Person (or Persons) to arrange any Incremental Facility and provide such arranger (or arrangers) any titles to such Incremental Facility as it deems appropriate.</w:t>
      </w:r>
    </w:p>
    <w:p>
      <w:pPr>
        <w:spacing w:after="0" w:line="173" w:lineRule="exact"/>
        <w:rPr>
          <w:rFonts w:ascii="Arial" w:cs="Arial" w:eastAsia="Arial" w:hAnsi="Arial"/>
          <w:sz w:val="18"/>
          <w:szCs w:val="18"/>
          <w:color w:val="auto"/>
        </w:rPr>
      </w:pPr>
    </w:p>
    <w:p>
      <w:pPr>
        <w:ind w:left="2160" w:hanging="595"/>
        <w:spacing w:after="0"/>
        <w:tabs>
          <w:tab w:leader="none" w:pos="2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jc w:val="both"/>
        <w:ind w:left="960" w:firstLine="604"/>
        <w:spacing w:after="0" w:line="265" w:lineRule="auto"/>
        <w:tabs>
          <w:tab w:leader="none" w:pos="23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Incremental Term Loans may be made, and Incremental Revolving Loan Commitments may be provided, by any existing Lender or any Additional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obligated to make all or a portion of any Incremental Term Loan or to provide all or a portion of any Incremental Revolving Loan Commitment), in each case on terms permitted in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in respect any Incremental Revolving Loan Commitments, each Issuing Lender and the Swingline Lender shall have consented (not to be unreasonably withheld or delayed) to such Lender’s making such Incremental Term Loans or providing such Incremental Revolving Loan Commitments if such consent would be required under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for an assignment of Loans or Revolving Loan Commitments, as applicable, to such Lender or Additional Lender. Commitments in respect of Incremental Term Loans and Incremental Revolving Loan Commitments shall become Commitments (or in the case of a Revolving Loan Commitment Increase elected to be provided by an existing Revolving Lender, an increase in such Lender’s applicable Revolving Loan Commitment) under this Agreement pursuant to an amendment (an “</w:t>
      </w:r>
      <w:r>
        <w:rPr>
          <w:rFonts w:ascii="Arial" w:cs="Arial" w:eastAsia="Arial" w:hAnsi="Arial"/>
          <w:sz w:val="16"/>
          <w:szCs w:val="16"/>
          <w:u w:val="single" w:color="auto"/>
          <w:color w:val="auto"/>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to this Agreement and, as appropriate, the other Loan Documents, executed by the Borrower, each Lender agreeing to provide such Commitment, if any, and each Additional Lender,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receive prior written notice of such Incremental Amendment.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including amendments to </w:t>
      </w:r>
      <w:r>
        <w:rPr>
          <w:rFonts w:ascii="Arial" w:cs="Arial" w:eastAsia="Arial" w:hAnsi="Arial"/>
          <w:sz w:val="16"/>
          <w:szCs w:val="16"/>
          <w:u w:val="single" w:color="auto"/>
          <w:color w:val="auto"/>
        </w:rPr>
        <w:t>Sections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5.1(b) that do not adversely affect the Lenders</w:t>
      </w:r>
      <w:r>
        <w:rPr>
          <w:rFonts w:ascii="Arial" w:cs="Arial" w:eastAsia="Arial" w:hAnsi="Arial"/>
          <w:sz w:val="16"/>
          <w:szCs w:val="16"/>
          <w:color w:val="auto"/>
        </w:rPr>
        <w:t xml:space="preserve">. The Borrower may agree with the Issuing Lenders to increase the sublimit for Letters of Credit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may agree with the Swingline Lender to increase the Maximum Swingline Amount, in connection with Incremental Revolving Loan Commitments. The Borrower may use the proceeds of Incremental Term Loans or Incremental Revolving Loan Commitments for any purpose not prohibited by this Agreement.</w:t>
      </w:r>
    </w:p>
    <w:p>
      <w:pPr>
        <w:spacing w:after="0" w:line="393" w:lineRule="exact"/>
        <w:rPr>
          <w:rFonts w:ascii="Arial" w:cs="Arial" w:eastAsia="Arial" w:hAnsi="Arial"/>
          <w:sz w:val="16"/>
          <w:szCs w:val="16"/>
          <w:color w:val="auto"/>
        </w:rPr>
      </w:pPr>
    </w:p>
    <w:p>
      <w:pPr>
        <w:jc w:val="both"/>
        <w:ind w:left="960" w:right="20" w:firstLine="605"/>
        <w:spacing w:after="0" w:line="251" w:lineRule="auto"/>
        <w:tabs>
          <w:tab w:leader="none" w:pos="235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Upon each increase in the Revolving Loan Commitments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each Revolving Lender immediately prior to such increase will automatically and without further act be deemed to have assigned to each Lender providing a portion of the Revolving Loan Commitment Increase (each, a “</w:t>
      </w:r>
      <w:r>
        <w:rPr>
          <w:rFonts w:ascii="Arial" w:cs="Arial" w:eastAsia="Arial" w:hAnsi="Arial"/>
          <w:sz w:val="17"/>
          <w:szCs w:val="17"/>
          <w:u w:val="single" w:color="auto"/>
          <w:color w:val="auto"/>
        </w:rPr>
        <w:t>Revolving Loan Commitment Increase Lender</w:t>
      </w:r>
      <w:r>
        <w:rPr>
          <w:rFonts w:ascii="Arial" w:cs="Arial" w:eastAsia="Arial" w:hAnsi="Arial"/>
          <w:sz w:val="17"/>
          <w:szCs w:val="17"/>
          <w:color w:val="auto"/>
        </w:rPr>
        <w:t>”) in respect of such increase, and each such Revolving Loan Commitment Increase Lender will automatically and without further act be deemed to have assumed, a portion of such Revolving Lender’s participations hereunder in outstanding Letters of Credit and Swingline Loans such that, after giving effect to each such deemed assignment and assumption of participations, the percentage of the aggregate outstanding (i) participations hereunder in Letters of Credit and (ii) participations hereunder in Swingline Loans held by each Revolving Lender (including each such Revolving Loan Commitment Increase Lender) will equal the percentage of the Total Revolving Loan Commitment represented by such Revolving Lender’s Revolving Loan Commitment and if, on the date of such increase, there are any Revolving Loans outstanding, such Revolving Loans shall on or prior to the effectiveness of such Revolving Loan Commitment Increase either be prepaid from the 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720"/>
          </w:cols>
          <w:pgMar w:left="360" w:top="1326" w:right="819" w:bottom="1440" w:gutter="0" w:footer="0" w:header="0"/>
        </w:sectPr>
      </w:pPr>
    </w:p>
    <w:bookmarkStart w:id="174" w:name="page175"/>
    <w:bookmarkEnd w:id="174"/>
    <w:p>
      <w:pPr>
        <w:jc w:val="both"/>
        <w:ind w:left="960"/>
        <w:spacing w:after="0" w:line="253" w:lineRule="auto"/>
        <w:rPr>
          <w:sz w:val="20"/>
          <w:szCs w:val="20"/>
          <w:color w:val="auto"/>
        </w:rPr>
      </w:pPr>
      <w:r>
        <w:rPr>
          <w:rFonts w:ascii="Arial" w:cs="Arial" w:eastAsia="Arial" w:hAnsi="Arial"/>
          <w:sz w:val="17"/>
          <w:szCs w:val="17"/>
          <w:color w:val="auto"/>
        </w:rPr>
        <w:t>additional Revolving Loans made hereunder or assigned to a Revolving Loan Commitment Increase Lender (in each case, reflecting such increase in Revolving Loan Commitments, such that Revolving Loans are held ratably in accordance with each Revolving Lender’s pro rata share, after giving effect to such increase), which prepayment or assignment shall be accompanied by accrued interest on the Revolving Loans being prepaid. The Administrative Agent and the Lenders hereby agree that the minimum borrowing, pro rata borrowing and pro rata payment requirements contained elsewhere in this Agreement shall not apply to the transactions effected pursuant to the immediately preceding sentence; provided that any existing Revolving Lender electing not to provide a Revolving Loan Commitment Increase shall not be required to fund amounts in an Alternate Currency in excess of such amounts it would otherwise be required to fund by virtue of the immediately preceding sentence.</w:t>
      </w:r>
    </w:p>
    <w:p>
      <w:pPr>
        <w:spacing w:after="0" w:line="195" w:lineRule="exact"/>
        <w:rPr>
          <w:sz w:val="20"/>
          <w:szCs w:val="20"/>
          <w:color w:val="auto"/>
        </w:rPr>
      </w:pPr>
    </w:p>
    <w:p>
      <w:pPr>
        <w:ind w:left="2360" w:hanging="795"/>
        <w:spacing w:after="0"/>
        <w:tabs>
          <w:tab w:leader="none" w:pos="2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13.12</w:t>
      </w:r>
      <w:r>
        <w:rPr>
          <w:rFonts w:ascii="Arial" w:cs="Arial" w:eastAsia="Arial" w:hAnsi="Arial"/>
          <w:sz w:val="17"/>
          <w:szCs w:val="17"/>
          <w:color w:val="auto"/>
        </w:rPr>
        <w:t xml:space="preserve"> to the extent they conflict with this</w:t>
      </w:r>
    </w:p>
    <w:p>
      <w:pPr>
        <w:spacing w:after="0" w:line="21"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7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u w:val="single" w:color="auto"/>
          <w:color w:val="auto"/>
        </w:rPr>
        <w:t>Loan Modification Offers</w:t>
      </w:r>
      <w:r>
        <w:rPr>
          <w:rFonts w:ascii="Arial" w:cs="Arial" w:eastAsia="Arial" w:hAnsi="Arial"/>
          <w:sz w:val="17"/>
          <w:szCs w:val="17"/>
          <w:color w:val="auto"/>
        </w:rPr>
        <w:t>.</w:t>
      </w:r>
    </w:p>
    <w:p>
      <w:pPr>
        <w:spacing w:after="0" w:line="295" w:lineRule="exact"/>
        <w:rPr>
          <w:sz w:val="20"/>
          <w:szCs w:val="20"/>
          <w:color w:val="auto"/>
        </w:rPr>
      </w:pPr>
    </w:p>
    <w:p>
      <w:pPr>
        <w:jc w:val="both"/>
        <w:ind w:left="960" w:right="20" w:firstLine="604"/>
        <w:spacing w:after="0" w:line="249" w:lineRule="auto"/>
        <w:tabs>
          <w:tab w:leader="none" w:pos="23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Borrower may on one or more occasions, by written notice to the Administrative Agent, make one or more offers (each, a “</w:t>
      </w:r>
      <w:r>
        <w:rPr>
          <w:rFonts w:ascii="Arial" w:cs="Arial" w:eastAsia="Arial" w:hAnsi="Arial"/>
          <w:sz w:val="17"/>
          <w:szCs w:val="17"/>
          <w:u w:val="single" w:color="auto"/>
          <w:color w:val="auto"/>
        </w:rPr>
        <w:t>Loan Modification Offer</w:t>
      </w:r>
      <w:r>
        <w:rPr>
          <w:rFonts w:ascii="Arial" w:cs="Arial" w:eastAsia="Arial" w:hAnsi="Arial"/>
          <w:sz w:val="17"/>
          <w:szCs w:val="17"/>
          <w:color w:val="auto"/>
        </w:rPr>
        <w:t>”) to all the Lenders of one or more Classes on the same terms to each such Lender (each Class subject to such a Loan Modification Offer, a “</w:t>
      </w:r>
      <w:r>
        <w:rPr>
          <w:rFonts w:ascii="Arial" w:cs="Arial" w:eastAsia="Arial" w:hAnsi="Arial"/>
          <w:sz w:val="17"/>
          <w:szCs w:val="17"/>
          <w:u w:val="single" w:color="auto"/>
          <w:color w:val="auto"/>
        </w:rPr>
        <w:t>Specified Class</w:t>
      </w:r>
      <w:r>
        <w:rPr>
          <w:rFonts w:ascii="Arial" w:cs="Arial" w:eastAsia="Arial" w:hAnsi="Arial"/>
          <w:sz w:val="17"/>
          <w:szCs w:val="17"/>
          <w:color w:val="auto"/>
        </w:rPr>
        <w:t xml:space="preserve">”) to make one or more Permitted Amendments pursuant to procedures reasonably specified by the Administrative Agent and reasonably acceptable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offer shall be made by the Borrower to all Lenders with Loans with a like maturity date (whether under one or more tranches)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aggregate outstanding principal amount of the applicable Loans), (ii) no Event of Default shall have occurred and be continuing at the time of any such offer, (iii) any applicable Minimum Extension Condition shall be satisfied unless waived by the Borrower and (iv) in the case of any Permitted Amendment relating to the Revolving Loan Commitments, each Issuing Lender and the Swingline Lender shall have approved such Permitted Amendment. Such notice shall set forth (i) the terms and conditions of the requested Permitted Amendment and (ii) the date on which such Permitted Amendment is requested to become effective (which shall not be less than ten (10) Business Days nor more than thirty (30) Business Days after the date of such notice, unless otherwise agreed to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assignments and participations of Specified Classes shall be governed by the same or, at the Borrower’s discretion, more restrictive assignment and participation provisions applicable to Loans set forth in </w:t>
      </w:r>
      <w:r>
        <w:rPr>
          <w:rFonts w:ascii="Arial" w:cs="Arial" w:eastAsia="Arial" w:hAnsi="Arial"/>
          <w:sz w:val="17"/>
          <w:szCs w:val="17"/>
          <w:u w:val="single" w:color="auto"/>
          <w:color w:val="auto"/>
        </w:rPr>
        <w:t>Section 13.4</w:t>
      </w:r>
      <w:r>
        <w:rPr>
          <w:rFonts w:ascii="Arial" w:cs="Arial" w:eastAsia="Arial" w:hAnsi="Arial"/>
          <w:sz w:val="17"/>
          <w:szCs w:val="17"/>
          <w:color w:val="auto"/>
        </w:rPr>
        <w:t>. Permitted Amendments shall become effective only with respect to the Loans and Commitments of the Lenders of the Specified Class that accept the applicable Loan Modification Offer (such Lenders, the “</w:t>
      </w:r>
      <w:r>
        <w:rPr>
          <w:rFonts w:ascii="Arial" w:cs="Arial" w:eastAsia="Arial" w:hAnsi="Arial"/>
          <w:sz w:val="17"/>
          <w:szCs w:val="17"/>
          <w:u w:val="single" w:color="auto"/>
          <w:color w:val="auto"/>
        </w:rPr>
        <w:t>Accepting Lenders</w:t>
      </w:r>
      <w:r>
        <w:rPr>
          <w:rFonts w:ascii="Arial" w:cs="Arial" w:eastAsia="Arial" w:hAnsi="Arial"/>
          <w:sz w:val="17"/>
          <w:szCs w:val="17"/>
          <w:color w:val="auto"/>
        </w:rPr>
        <w:t>”) and, in the case of any Accepting Lender, only with respect to such Lender’s Loans and Commitments of such Specified Class as to which such Lender’s acceptance has been made. No Lender shall have any obligation to accept any Loan Modification Offer.</w:t>
      </w:r>
    </w:p>
    <w:p>
      <w:pPr>
        <w:spacing w:after="0" w:line="198" w:lineRule="exact"/>
        <w:rPr>
          <w:rFonts w:ascii="Arial" w:cs="Arial" w:eastAsia="Arial" w:hAnsi="Arial"/>
          <w:sz w:val="17"/>
          <w:szCs w:val="17"/>
          <w:color w:val="auto"/>
        </w:rPr>
      </w:pPr>
    </w:p>
    <w:p>
      <w:pPr>
        <w:jc w:val="both"/>
        <w:ind w:left="960" w:right="20" w:firstLine="604"/>
        <w:spacing w:after="0" w:line="268" w:lineRule="auto"/>
        <w:tabs>
          <w:tab w:leader="none" w:pos="235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 Permitted Amendment shall be effected pursuant to an amendment to this Agreement (a “</w:t>
      </w:r>
      <w:r>
        <w:rPr>
          <w:rFonts w:ascii="Arial" w:cs="Arial" w:eastAsia="Arial" w:hAnsi="Arial"/>
          <w:sz w:val="16"/>
          <w:szCs w:val="16"/>
          <w:u w:val="single" w:color="auto"/>
          <w:color w:val="auto"/>
        </w:rPr>
        <w:t>Loan Modification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executed and delivered by the Borrower, each applicable Accepting Lender and the Administrative Agent. The Administrative Agent shall promptly notify each Lender as to the effectiveness of each Loan Modification Agreement. No Loan Modification Agreement shall provide for any extension of a Specified Class in an aggregate principal amount that is less than $5,000,000. Each Loan Modification Agreement may, without the consent of any Lender other than the applicable Accepting Lenders, effect such amendments to this Agreement and the other Loan Documents as may be necessary or appropriate, in the opinion of the Administrative Agent and the Borrower, to give effect to the provisions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any amendments necessary to treat the applicable Loans or Commitments of the Accepting Lenders as a new “Class” of loans or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Loan Modification Agreement may provide for (i) any Specified Class to be secured by any Collateral or other assets of any Loan Party that does not also secure the Loans and (ii) so long as any Loans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20"/>
          </w:cols>
          <w:pgMar w:left="360" w:top="1326" w:right="819" w:bottom="1440" w:gutter="0" w:footer="0" w:header="0"/>
        </w:sectPr>
      </w:pPr>
    </w:p>
    <w:bookmarkStart w:id="175" w:name="page176"/>
    <w:bookmarkEnd w:id="175"/>
    <w:p>
      <w:pPr>
        <w:jc w:val="both"/>
        <w:ind w:left="960"/>
        <w:spacing w:after="0" w:line="265" w:lineRule="auto"/>
        <w:rPr>
          <w:sz w:val="20"/>
          <w:szCs w:val="20"/>
          <w:color w:val="auto"/>
        </w:rPr>
      </w:pPr>
      <w:r>
        <w:rPr>
          <w:rFonts w:ascii="Arial" w:cs="Arial" w:eastAsia="Arial" w:hAnsi="Arial"/>
          <w:sz w:val="16"/>
          <w:szCs w:val="16"/>
          <w:color w:val="auto"/>
        </w:rPr>
        <w:t xml:space="preserve">any mandatory prepayment provisions that do not also apply to all the Loans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any Loan Modification Offer relating to Revolving Loan Commitments or Revolving Loans, except as otherwise agreed to by each Issuing Lender, (i) the allocation of the participation exposure with respect to any then-existing or subsequently issued Letter of Credit as between the commitments of such new “Class” and the remaining Revolving Loan Commitments shall be made on a ratable basis as between the commitments of such new “Class” and the remaining Revolving Loan Commitments, (ii) any new “Class” of commitments and the remaining Revolving Loan Commitments shall be subject to the provisions of </w:t>
      </w:r>
      <w:r>
        <w:rPr>
          <w:rFonts w:ascii="Arial" w:cs="Arial" w:eastAsia="Arial" w:hAnsi="Arial"/>
          <w:sz w:val="16"/>
          <w:szCs w:val="16"/>
          <w:u w:val="single" w:color="auto"/>
          <w:color w:val="auto"/>
        </w:rPr>
        <w:t>Section 2.1(f)</w:t>
      </w:r>
      <w:r>
        <w:rPr>
          <w:rFonts w:ascii="Arial" w:cs="Arial" w:eastAsia="Arial" w:hAnsi="Arial"/>
          <w:sz w:val="16"/>
          <w:szCs w:val="16"/>
          <w:color w:val="auto"/>
        </w:rPr>
        <w:t xml:space="preserve"> and</w:t>
      </w:r>
    </w:p>
    <w:p>
      <w:pPr>
        <w:spacing w:after="0" w:line="1" w:lineRule="exact"/>
        <w:rPr>
          <w:sz w:val="20"/>
          <w:szCs w:val="20"/>
          <w:color w:val="auto"/>
        </w:rPr>
      </w:pPr>
    </w:p>
    <w:p>
      <w:pPr>
        <w:ind w:left="960" w:right="20" w:firstLine="3"/>
        <w:spacing w:after="0" w:line="245" w:lineRule="auto"/>
        <w:tabs>
          <w:tab w:leader="none" w:pos="130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Revolving Loan Maturity Date may not be extended without the prior written consent of each Issuing Lender and the Swingline Lender.</w:t>
      </w:r>
    </w:p>
    <w:p>
      <w:pPr>
        <w:spacing w:after="0" w:line="200" w:lineRule="exact"/>
        <w:rPr>
          <w:rFonts w:ascii="Arial" w:cs="Arial" w:eastAsia="Arial" w:hAnsi="Arial"/>
          <w:sz w:val="18"/>
          <w:szCs w:val="18"/>
          <w:color w:val="auto"/>
        </w:rPr>
      </w:pPr>
    </w:p>
    <w:p>
      <w:pPr>
        <w:jc w:val="both"/>
        <w:ind w:left="960" w:firstLine="605"/>
        <w:spacing w:after="0" w:line="242" w:lineRule="auto"/>
        <w:tabs>
          <w:tab w:leader="none" w:pos="235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the Borrower may at its election specify as a condition (a “</w:t>
      </w:r>
      <w:r>
        <w:rPr>
          <w:rFonts w:ascii="Arial" w:cs="Arial" w:eastAsia="Arial" w:hAnsi="Arial"/>
          <w:sz w:val="18"/>
          <w:szCs w:val="18"/>
          <w:u w:val="single" w:color="auto"/>
          <w:color w:val="auto"/>
        </w:rPr>
        <w:t>Minimum 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w:t>
      </w:r>
      <w:r>
        <w:rPr>
          <w:rFonts w:ascii="Arial" w:cs="Arial" w:eastAsia="Arial" w:hAnsi="Arial"/>
          <w:sz w:val="18"/>
          <w:szCs w:val="18"/>
          <w:color w:val="auto"/>
        </w:rPr>
        <w:t>”) to consummating any such Loan Modification Agreement that a minimum amount (to be determined and specified in the relevant Loan Modification Offer in the Borrower’s sole discretion and may be waived by the Borrower) of Loans of any or all applicable Classes be extended.</w:t>
      </w:r>
    </w:p>
    <w:p>
      <w:pPr>
        <w:spacing w:after="0" w:line="193" w:lineRule="exact"/>
        <w:rPr>
          <w:rFonts w:ascii="Arial" w:cs="Arial" w:eastAsia="Arial" w:hAnsi="Arial"/>
          <w:sz w:val="18"/>
          <w:szCs w:val="18"/>
          <w:color w:val="auto"/>
        </w:rPr>
      </w:pPr>
    </w:p>
    <w:p>
      <w:pPr>
        <w:ind w:left="2160" w:hanging="595"/>
        <w:spacing w:after="0"/>
        <w:tabs>
          <w:tab w:leader="none" w:pos="2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13.12</w:t>
      </w:r>
      <w:r>
        <w:rPr>
          <w:rFonts w:ascii="Arial" w:cs="Arial" w:eastAsia="Arial" w:hAnsi="Arial"/>
          <w:sz w:val="18"/>
          <w:szCs w:val="18"/>
          <w:color w:val="auto"/>
        </w:rPr>
        <w:t xml:space="preserve"> to the contrary.</w:t>
      </w:r>
    </w:p>
    <w:p>
      <w:pPr>
        <w:spacing w:after="0" w:line="307"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Revolving Lender becomes a Defaulting Lender, then the following provisions shall apply for so long as such Revolving Lender is a Defaulting Lender:</w:t>
      </w:r>
    </w:p>
    <w:p>
      <w:pPr>
        <w:spacing w:after="0" w:line="198" w:lineRule="exact"/>
        <w:rPr>
          <w:sz w:val="20"/>
          <w:szCs w:val="20"/>
          <w:color w:val="auto"/>
        </w:rPr>
      </w:pPr>
    </w:p>
    <w:p>
      <w:pPr>
        <w:ind w:left="1560" w:right="380" w:firstLine="607"/>
        <w:spacing w:after="0" w:line="263" w:lineRule="auto"/>
        <w:tabs>
          <w:tab w:leader="none" w:pos="29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any Swingline Loans are outstanding or any Letter of Credit Outstandings exist at the time when a Revolving Lender becomes a Defaulting Lender then:</w:t>
      </w:r>
    </w:p>
    <w:p>
      <w:pPr>
        <w:spacing w:after="0" w:line="173" w:lineRule="exact"/>
        <w:rPr>
          <w:rFonts w:ascii="Arial" w:cs="Arial" w:eastAsia="Arial" w:hAnsi="Arial"/>
          <w:sz w:val="18"/>
          <w:szCs w:val="18"/>
          <w:color w:val="auto"/>
        </w:rPr>
      </w:pPr>
    </w:p>
    <w:p>
      <w:pPr>
        <w:jc w:val="both"/>
        <w:ind w:left="2160" w:right="20" w:firstLine="1211"/>
        <w:spacing w:after="0" w:line="237" w:lineRule="auto"/>
        <w:tabs>
          <w:tab w:leader="none" w:pos="356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all or any part of the participating risk in such Swingline Loans and Letter of Credit Outstandings shall be reallocated among the Revolving Lenders that are Non-Defaulting Revolving Lenders in accordance with their respective RL Percentage but only to the extent (x) the sum of all Revolving Extensions of Credit of all Revolving Lenders that are Non-Defaulting Revolving Lenders does not exceed the aggregate amount of all Revolving Loan Commitments of all Non-Defaulting Revolving Lenders, (y) immediately following the reallocation to a Revolving Lender that is a Non-Defaulting Lender, the Revolving Extensions of Credit of such Revolving Lender do not exceed its Revolving Loan Commitment at such time and (z) the conditions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are satisfied at such time;</w:t>
      </w:r>
    </w:p>
    <w:p>
      <w:pPr>
        <w:spacing w:after="0" w:line="208" w:lineRule="exact"/>
        <w:rPr>
          <w:rFonts w:ascii="Arial" w:cs="Arial" w:eastAsia="Arial" w:hAnsi="Arial"/>
          <w:sz w:val="18"/>
          <w:szCs w:val="18"/>
          <w:color w:val="auto"/>
        </w:rPr>
      </w:pPr>
    </w:p>
    <w:p>
      <w:pPr>
        <w:jc w:val="both"/>
        <w:ind w:left="2160" w:right="20" w:firstLine="1210"/>
        <w:spacing w:after="0" w:line="277" w:lineRule="auto"/>
        <w:tabs>
          <w:tab w:leader="none" w:pos="416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Borrower shall within one (1) Business Day following notice by the Administrative Agent (x) first, prepay such outstanding Swingline Loans and (y) second, Collateralize in a manner reasonably satisfactory to the applicable Issuing Lender such Defaulting Lender’s RL Percentage of all Letter of Credit Outstandings (after giving effect to any partial reallocation pursuant to clause (i) above) for so long as such Letter of Credit Outstandings exist;</w:t>
      </w:r>
    </w:p>
    <w:p>
      <w:pPr>
        <w:spacing w:after="0" w:line="179" w:lineRule="exact"/>
        <w:rPr>
          <w:rFonts w:ascii="Arial" w:cs="Arial" w:eastAsia="Arial" w:hAnsi="Arial"/>
          <w:sz w:val="16"/>
          <w:szCs w:val="16"/>
          <w:color w:val="auto"/>
        </w:rPr>
      </w:pPr>
    </w:p>
    <w:p>
      <w:pPr>
        <w:jc w:val="both"/>
        <w:ind w:left="2160" w:right="20" w:firstLine="1211"/>
        <w:spacing w:after="0" w:line="248" w:lineRule="auto"/>
        <w:tabs>
          <w:tab w:leader="none" w:pos="416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Borrower shall not be required to pay any Letter of Credit Fees to such Defaulting Lender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with respect to such Defaulting Lender’s RL Percentage of Letter of Credit Outstandings;</w:t>
      </w:r>
    </w:p>
    <w:p>
      <w:pPr>
        <w:spacing w:after="0" w:line="185" w:lineRule="exact"/>
        <w:rPr>
          <w:rFonts w:ascii="Arial" w:cs="Arial" w:eastAsia="Arial" w:hAnsi="Arial"/>
          <w:sz w:val="18"/>
          <w:szCs w:val="18"/>
          <w:color w:val="auto"/>
        </w:rPr>
      </w:pPr>
    </w:p>
    <w:p>
      <w:pPr>
        <w:jc w:val="both"/>
        <w:ind w:left="2160" w:right="20" w:firstLine="1210"/>
        <w:spacing w:after="0" w:line="294" w:lineRule="auto"/>
        <w:tabs>
          <w:tab w:leader="none" w:pos="415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if the participating risk in Letter of Credit Outstandings of the Non-Defaulting Lenders is reallocated pursuant to this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then the Letter of Credit Fees payable to the Revolving Lenders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shall be adjusted in accordance with such Non-Defaulting Lenders’ RL Percentages;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321945</wp:posOffset>
            </wp:positionV>
            <wp:extent cx="326390" cy="182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720"/>
          </w:cols>
          <w:pgMar w:left="360" w:top="1326" w:right="819" w:bottom="1440" w:gutter="0" w:footer="0" w:header="0"/>
        </w:sectPr>
      </w:pPr>
    </w:p>
    <w:bookmarkStart w:id="176" w:name="page177"/>
    <w:bookmarkEnd w:id="176"/>
    <w:p>
      <w:pPr>
        <w:jc w:val="both"/>
        <w:ind w:left="2160" w:firstLine="1210"/>
        <w:spacing w:after="0" w:line="258" w:lineRule="auto"/>
        <w:tabs>
          <w:tab w:leader="none" w:pos="4155"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if any Defaulting Lenders’ RL Percentage of Letter of Credit Outstandings is neither Collateralized nor reallocated pursuant to this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then, without prejudice to any rights or remedies of any Issuing Lender or any Revolving Lender hereunder, all Letter of Credit Fees payable under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 respect to such Defaulting Lender’s RL Percentage of Letter of Credit Outstandings shall be payable to each Issuing Lender until such portion of such Letter of Credit Outstandings is Collateralized or reallocated.</w:t>
      </w:r>
    </w:p>
    <w:p>
      <w:pPr>
        <w:spacing w:after="0" w:line="190" w:lineRule="exact"/>
        <w:rPr>
          <w:rFonts w:ascii="Arial" w:cs="Arial" w:eastAsia="Arial" w:hAnsi="Arial"/>
          <w:sz w:val="17"/>
          <w:szCs w:val="17"/>
          <w:color w:val="auto"/>
        </w:rPr>
      </w:pPr>
    </w:p>
    <w:p>
      <w:pPr>
        <w:jc w:val="both"/>
        <w:ind w:left="1560" w:firstLine="606"/>
        <w:spacing w:after="0" w:line="254" w:lineRule="auto"/>
        <w:tabs>
          <w:tab w:leader="none" w:pos="29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so long as any Revolving Lender is a Defaulting Lender (i) the Swingline Lender shall not be required to fund any Swingline Loan and no Issuing Lender shall be required to issue, amend or increase any Letter of Credit, unless the related exposure will be 100.00% covered by the Revolving Loan Commitments of the Non-Defaulting Lenders or collateral has been provided by the Borrower in accordance with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and (ii) participating interests in any such newly issued or increased Letter of Credit or newly made Swingline Loan shall be allocated among Revolving Lenders that are Non-Defaulting Lenders in a manner consistent with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(and Defaulting Lenders shall not participate therein).</w:t>
      </w:r>
    </w:p>
    <w:p>
      <w:pPr>
        <w:spacing w:after="0" w:line="181" w:lineRule="exact"/>
        <w:rPr>
          <w:rFonts w:ascii="Arial" w:cs="Arial" w:eastAsia="Arial" w:hAnsi="Arial"/>
          <w:sz w:val="17"/>
          <w:szCs w:val="17"/>
          <w:color w:val="auto"/>
        </w:rPr>
      </w:pPr>
    </w:p>
    <w:p>
      <w:pPr>
        <w:jc w:val="both"/>
        <w:ind w:left="1560" w:firstLine="606"/>
        <w:spacing w:after="0" w:line="250" w:lineRule="auto"/>
        <w:tabs>
          <w:tab w:leader="none" w:pos="29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event that the Administrative Agent, the Borrower, each Issuing Lender and the Swingline Lender each agrees that a Defaulting Lender has adequately remedied all matters that caused such Revolving Lender to be a Defaulting Lender, then (i) the risk participations in Swingline Loans and Letter of Credit Outstandings of the Revolving Lenders shall be readjusted to reflect the inclusion of such Revolving Lender’s Revolving Loan Commitments and on such date such Revolving Lender shall purchase at par such of the Revolving Loans of the other Revolving Lenders (other than Swingline Loans) as the Administrative Agent shall determine may be necessary in order for such Revolving Lender to hold such Revolving Loans in accordance with its RL Percentage and (ii) so long as no Event of Default then exists, all funds held as Cash Collateral pursuant to the Letter of Credit Back-Stop Arrangements shall thereafter be promptly returned to the Borrower. If the Revolving Loan Commitments have been terminated, all other Obligations have been paid in full and no Letters of Credit are outstanding, then, so long as no Event of Default then exists, all funds held as Cash Collateral pursuant to the Letter of Credit Back-Stop Arrangements and the Swingline Back-Stop Arrangements shall thereafter be promptly returned to the Borrower.</w:t>
      </w:r>
    </w:p>
    <w:p>
      <w:pPr>
        <w:spacing w:after="0" w:line="202" w:lineRule="exact"/>
        <w:rPr>
          <w:rFonts w:ascii="Arial" w:cs="Arial" w:eastAsia="Arial" w:hAnsi="Arial"/>
          <w:sz w:val="17"/>
          <w:szCs w:val="17"/>
          <w:color w:val="auto"/>
        </w:rPr>
      </w:pPr>
    </w:p>
    <w:p>
      <w:pPr>
        <w:jc w:val="both"/>
        <w:ind w:left="1560" w:firstLine="606"/>
        <w:spacing w:after="0" w:line="248" w:lineRule="auto"/>
        <w:tabs>
          <w:tab w:leader="none" w:pos="29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98" w:lineRule="exact"/>
        <w:rPr>
          <w:rFonts w:ascii="Arial" w:cs="Arial" w:eastAsia="Arial" w:hAnsi="Arial"/>
          <w:sz w:val="18"/>
          <w:szCs w:val="18"/>
          <w:color w:val="auto"/>
        </w:rPr>
      </w:pPr>
    </w:p>
    <w:p>
      <w:pPr>
        <w:jc w:val="both"/>
        <w:ind w:left="2160" w:firstLine="1211"/>
        <w:spacing w:after="0" w:line="236" w:lineRule="auto"/>
        <w:tabs>
          <w:tab w:leader="none" w:pos="356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shall be applied at such time or times as may be determined by the Administrative Agent as follows: first, to the payment of any amounts owing by such Defaulting Lender to the Administrative Agent hereunder; second,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each Issuing Lender or the Swingline Lender hereunder; third, to Cash Collateralize each Issuing Lender’s Fronting Exposure with respect to such Defaulting Lender in accordance with </w:t>
      </w:r>
      <w:r>
        <w:rPr>
          <w:rFonts w:ascii="Arial" w:cs="Arial" w:eastAsia="Arial" w:hAnsi="Arial"/>
          <w:sz w:val="18"/>
          <w:szCs w:val="18"/>
          <w:u w:val="single" w:color="auto"/>
          <w:color w:val="auto"/>
        </w:rPr>
        <w:t>Section 2.17(a)(ii)</w:t>
      </w:r>
      <w:r>
        <w:rPr>
          <w:rFonts w:ascii="Arial" w:cs="Arial" w:eastAsia="Arial" w:hAnsi="Arial"/>
          <w:sz w:val="18"/>
          <w:szCs w:val="18"/>
          <w:color w:val="auto"/>
        </w:rPr>
        <w:t>; fourth, as the Borrower may request (so long as no Default or Event of Default exists), to the funding of any Loan in respect of which such Defaulting Lender has failed to fund its portion thereof as required by this Agreement; fifth, if so determined by the Administrative Agent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700"/>
          </w:cols>
          <w:pgMar w:left="360" w:top="1326" w:right="839" w:bottom="1440" w:gutter="0" w:footer="0" w:header="0"/>
        </w:sectPr>
      </w:pPr>
    </w:p>
    <w:bookmarkStart w:id="177" w:name="page178"/>
    <w:bookmarkEnd w:id="177"/>
    <w:p>
      <w:pPr>
        <w:jc w:val="both"/>
        <w:ind w:left="2160"/>
        <w:spacing w:after="0" w:line="248" w:lineRule="auto"/>
        <w:rPr>
          <w:sz w:val="20"/>
          <w:szCs w:val="20"/>
          <w:color w:val="auto"/>
        </w:rPr>
      </w:pPr>
      <w:r>
        <w:rPr>
          <w:rFonts w:ascii="Arial" w:cs="Arial" w:eastAsia="Arial" w:hAnsi="Arial"/>
          <w:sz w:val="17"/>
          <w:szCs w:val="17"/>
          <w:color w:val="auto"/>
        </w:rPr>
        <w:t xml:space="preserve">to be held in a deposit account and released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order to (x) satisfy such Defaulting Lender’s potential future funding obligations with respect to Loans under this Agreement and (y) Cash Collateralize each Issuing Lender’s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2.17(a)(ii)</w:t>
      </w:r>
      <w:r>
        <w:rPr>
          <w:rFonts w:ascii="Arial" w:cs="Arial" w:eastAsia="Arial" w:hAnsi="Arial"/>
          <w:sz w:val="17"/>
          <w:szCs w:val="17"/>
          <w:color w:val="auto"/>
        </w:rPr>
        <w:t xml:space="preserve">; sixth, to the payment of any amounts owing to the Lenders, each Issuing Lender or the Swingline Lender as a result of any judgment of a court of competent jurisdiction obtained by any Lender, Issuing Lender or Swingline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were satisfied and waived, such payment shall be applied solely to pay the Loans of, and reimbursement obligations with respect to Letters of Credit owed to, all Non-Defaulting Lenders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or reimbursement obligations with respect to Letters of Credit owed to, such Defaulting Lender until such time as all Loans and funded and unfunded participations in Letters of Credit and Swingline Loans are held by the Lenders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in accordance with the applicable Commitments without giving effect to </w:t>
      </w:r>
      <w:r>
        <w:rPr>
          <w:rFonts w:ascii="Arial" w:cs="Arial" w:eastAsia="Arial" w:hAnsi="Arial"/>
          <w:sz w:val="17"/>
          <w:szCs w:val="17"/>
          <w:u w:val="single" w:color="auto"/>
          <w:color w:val="auto"/>
        </w:rPr>
        <w:t>Section 2.17(a)(i)</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2.17(d)(i)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208" w:lineRule="exact"/>
        <w:rPr>
          <w:sz w:val="20"/>
          <w:szCs w:val="20"/>
          <w:color w:val="auto"/>
        </w:rPr>
      </w:pPr>
    </w:p>
    <w:p>
      <w:pPr>
        <w:ind w:left="4180" w:hanging="809"/>
        <w:spacing w:after="0"/>
        <w:tabs>
          <w:tab w:leader="none" w:pos="4180" w:val="left"/>
        </w:tabs>
        <w:numPr>
          <w:ilvl w:val="2"/>
          <w:numId w:val="158"/>
        </w:numPr>
        <w:rPr>
          <w:rFonts w:ascii="Arial" w:cs="Arial" w:eastAsia="Arial" w:hAnsi="Arial"/>
          <w:sz w:val="17"/>
          <w:szCs w:val="17"/>
          <w:color w:val="auto"/>
        </w:rPr>
      </w:pPr>
      <w:r>
        <w:rPr>
          <w:rFonts w:ascii="Arial" w:cs="Arial" w:eastAsia="Arial" w:hAnsi="Arial"/>
          <w:sz w:val="17"/>
          <w:szCs w:val="17"/>
          <w:color w:val="auto"/>
        </w:rPr>
        <w:t xml:space="preserve">No Defaulting Lender shall be entitled to receive any fee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or</w:t>
      </w:r>
    </w:p>
    <w:p>
      <w:pPr>
        <w:spacing w:after="0" w:line="21" w:lineRule="exact"/>
        <w:rPr>
          <w:rFonts w:ascii="Arial" w:cs="Arial" w:eastAsia="Arial" w:hAnsi="Arial"/>
          <w:sz w:val="17"/>
          <w:szCs w:val="17"/>
          <w:color w:val="auto"/>
        </w:rPr>
      </w:pPr>
    </w:p>
    <w:p>
      <w:pPr>
        <w:jc w:val="both"/>
        <w:ind w:left="2160" w:firstLine="7"/>
        <w:spacing w:after="0" w:line="236" w:lineRule="auto"/>
        <w:tabs>
          <w:tab w:leader="none" w:pos="2429" w:val="left"/>
        </w:tabs>
        <w:numPr>
          <w:ilvl w:val="1"/>
          <w:numId w:val="159"/>
        </w:numPr>
        <w:rPr>
          <w:rFonts w:ascii="Arial" w:cs="Arial" w:eastAsia="Arial" w:hAnsi="Arial"/>
          <w:sz w:val="18"/>
          <w:szCs w:val="18"/>
          <w:u w:val="single" w:color="auto"/>
          <w:color w:val="auto"/>
        </w:rPr>
      </w:pPr>
      <w:r>
        <w:rPr>
          <w:rFonts w:ascii="Arial" w:cs="Arial" w:eastAsia="Arial" w:hAnsi="Arial"/>
          <w:sz w:val="18"/>
          <w:szCs w:val="18"/>
          <w:color w:val="auto"/>
        </w:rPr>
        <w:t xml:space="preserve">for any period during which that Lender is a Defaulting Lender (and the Borrower shall not be required to pay any such fee that otherwise would have been required to have been paid to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Defaulting Lender shall be entitled to receive fees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for any period during which that Lender is a Defaulting Lender only to extent allocable to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Stated Amount of Letters of Credit for which it has provided Cash Collateral pursuant to </w:t>
      </w:r>
      <w:r>
        <w:rPr>
          <w:rFonts w:ascii="Arial" w:cs="Arial" w:eastAsia="Arial" w:hAnsi="Arial"/>
          <w:sz w:val="18"/>
          <w:szCs w:val="18"/>
          <w:u w:val="single" w:color="auto"/>
          <w:color w:val="auto"/>
        </w:rPr>
        <w:t>Section 2.17(a)</w:t>
      </w:r>
      <w:r>
        <w:rPr>
          <w:rFonts w:ascii="Arial" w:cs="Arial" w:eastAsia="Arial" w:hAnsi="Arial"/>
          <w:sz w:val="18"/>
          <w:szCs w:val="18"/>
          <w:color w:val="auto"/>
        </w:rPr>
        <w:t>.</w:t>
      </w:r>
    </w:p>
    <w:p>
      <w:pPr>
        <w:spacing w:after="0" w:line="270" w:lineRule="exact"/>
        <w:rPr>
          <w:rFonts w:ascii="Arial" w:cs="Arial" w:eastAsia="Arial" w:hAnsi="Arial"/>
          <w:sz w:val="18"/>
          <w:szCs w:val="18"/>
          <w:u w:val="single" w:color="auto"/>
          <w:color w:val="auto"/>
        </w:rPr>
      </w:pPr>
    </w:p>
    <w:p>
      <w:pPr>
        <w:jc w:val="both"/>
        <w:ind w:left="2160" w:firstLine="1210"/>
        <w:spacing w:after="0" w:line="238" w:lineRule="auto"/>
        <w:tabs>
          <w:tab w:leader="none" w:pos="4166" w:val="left"/>
        </w:tabs>
        <w:numPr>
          <w:ilvl w:val="2"/>
          <w:numId w:val="159"/>
        </w:numPr>
        <w:rPr>
          <w:rFonts w:ascii="Arial" w:cs="Arial" w:eastAsia="Arial" w:hAnsi="Arial"/>
          <w:sz w:val="18"/>
          <w:szCs w:val="18"/>
          <w:color w:val="auto"/>
        </w:rPr>
      </w:pPr>
      <w:r>
        <w:rPr>
          <w:rFonts w:ascii="Arial" w:cs="Arial" w:eastAsia="Arial" w:hAnsi="Arial"/>
          <w:sz w:val="18"/>
          <w:szCs w:val="18"/>
          <w:color w:val="auto"/>
        </w:rPr>
        <w:t xml:space="preserve">With respect to any fees not required to be paid to any Defaulting Lender pursuant to clause (ii)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8"/>
          <w:szCs w:val="18"/>
          <w:u w:val="single" w:color="auto"/>
          <w:color w:val="auto"/>
        </w:rPr>
        <w:t>Section 2.17(a)(i)</w:t>
      </w:r>
      <w:r>
        <w:rPr>
          <w:rFonts w:ascii="Arial" w:cs="Arial" w:eastAsia="Arial" w:hAnsi="Arial"/>
          <w:sz w:val="18"/>
          <w:szCs w:val="18"/>
          <w:color w:val="auto"/>
        </w:rPr>
        <w:t>, (y) pay to each Issuing Lender the amount of any such fee otherwise payable to such Defaulting Lender to the extent allocable to each Issuing Lender’s Fronting Exposure to such Defaulting Lender, and (z) not be required to pay the remaining amount of any such fee.</w:t>
      </w:r>
    </w:p>
    <w:p>
      <w:pPr>
        <w:spacing w:after="0" w:line="205" w:lineRule="exact"/>
        <w:rPr>
          <w:rFonts w:ascii="Arial" w:cs="Arial" w:eastAsia="Arial" w:hAnsi="Arial"/>
          <w:sz w:val="18"/>
          <w:szCs w:val="18"/>
          <w:color w:val="auto"/>
        </w:rPr>
      </w:pPr>
    </w:p>
    <w:p>
      <w:pPr>
        <w:jc w:val="both"/>
        <w:ind w:left="1560" w:firstLine="606"/>
        <w:spacing w:after="0" w:line="248" w:lineRule="auto"/>
        <w:tabs>
          <w:tab w:leader="none" w:pos="295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the Borrower, the Administrative Agent and the Swingline Lender and each Issuing Lender agree in writing that a Lender is no longer a Defaulting Lender, the Administrative Agent will so notify the parties hereto, whereupon as of the effective date specified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700"/>
          </w:cols>
          <w:pgMar w:left="360" w:top="1326" w:right="839" w:bottom="1440" w:gutter="0" w:footer="0" w:header="0"/>
        </w:sectPr>
      </w:pPr>
    </w:p>
    <w:bookmarkStart w:id="178" w:name="page179"/>
    <w:bookmarkEnd w:id="178"/>
    <w:p>
      <w:pPr>
        <w:jc w:val="both"/>
        <w:ind w:left="1560" w:right="20"/>
        <w:spacing w:after="0" w:line="252" w:lineRule="auto"/>
        <w:rPr>
          <w:sz w:val="20"/>
          <w:szCs w:val="20"/>
          <w:color w:val="auto"/>
        </w:rPr>
      </w:pPr>
      <w:r>
        <w:rPr>
          <w:rFonts w:ascii="Arial" w:cs="Arial" w:eastAsia="Arial" w:hAnsi="Arial"/>
          <w:sz w:val="17"/>
          <w:szCs w:val="17"/>
          <w:color w:val="auto"/>
        </w:rPr>
        <w:t xml:space="preserve">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Lenders in accordance with the applicable Commitments (without giving effect to </w:t>
      </w:r>
      <w:r>
        <w:rPr>
          <w:rFonts w:ascii="Arial" w:cs="Arial" w:eastAsia="Arial" w:hAnsi="Arial"/>
          <w:sz w:val="17"/>
          <w:szCs w:val="17"/>
          <w:u w:val="single" w:color="auto"/>
          <w:color w:val="auto"/>
        </w:rPr>
        <w:t>Section 2.17(a)(i))</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97"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Refinancing Amendment</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48" w:lineRule="auto"/>
        <w:tabs>
          <w:tab w:leader="none" w:pos="18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At any time after the Closing Date, the Borrower may obtain, from any Lender or any Additional Lender, Credit Agreement Refinancing Debt in respect of (a) all or any portion of any Tranche of Term Loans then outstanding under this Agreement (which for purposes of this clause (a) will be deemed to include any then outstanding Other Term Loans) or (b) all or any portion of the Revolving Loans (or unused Revolving Loan Commitments) under this Agreement (which for purposes of this clause (b) will be deemed to include any then outstanding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effectiveness of any Refinancing Amendment shall be subject to the satisfaction on the date thereof of each of the conditions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to the extent reasonably requested by the Administrative Agent, receipt by the Administrative Agent of legal opinions, board resolutions, officers’ certificates or reaffirmation agreements consistent with those delivered on the Closing Date under </w:t>
      </w:r>
      <w:r>
        <w:rPr>
          <w:rFonts w:ascii="Arial" w:cs="Arial" w:eastAsia="Arial" w:hAnsi="Arial"/>
          <w:sz w:val="17"/>
          <w:szCs w:val="17"/>
          <w:u w:val="single" w:color="auto"/>
          <w:color w:val="auto"/>
        </w:rPr>
        <w:t>Section</w:t>
      </w:r>
    </w:p>
    <w:p>
      <w:pPr>
        <w:spacing w:after="0" w:line="2" w:lineRule="exact"/>
        <w:rPr>
          <w:rFonts w:ascii="Arial" w:cs="Arial" w:eastAsia="Arial" w:hAnsi="Arial"/>
          <w:sz w:val="17"/>
          <w:szCs w:val="17"/>
          <w:color w:val="auto"/>
        </w:rPr>
      </w:pPr>
    </w:p>
    <w:p>
      <w:pPr>
        <w:jc w:val="both"/>
        <w:ind w:left="960" w:right="20"/>
        <w:spacing w:after="0" w:line="237" w:lineRule="auto"/>
        <w:rPr>
          <w:rFonts w:ascii="Arial" w:cs="Arial" w:eastAsia="Arial" w:hAnsi="Arial"/>
          <w:sz w:val="17"/>
          <w:szCs w:val="17"/>
          <w:color w:val="auto"/>
        </w:rPr>
      </w:pPr>
      <w:r>
        <w:rPr>
          <w:rFonts w:ascii="Arial" w:cs="Arial" w:eastAsia="Arial" w:hAnsi="Arial"/>
          <w:sz w:val="18"/>
          <w:szCs w:val="18"/>
          <w:u w:val="single" w:color="auto"/>
          <w:color w:val="auto"/>
        </w:rPr>
        <w:t>7.1</w:t>
      </w:r>
      <w:r>
        <w:rPr>
          <w:rFonts w:ascii="Arial" w:cs="Arial" w:eastAsia="Arial" w:hAnsi="Arial"/>
          <w:sz w:val="18"/>
          <w:szCs w:val="18"/>
          <w:color w:val="auto"/>
        </w:rPr>
        <w:t>. Any Refinancing Amendment may provide for the issuance of Letters of Credit for the account of the Borrower or any Restricted Subsidiary, pursuant to any Other Revolving Commitments established thereby, in each case on terms substantially equivalent to the terms applicable to Letters of Credit under the Revolving Loan Commitments and subject to the approval of the Issuing Lenders.</w:t>
      </w:r>
    </w:p>
    <w:p>
      <w:pPr>
        <w:spacing w:after="0" w:line="194" w:lineRule="exact"/>
        <w:rPr>
          <w:rFonts w:ascii="Arial" w:cs="Arial" w:eastAsia="Arial" w:hAnsi="Arial"/>
          <w:sz w:val="17"/>
          <w:szCs w:val="17"/>
          <w:color w:val="auto"/>
        </w:rPr>
      </w:pPr>
    </w:p>
    <w:p>
      <w:pPr>
        <w:jc w:val="both"/>
        <w:ind w:left="960" w:right="20" w:firstLine="605"/>
        <w:spacing w:after="0" w:line="277" w:lineRule="auto"/>
        <w:tabs>
          <w:tab w:leader="none" w:pos="235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Debt incurred pursuant thereto (including any amendments necessary to treat the Loans and Commitments subject thereto as Other Term Loans, Other Revolving Loans, Other Revolving Commitments or Other Term Commitments).</w:t>
      </w:r>
    </w:p>
    <w:p>
      <w:pPr>
        <w:spacing w:after="0" w:line="179" w:lineRule="exact"/>
        <w:rPr>
          <w:rFonts w:ascii="Arial" w:cs="Arial" w:eastAsia="Arial" w:hAnsi="Arial"/>
          <w:sz w:val="16"/>
          <w:szCs w:val="16"/>
          <w:color w:val="auto"/>
        </w:rPr>
      </w:pPr>
    </w:p>
    <w:p>
      <w:pPr>
        <w:jc w:val="both"/>
        <w:ind w:left="960" w:right="20" w:firstLine="605"/>
        <w:spacing w:after="0" w:line="269" w:lineRule="auto"/>
        <w:tabs>
          <w:tab w:leader="none" w:pos="235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Any Refinancing Amendment may, without the consent of any other Lenders, effect such amendments to this Agreement, any Intercreditor Agreement (or effect a replacement of any Intercreditor Agreement) and the other Loan Documents as may be necessary or appropriate, in the reasonable opinion of the Administrative Agent and the Borrower, to effect the provisions of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In addition, if so provided in the relevant Refinancing Amendment and with the consent of the Issuing Lenders, participations in Letters of Credit expiring on or after the Revolving Loan Maturity Date shall be reallocated from Lenders holding Revolving Loans Commitments to Lenders holding extended revolving commitments in accordance with the terms of such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337185</wp:posOffset>
            </wp:positionV>
            <wp:extent cx="326390" cy="182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720"/>
          </w:cols>
          <w:pgMar w:left="360" w:top="1326" w:right="819" w:bottom="1440" w:gutter="0" w:footer="0" w:header="0"/>
        </w:sectPr>
      </w:pPr>
    </w:p>
    <w:bookmarkStart w:id="179" w:name="page180"/>
    <w:bookmarkEnd w:id="179"/>
    <w:p>
      <w:pPr>
        <w:jc w:val="both"/>
        <w:ind w:left="960" w:right="20" w:firstLine="605"/>
        <w:spacing w:after="0" w:line="248" w:lineRule="auto"/>
        <w:tabs>
          <w:tab w:leader="none" w:pos="23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13.12</w:t>
      </w:r>
      <w:r>
        <w:rPr>
          <w:rFonts w:ascii="Arial" w:cs="Arial" w:eastAsia="Arial" w:hAnsi="Arial"/>
          <w:sz w:val="18"/>
          <w:szCs w:val="18"/>
          <w:color w:val="auto"/>
        </w:rPr>
        <w:t xml:space="preserve"> to the contrary and the Borrower and the Administrative Agent may amend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to implement any Refinancing Amendment.</w:t>
      </w:r>
    </w:p>
    <w:p>
      <w:pPr>
        <w:spacing w:after="0" w:line="2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SECTION 3.</w:t>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LETTERS OF CREDIT</w:t>
      </w:r>
    </w:p>
    <w:p>
      <w:pPr>
        <w:spacing w:after="0" w:line="295"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Letters of Credit</w:t>
      </w:r>
      <w:r>
        <w:rPr>
          <w:rFonts w:ascii="Arial" w:cs="Arial" w:eastAsia="Arial" w:hAnsi="Arial"/>
          <w:sz w:val="17"/>
          <w:szCs w:val="17"/>
          <w:color w:val="auto"/>
        </w:rPr>
        <w:t>.</w:t>
      </w:r>
    </w:p>
    <w:p>
      <w:pPr>
        <w:spacing w:after="0" w:line="295" w:lineRule="exact"/>
        <w:rPr>
          <w:sz w:val="20"/>
          <w:szCs w:val="20"/>
          <w:color w:val="auto"/>
        </w:rPr>
      </w:pPr>
    </w:p>
    <w:p>
      <w:pPr>
        <w:jc w:val="both"/>
        <w:ind w:left="960" w:right="20" w:firstLine="604"/>
        <w:spacing w:after="0" w:line="251" w:lineRule="auto"/>
        <w:tabs>
          <w:tab w:leader="none" w:pos="23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Subject to and upon the terms and conditions set forth herein, the Borrower may request that an Issuing Lender issue, at any time and from time to time on and after the Closing Date and before sixty (60) days prior to the Revolving Loan Maturity Date, for the account of the Borrower and for the benefit of (x) any Person, an irrevocable standby letter of credit, in a form customarily used by such Issuing Lender or in such other form as is reasonably acceptable to such Issuing Lender, and (y) sellers of goods to the Borrower or any of its Restricted Subsidiaries, an irrevocable trade letter of credit, in a form customarily used by such Issuing Lender or in such other form as has been approved by such Issuing Lender (each such letter of credit, a “</w:t>
      </w:r>
      <w:r>
        <w:rPr>
          <w:rFonts w:ascii="Arial" w:cs="Arial" w:eastAsia="Arial" w:hAnsi="Arial"/>
          <w:sz w:val="17"/>
          <w:szCs w:val="17"/>
          <w:u w:val="single" w:color="auto"/>
          <w:color w:val="auto"/>
        </w:rPr>
        <w:t>Letter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Jefferies Finance LLC shall only be required to issue standby Letters of Credit denominated in U.S. dollars and Credit Suisse AG, Cayman Islands Branch, Barclays Bank PLC and Morgan Stanley Senior Funding, Inc. shall only be required to issue standby Letters of Credit. All Letters of Credit shall be denominated in Dollars or an Alternate Currency.</w:t>
      </w:r>
    </w:p>
    <w:p>
      <w:pPr>
        <w:spacing w:after="0" w:line="187" w:lineRule="exact"/>
        <w:rPr>
          <w:rFonts w:ascii="Arial" w:cs="Arial" w:eastAsia="Arial" w:hAnsi="Arial"/>
          <w:sz w:val="17"/>
          <w:szCs w:val="17"/>
          <w:color w:val="auto"/>
        </w:rPr>
      </w:pPr>
    </w:p>
    <w:p>
      <w:pPr>
        <w:jc w:val="both"/>
        <w:ind w:left="960" w:right="20" w:firstLine="604"/>
        <w:spacing w:after="0" w:line="262" w:lineRule="auto"/>
        <w:tabs>
          <w:tab w:leader="none" w:pos="235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Subject to and upon the terms and conditions set forth herein, each Issuing Lender agrees that it will, at any time and from time to time on and after the Closing Date and prior to the 60th day prior to the Revolving Loan Maturity Date, following its receipt of the respective Letter of Credit Request, issue for account of the Borrower, one or more Letters of Credit as are permitted to remain outstanding hereunder without giving rise to a Default or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62" w:lineRule="exact"/>
        <w:rPr>
          <w:rFonts w:ascii="Arial" w:cs="Arial" w:eastAsia="Arial" w:hAnsi="Arial"/>
          <w:sz w:val="17"/>
          <w:szCs w:val="17"/>
          <w:color w:val="auto"/>
        </w:rPr>
      </w:pPr>
    </w:p>
    <w:p>
      <w:pPr>
        <w:ind w:left="2660" w:hanging="516"/>
        <w:spacing w:after="0"/>
        <w:tabs>
          <w:tab w:leader="none" w:pos="2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Issuing Lender shall be under any obligation to issue any Letter of Credit if:</w:t>
      </w:r>
    </w:p>
    <w:p>
      <w:pPr>
        <w:spacing w:after="0" w:line="219" w:lineRule="exact"/>
        <w:rPr>
          <w:rFonts w:ascii="Arial" w:cs="Arial" w:eastAsia="Arial" w:hAnsi="Arial"/>
          <w:sz w:val="18"/>
          <w:szCs w:val="18"/>
          <w:color w:val="auto"/>
        </w:rPr>
      </w:pPr>
    </w:p>
    <w:p>
      <w:pPr>
        <w:jc w:val="both"/>
        <w:ind w:left="2160" w:right="20" w:firstLine="609"/>
        <w:spacing w:after="0" w:line="294" w:lineRule="auto"/>
        <w:tabs>
          <w:tab w:leader="none" w:pos="3556" w:val="left"/>
        </w:tabs>
        <w:numPr>
          <w:ilvl w:val="2"/>
          <w:numId w:val="163"/>
        </w:numPr>
        <w:rPr>
          <w:rFonts w:ascii="Arial" w:cs="Arial" w:eastAsia="Arial" w:hAnsi="Arial"/>
          <w:sz w:val="16"/>
          <w:szCs w:val="16"/>
          <w:color w:val="auto"/>
        </w:rPr>
      </w:pPr>
      <w:r>
        <w:rPr>
          <w:rFonts w:ascii="Arial" w:cs="Arial" w:eastAsia="Arial" w:hAnsi="Arial"/>
          <w:sz w:val="16"/>
          <w:szCs w:val="16"/>
          <w:color w:val="auto"/>
        </w:rPr>
        <w:t>the expiry date of the requested Letter of Credit would occur more than twelve months after the date of issuance, unless each of the Revolving Lenders have approved such expiry date or such Letter of Credit shall have been Collateralized or otherwise backstopped in a manner satisfactory to the applicable Issuing Lender;</w:t>
      </w:r>
    </w:p>
    <w:p>
      <w:pPr>
        <w:spacing w:after="0" w:line="163" w:lineRule="exact"/>
        <w:rPr>
          <w:rFonts w:ascii="Arial" w:cs="Arial" w:eastAsia="Arial" w:hAnsi="Arial"/>
          <w:sz w:val="16"/>
          <w:szCs w:val="16"/>
          <w:color w:val="auto"/>
        </w:rPr>
      </w:pPr>
    </w:p>
    <w:p>
      <w:pPr>
        <w:jc w:val="both"/>
        <w:ind w:left="2160" w:firstLine="609"/>
        <w:spacing w:after="0" w:line="252" w:lineRule="auto"/>
        <w:tabs>
          <w:tab w:leader="none" w:pos="3558" w:val="left"/>
        </w:tabs>
        <w:numPr>
          <w:ilvl w:val="2"/>
          <w:numId w:val="16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Lender from issuing the Letter of Credit, or any Requirement of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w:t>
      </w:r>
    </w:p>
    <w:p>
      <w:pPr>
        <w:spacing w:after="0" w:line="184" w:lineRule="exact"/>
        <w:rPr>
          <w:rFonts w:ascii="Arial" w:cs="Arial" w:eastAsia="Arial" w:hAnsi="Arial"/>
          <w:sz w:val="17"/>
          <w:szCs w:val="17"/>
          <w:color w:val="auto"/>
        </w:rPr>
      </w:pPr>
    </w:p>
    <w:p>
      <w:pPr>
        <w:jc w:val="both"/>
        <w:ind w:left="2160" w:right="20" w:firstLine="608"/>
        <w:spacing w:after="0" w:line="248" w:lineRule="auto"/>
        <w:tabs>
          <w:tab w:leader="none" w:pos="3558" w:val="left"/>
        </w:tabs>
        <w:numPr>
          <w:ilvl w:val="2"/>
          <w:numId w:val="163"/>
        </w:numPr>
        <w:rPr>
          <w:rFonts w:ascii="Arial" w:cs="Arial" w:eastAsia="Arial" w:hAnsi="Arial"/>
          <w:sz w:val="18"/>
          <w:szCs w:val="18"/>
          <w:color w:val="auto"/>
        </w:rPr>
      </w:pPr>
      <w:r>
        <w:rPr>
          <w:rFonts w:ascii="Arial" w:cs="Arial" w:eastAsia="Arial" w:hAnsi="Arial"/>
          <w:sz w:val="18"/>
          <w:szCs w:val="18"/>
          <w:color w:val="auto"/>
        </w:rPr>
        <w:t xml:space="preserve">such Issuing Lender shall have received from the Borrower, any other Loan Party or the Required Lenders prior to the issuance of such Letter of Credit notice of the type described in the third sentence of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720"/>
          </w:cols>
          <w:pgMar w:left="360" w:top="1326" w:right="819" w:bottom="1440" w:gutter="0" w:footer="0" w:header="0"/>
        </w:sectPr>
      </w:pPr>
    </w:p>
    <w:bookmarkStart w:id="180" w:name="page181"/>
    <w:bookmarkEnd w:id="180"/>
    <w:p>
      <w:pPr>
        <w:ind w:left="2160" w:firstLine="608"/>
        <w:spacing w:after="0" w:line="263" w:lineRule="auto"/>
        <w:tabs>
          <w:tab w:leader="none" w:pos="355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issuance of the Letter of Credit would violate one or more policies of such Issuing Lender applicable to letters of credit generally;</w:t>
      </w:r>
    </w:p>
    <w:p>
      <w:pPr>
        <w:spacing w:after="0" w:line="185" w:lineRule="exact"/>
        <w:rPr>
          <w:rFonts w:ascii="Arial" w:cs="Arial" w:eastAsia="Arial" w:hAnsi="Arial"/>
          <w:sz w:val="18"/>
          <w:szCs w:val="18"/>
          <w:color w:val="auto"/>
        </w:rPr>
      </w:pPr>
    </w:p>
    <w:p>
      <w:pPr>
        <w:ind w:left="3560" w:hanging="792"/>
        <w:spacing w:after="0"/>
        <w:tabs>
          <w:tab w:leader="none" w:pos="35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an Alternate</w:t>
      </w:r>
    </w:p>
    <w:p>
      <w:pPr>
        <w:spacing w:after="0" w:line="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Currency;</w:t>
      </w:r>
    </w:p>
    <w:p>
      <w:pPr>
        <w:spacing w:after="0" w:line="203" w:lineRule="exact"/>
        <w:rPr>
          <w:rFonts w:ascii="Arial" w:cs="Arial" w:eastAsia="Arial" w:hAnsi="Arial"/>
          <w:sz w:val="18"/>
          <w:szCs w:val="18"/>
          <w:color w:val="auto"/>
        </w:rPr>
      </w:pPr>
    </w:p>
    <w:p>
      <w:pPr>
        <w:jc w:val="both"/>
        <w:ind w:left="2160" w:firstLine="608"/>
        <w:spacing w:after="0" w:line="248" w:lineRule="auto"/>
        <w:tabs>
          <w:tab w:leader="none" w:pos="356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in any instance in which a Revolving Lender is at that time a Defaulting Lender, after giving effect to any automatic reallocation to cover such Defaulting Lender’s Fronting Exposure in accordance with the provisions set forth in </w:t>
      </w:r>
      <w:r>
        <w:rPr>
          <w:rFonts w:ascii="Arial" w:cs="Arial" w:eastAsia="Arial" w:hAnsi="Arial"/>
          <w:sz w:val="18"/>
          <w:szCs w:val="18"/>
          <w:u w:val="single" w:color="auto"/>
          <w:color w:val="auto"/>
        </w:rPr>
        <w:t>Section 2.17(a)(i)</w:t>
      </w:r>
      <w:r>
        <w:rPr>
          <w:rFonts w:ascii="Arial" w:cs="Arial" w:eastAsia="Arial" w:hAnsi="Arial"/>
          <w:sz w:val="18"/>
          <w:szCs w:val="18"/>
          <w:color w:val="auto"/>
        </w:rPr>
        <w:t>, such Fronting Exposure is not eliminated; or</w:t>
      </w:r>
    </w:p>
    <w:p>
      <w:pPr>
        <w:spacing w:after="0" w:line="198" w:lineRule="exact"/>
        <w:rPr>
          <w:rFonts w:ascii="Arial" w:cs="Arial" w:eastAsia="Arial" w:hAnsi="Arial"/>
          <w:sz w:val="18"/>
          <w:szCs w:val="18"/>
          <w:color w:val="auto"/>
        </w:rPr>
      </w:pPr>
    </w:p>
    <w:p>
      <w:pPr>
        <w:ind w:left="2160" w:firstLine="608"/>
        <w:spacing w:after="0" w:line="263" w:lineRule="auto"/>
        <w:tabs>
          <w:tab w:leader="none" w:pos="355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Letter of Credit contains any provisions for automatic reinstatement of the Stated Amount after any drawing thereunder;</w:t>
      </w:r>
    </w:p>
    <w:p>
      <w:pPr>
        <w:spacing w:after="0" w:line="185" w:lineRule="exact"/>
        <w:rPr>
          <w:rFonts w:ascii="Arial" w:cs="Arial" w:eastAsia="Arial" w:hAnsi="Arial"/>
          <w:sz w:val="18"/>
          <w:szCs w:val="18"/>
          <w:color w:val="auto"/>
        </w:rPr>
      </w:pPr>
    </w:p>
    <w:p>
      <w:pPr>
        <w:ind w:left="1480" w:firstLine="612"/>
        <w:spacing w:after="0" w:line="263" w:lineRule="auto"/>
        <w:tabs>
          <w:tab w:leader="none" w:pos="23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Issuing Lender shall amend any Letter of Credit if such Issuing Lender would not be permitted at such time to issue the Letter of Credit in its amended form under the terms hereof;</w:t>
      </w:r>
    </w:p>
    <w:p>
      <w:pPr>
        <w:spacing w:after="0" w:line="173" w:lineRule="exact"/>
        <w:rPr>
          <w:rFonts w:ascii="Arial" w:cs="Arial" w:eastAsia="Arial" w:hAnsi="Arial"/>
          <w:sz w:val="18"/>
          <w:szCs w:val="18"/>
          <w:color w:val="auto"/>
        </w:rPr>
      </w:pPr>
    </w:p>
    <w:p>
      <w:pPr>
        <w:jc w:val="both"/>
        <w:ind w:left="1480" w:firstLine="561"/>
        <w:spacing w:after="0" w:line="248" w:lineRule="auto"/>
        <w:tabs>
          <w:tab w:leader="none" w:pos="23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Issuing Lender shall be under any obligation to amend any Letter of Credit if (A) such Issuing Lender would have no obligation at such time to issue the Letter of Credit in its amended form under the terms hereof, or (B) the beneficiary of the Letter of Credit does not accept the proposed amendment to the Letter of Credit; and</w:t>
      </w:r>
    </w:p>
    <w:p>
      <w:pPr>
        <w:spacing w:after="0" w:line="198" w:lineRule="exact"/>
        <w:rPr>
          <w:rFonts w:ascii="Arial" w:cs="Arial" w:eastAsia="Arial" w:hAnsi="Arial"/>
          <w:sz w:val="18"/>
          <w:szCs w:val="18"/>
          <w:color w:val="auto"/>
        </w:rPr>
      </w:pPr>
    </w:p>
    <w:p>
      <w:pPr>
        <w:jc w:val="both"/>
        <w:ind w:left="1480" w:firstLine="570"/>
        <w:spacing w:after="0" w:line="255" w:lineRule="auto"/>
        <w:tabs>
          <w:tab w:leader="none" w:pos="237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each Issuing Lender shall act on behalf of the Revolving Lenders with respect to any Letters of Credit issued by it and the documents associated therewith, and such Issuing Lender shall have all of the benefits and immunities (A) provided to the Administrative Agent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with respect to any acts taken or omissions suffered by such Issuing Lender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included such Issuing Lender with respect to such acts or omissions, and (B) as additionally provided herein with respect to such Issuing Lender.</w:t>
      </w:r>
    </w:p>
    <w:p>
      <w:pPr>
        <w:spacing w:after="0" w:line="196" w:lineRule="exact"/>
        <w:rPr>
          <w:sz w:val="20"/>
          <w:szCs w:val="20"/>
          <w:color w:val="auto"/>
        </w:rPr>
      </w:pPr>
    </w:p>
    <w:p>
      <w:pPr>
        <w:jc w:val="both"/>
        <w:ind w:left="960" w:firstLine="602"/>
        <w:spacing w:after="0" w:line="23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Maximum Letter of Credit Outstandings; Final Maturities</w:t>
      </w:r>
      <w:r>
        <w:rPr>
          <w:rFonts w:ascii="Arial" w:cs="Arial" w:eastAsia="Arial" w:hAnsi="Arial"/>
          <w:sz w:val="18"/>
          <w:szCs w:val="18"/>
          <w:color w:val="auto"/>
        </w:rPr>
        <w:t>. Notwithstanding anything to the contrary contained in this Agreement, (i) no Letter of Credit shall be issued the Stated Amount of which, when added to the Letter of Credit Outstandings (exclusive of Unpaid Drawings which are repaid on the date of, and prior to the issuance of, the respective Letter of Credit) at such time would exceed either (x)</w:t>
      </w:r>
    </w:p>
    <w:p>
      <w:pPr>
        <w:spacing w:after="0" w:line="1" w:lineRule="exact"/>
        <w:rPr>
          <w:sz w:val="20"/>
          <w:szCs w:val="20"/>
          <w:color w:val="auto"/>
        </w:rPr>
      </w:pPr>
    </w:p>
    <w:p>
      <w:pPr>
        <w:jc w:val="both"/>
        <w:ind w:left="960"/>
        <w:spacing w:after="0" w:line="232" w:lineRule="auto"/>
        <w:rPr>
          <w:sz w:val="20"/>
          <w:szCs w:val="20"/>
          <w:color w:val="auto"/>
        </w:rPr>
      </w:pPr>
      <w:r>
        <w:rPr>
          <w:rFonts w:ascii="Arial" w:cs="Arial" w:eastAsia="Arial" w:hAnsi="Arial"/>
          <w:sz w:val="18"/>
          <w:szCs w:val="18"/>
          <w:color w:val="auto"/>
        </w:rPr>
        <w:t>$20,000,000 (based on the Dollar Equivalent thereof) (the “</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or (y) when added to the sum of (I) the aggregate principal amount of all Revolving Loans then outstanding and (II) the aggregate principal amount of all Swingline Loans then outstanding, an amount equal to the Total Revolving Loan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following one or more fluctuations in the Spot Currency Exchange Rate of any Alternate Currency against the Dollar at any Revaluation Date, the issuance, amendment, renewal or extension of a Letter of Credit would cause the Letter of Credit Outstandings to exceed the amounts set forth in subclauses (x) or (y) above, respectively, then (A) if such excess is in an aggregate amount that is greater than or equal to $500,000, within two (2) Business Days of notice thereof from the Administrative Agent, (B) if such excess is an aggregate amount that is less than</w:t>
      </w:r>
    </w:p>
    <w:p>
      <w:pPr>
        <w:spacing w:after="0" w:line="4" w:lineRule="exact"/>
        <w:rPr>
          <w:sz w:val="20"/>
          <w:szCs w:val="20"/>
          <w:color w:val="auto"/>
        </w:rPr>
      </w:pPr>
    </w:p>
    <w:p>
      <w:pPr>
        <w:jc w:val="both"/>
        <w:ind w:left="960"/>
        <w:spacing w:after="0" w:line="253" w:lineRule="auto"/>
        <w:rPr>
          <w:sz w:val="20"/>
          <w:szCs w:val="20"/>
          <w:color w:val="auto"/>
        </w:rPr>
      </w:pPr>
      <w:r>
        <w:rPr>
          <w:rFonts w:ascii="Arial" w:cs="Arial" w:eastAsia="Arial" w:hAnsi="Arial"/>
          <w:sz w:val="17"/>
          <w:szCs w:val="17"/>
          <w:color w:val="auto"/>
        </w:rPr>
        <w:t>$500,000 and such excess continues to exist in an aggregate amount less than $500,000 for at least five (5) Business Days, within two (2) Business Days of notice thereof from the Administrative Agent, or (C) if any Event of Default has occurred and is continuing, the Borrower shall immediately (1) make the necessary payments or repayments to reduce the applicable Obligations to an amount necessary to eliminate such excess or (2) Collateralize such Letters of Credit to the extent necessary to eliminate such excess (which Cash Collateral shall, unless the applicable Issuing Lender or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341630</wp:posOffset>
            </wp:positionV>
            <wp:extent cx="326390" cy="182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700"/>
          </w:cols>
          <w:pgMar w:left="360" w:top="1326" w:right="839" w:bottom="1440" w:gutter="0" w:footer="0" w:header="0"/>
        </w:sectPr>
      </w:pPr>
    </w:p>
    <w:bookmarkStart w:id="181" w:name="page182"/>
    <w:bookmarkEnd w:id="181"/>
    <w:p>
      <w:pPr>
        <w:ind w:left="960"/>
        <w:spacing w:after="0"/>
        <w:rPr>
          <w:sz w:val="20"/>
          <w:szCs w:val="20"/>
          <w:color w:val="auto"/>
        </w:rPr>
      </w:pPr>
      <w:r>
        <w:rPr>
          <w:rFonts w:ascii="Arial" w:cs="Arial" w:eastAsia="Arial" w:hAnsi="Arial"/>
          <w:sz w:val="16"/>
          <w:szCs w:val="16"/>
          <w:color w:val="auto"/>
        </w:rPr>
        <w:t>shall have requested that such Cash Collateral be provided in Dollars, be denominated in the currency of the applicable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326390" cy="182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200"/>
          </w:cols>
          <w:pgMar w:left="360" w:top="1264" w:right="1339" w:bottom="1440" w:gutter="0" w:footer="0" w:header="0"/>
        </w:sectPr>
      </w:pPr>
    </w:p>
    <w:bookmarkStart w:id="182" w:name="page183"/>
    <w:bookmarkEnd w:id="182"/>
    <w:p>
      <w:pPr>
        <w:jc w:val="both"/>
        <w:ind w:left="960" w:right="20"/>
        <w:spacing w:after="0" w:line="250" w:lineRule="auto"/>
        <w:rPr>
          <w:sz w:val="20"/>
          <w:szCs w:val="20"/>
          <w:color w:val="auto"/>
        </w:rPr>
      </w:pPr>
      <w:r>
        <w:rPr>
          <w:rFonts w:ascii="Arial" w:cs="Arial" w:eastAsia="Arial" w:hAnsi="Arial"/>
          <w:sz w:val="17"/>
          <w:szCs w:val="17"/>
          <w:color w:val="auto"/>
        </w:rPr>
        <w:t xml:space="preserve">of Credit);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Borrower provides Cash Collateral in Dollars to secure obligations related to Letters of Credit that are denominated in an Alternate Currency and, as a result of fluctuations in the applicable Spot Currency Exchange Rate between Dollars and such Alternate Currency, the Cash Collateral held by the Administrative Agent is less than the specified amount of Cash Collateral so required to be maintained by the Borrower, the Borrower shall, promptly following a request therefor by the Administrative Agent, deposit additional Cash Collateral equal to such shortfall to be held as Cash Collateral; (ii) no Issuing Lender shall be required to issue Letters of Credit with an aggregate Stated Amount in excess of such Issuing Lender’s pro rata share of the L/C Sublimit, determined in accordance the respective Revolving Loan Commitments of each Revolving Lender on the Closing Date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and (iii) each Letter of Credit shall by its terms terminate on or before the earlier of (x) the date which occurs twelve (12) months after the date of the issuance thereof or such later date as may be acceptable to the applicable Issuing Lender (although any such standby Letter of Credit may be extendible for successive periods of up to twelve (12) months or such later date as may be acceptable to such Issuing Lender, but, in each case, not beyond the third Business Day prior to the Revolving Loan Maturity Date, on terms acceptable to such Issuing Lender) and (y) three (3) Business Days prior to the Revolving Loan Maturity Date.</w:t>
      </w:r>
    </w:p>
    <w:p>
      <w:pPr>
        <w:spacing w:after="0" w:line="19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Letter of Credit Requests; Minimum Stated Amount.</w:t>
      </w:r>
    </w:p>
    <w:p>
      <w:pPr>
        <w:spacing w:after="0" w:line="295" w:lineRule="exact"/>
        <w:rPr>
          <w:sz w:val="20"/>
          <w:szCs w:val="20"/>
          <w:color w:val="auto"/>
        </w:rPr>
      </w:pPr>
    </w:p>
    <w:p>
      <w:pPr>
        <w:jc w:val="both"/>
        <w:ind w:left="960" w:firstLine="604"/>
        <w:spacing w:after="0"/>
        <w:tabs>
          <w:tab w:leader="none" w:pos="23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Whenever the Borrower desires that a Letter of Credit be issued for its account, an Authorized Officer of the Borrower shall give the Administrative Agent and the respective Issuing Lender (prior to 1:00 P.M. (New York City time)) at least five (5) Business Days’ (or such shorter period as is acceptable to such Issuing Lender) (including by way of facsimile or other electronic means, including pdf) written notice thereof. Each notice shall be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appropriately completed (each, a “</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jc w:val="both"/>
        <w:ind w:left="960" w:firstLine="604"/>
        <w:spacing w:after="0" w:line="248" w:lineRule="auto"/>
        <w:tabs>
          <w:tab w:leader="none" w:pos="235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making of each Letter of Credit Request shall be deemed to be a representation and warranty by the Borrower to the Lenders that such Letter of Credit may be issued in accordance with, and will not violate the requirements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Unless the respective Issuing Lender has received notice from the Borrower, any other Loan Party or the Required Lenders before it issues a Letter of Credit that one or more of the conditions specified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not then satisfied, or that the issuance of such Letter of Credit would violate </w:t>
      </w:r>
      <w:r>
        <w:rPr>
          <w:rFonts w:ascii="Arial" w:cs="Arial" w:eastAsia="Arial" w:hAnsi="Arial"/>
          <w:sz w:val="17"/>
          <w:szCs w:val="17"/>
          <w:u w:val="single" w:color="auto"/>
          <w:color w:val="auto"/>
        </w:rPr>
        <w:t>Section 3.2</w:t>
      </w:r>
      <w:r>
        <w:rPr>
          <w:rFonts w:ascii="Arial" w:cs="Arial" w:eastAsia="Arial" w:hAnsi="Arial"/>
          <w:sz w:val="17"/>
          <w:szCs w:val="17"/>
          <w:color w:val="auto"/>
        </w:rPr>
        <w:t>, then such Issuing Lender shall, subject to the terms and conditions of this Agreement, issue the requested Letter of Credit for the account of the Borrower in accordance with such Issuing Lender’s usual and customary practices. Upon the issuance of or modification or amendment to any Letter of Credit, each Issuing Lender shall promptly notify the Borrower and the Administrative Agent, in writing of such issuance, modification or amendment and such notice shall be accompanied by a copy of such Letter of Credit or the respective modification or amendment thereto, as the case may be. Promptly after receipt of such notice the Administrative Agent shall notify the L/C Participants, in writing, of such issuance, modification or amendment (and if such notification relates to the issuance of a Letter of Credit denominated in an Alternate Currency, such notice will include the Dollar Equivalent of the Stated Amount of such Letter of Credit). On the first Business Day of each month, each Issuing Lender shall furnish the Administrative Agent with a written (including via facsimile) report of the daily aggregate outstandings of Letters of Credit issued by such Issuing Lender for the immediately preceding month. Notwithstanding anything to the contrary contained in this Agreement, in the event that a Lender Default exists with respect to any Revolving Lender, no Issuing Lender shall be required to issue, renew, extend or amend any Letter of Credit, unless such Issuing Lender has entered into arrangements satisfactory to it and the Borrower to eliminate such Issuing Lender’s risk with respect to each Defaulting Lender’s participation in Letters of Credit issued by such Issuing Lender (which arrangements are hereby consented to by the Lenders), including by Collateralizing each Defaulting Lender’s RL Percentage of the Letter of Credit Outstandings with respect to such Letters of Credit (such arrangements, the “</w:t>
      </w:r>
      <w:r>
        <w:rPr>
          <w:rFonts w:ascii="Arial" w:cs="Arial" w:eastAsia="Arial" w:hAnsi="Arial"/>
          <w:sz w:val="17"/>
          <w:szCs w:val="17"/>
          <w:u w:val="single" w:color="auto"/>
          <w:color w:val="auto"/>
        </w:rPr>
        <w:t>Letter of Credit Back-Stop Arrangements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351790</wp:posOffset>
            </wp:positionV>
            <wp:extent cx="326390" cy="182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720"/>
          </w:cols>
          <w:pgMar w:left="360" w:top="1326" w:right="819" w:bottom="1440" w:gutter="0" w:footer="0" w:header="0"/>
        </w:sectPr>
      </w:pPr>
    </w:p>
    <w:bookmarkStart w:id="183" w:name="page184"/>
    <w:bookmarkEnd w:id="183"/>
    <w:p>
      <w:pPr>
        <w:jc w:val="both"/>
        <w:ind w:left="960" w:firstLine="604"/>
        <w:spacing w:after="0" w:line="248" w:lineRule="auto"/>
        <w:tabs>
          <w:tab w:leader="none" w:pos="235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initial Stated Amount of each Letter of Credit shall not be less than $100,000 (or, in the case of Letters of Credit denominated in an Alternate Currency, the Dollar Equivalent thereof) or such lesser amount as is acceptable to the respective Issuing Lender.</w:t>
      </w:r>
    </w:p>
    <w:p>
      <w:pPr>
        <w:spacing w:after="0" w:line="198"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Letter of Credit Participations</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36" w:lineRule="auto"/>
        <w:tabs>
          <w:tab w:leader="none" w:pos="23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an Issuing Lender of any Letter of Credit, such Issuing Lender shall be deemed to have sold and transferred to each L/C Participant, and each L/C Participant shall be deemed irrevocably and unconditionally to have purchased and received from such Issuing Lender, without recourse or warranty, an undivided interest and participation, to the extent of such L/C Participant’s RL Percentage, in such Letter of Credit, each drawing or payment made thereunder and the obligations of the Borrower under this Agreement with respect thereto, and any security therefor or guaranty pertaining thereto. Upon any change in the Revolving Loan Commitments or RL Percentages of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13.4</w:t>
      </w:r>
      <w:r>
        <w:rPr>
          <w:rFonts w:ascii="Arial" w:cs="Arial" w:eastAsia="Arial" w:hAnsi="Arial"/>
          <w:sz w:val="18"/>
          <w:szCs w:val="18"/>
          <w:color w:val="auto"/>
        </w:rPr>
        <w:t xml:space="preserve">, it is hereby agreed that, with respect to all outstanding Letters of Credit and Unpaid Drawings relating thereto, there shall be an automatic adjustment to the participations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to reflect the new RL Percentages of the assignor and assignee Lender, as the case may be.</w:t>
      </w:r>
    </w:p>
    <w:p>
      <w:pPr>
        <w:spacing w:after="0" w:line="274" w:lineRule="exact"/>
        <w:rPr>
          <w:rFonts w:ascii="Arial" w:cs="Arial" w:eastAsia="Arial" w:hAnsi="Arial"/>
          <w:sz w:val="18"/>
          <w:szCs w:val="18"/>
          <w:color w:val="auto"/>
        </w:rPr>
      </w:pPr>
    </w:p>
    <w:p>
      <w:pPr>
        <w:jc w:val="both"/>
        <w:ind w:left="960" w:firstLine="604"/>
        <w:spacing w:after="0" w:line="254" w:lineRule="auto"/>
        <w:tabs>
          <w:tab w:leader="none" w:pos="235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determining whether to pay under any Letter of Credit, no Issuing Lender shall have any obligation relative to the other Lenders other than to confirm that any documents required to be delivered under such Letter of Credit appear to have been delivered and that they appear to substantially comply on their face with the requirements of such Letter of Credit. Any action taken or omitted to be taken by an Issuing Lender under or in connection with any Letter of Credit issued by it shall not create for such Issuing Lender any resulting liability to the Borrower, any other Loan Party, any Lender or any other Person unless such action is taken or omitted to be taken with gross negligence or willful misconduct on the part of such Issuing Lender (as determined by a court of competent jurisdiction in a final and non-appealable decision).</w:t>
      </w:r>
    </w:p>
    <w:p>
      <w:pPr>
        <w:spacing w:after="0" w:line="181" w:lineRule="exact"/>
        <w:rPr>
          <w:rFonts w:ascii="Arial" w:cs="Arial" w:eastAsia="Arial" w:hAnsi="Arial"/>
          <w:sz w:val="17"/>
          <w:szCs w:val="17"/>
          <w:color w:val="auto"/>
        </w:rPr>
      </w:pPr>
    </w:p>
    <w:p>
      <w:pPr>
        <w:jc w:val="both"/>
        <w:ind w:left="960" w:firstLine="604"/>
        <w:spacing w:after="0" w:line="249" w:lineRule="auto"/>
        <w:tabs>
          <w:tab w:leader="none" w:pos="23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In the event that an Issuing Lender makes any payment under any Letter of Credit issued by it and the Borrower shall not have reimbursed such amount in full to such Issuing Lender pursuant to </w:t>
      </w:r>
      <w:r>
        <w:rPr>
          <w:rFonts w:ascii="Arial" w:cs="Arial" w:eastAsia="Arial" w:hAnsi="Arial"/>
          <w:sz w:val="17"/>
          <w:szCs w:val="17"/>
          <w:u w:val="single" w:color="auto"/>
          <w:color w:val="auto"/>
        </w:rPr>
        <w:t>Section 3.5(a)</w:t>
      </w:r>
      <w:r>
        <w:rPr>
          <w:rFonts w:ascii="Arial" w:cs="Arial" w:eastAsia="Arial" w:hAnsi="Arial"/>
          <w:sz w:val="17"/>
          <w:szCs w:val="17"/>
          <w:color w:val="auto"/>
        </w:rPr>
        <w:t>, such Issuing Lender shall promptly notify the Administrative Agent, which shall promptly notify each L/C Participant of such failure, and each L/C Participant shall promptly and unconditionally pay to such Issuing Lender the amount of such L/C Participant’s RL Percentage of such unreimbursed payment in Dollars (or, in respect of Letters of Credit denominated in an Alternate Currency, such Alternate Currency) and in Same Day Funds. If the Administrative Agent so notifies, prior to 12:00 Noon (New York City time) on any Business Day, any L/C Participant required to fund a payment under a Letter of Credit, such L/C Participant shall make available to the respective Issuing Lender in Dollars (or, in respect of Letters of Credit denominated in an Alternate Currency, such Alternate Currency) such L/C Participant’s RL Percentage of the amount of such payment on such Business Day in Same Day Funds. If and to the extent such L/C Participant shall not have so made its RL Percentage of the amount of such payment available to respective Issuing Lender, such L/C Participant agrees to pay to such Issuing Lender, forthwith on demand such amount, together with interest thereon, for each day from such date until the date such amount is paid to such Issuing Lender at the Overnight Rate for the first three (3) days and at the interest rate applicable to Revolving Loans that are maintained as Base Rate Loans for each day thereafter. The failure of any L/C Participant to make available to an Issuing Lender its RL Percentage of any payment under any Letter of Credit issued by such Issuing Lender shall not relieve any other L/C Participant of its obligation hereunder to make available to such Issuing Lender its RL Percentage of any payment under any Letter of Credit on the date required, as specified above, but no L/C Participant shall be responsible for the failure of any other L/C Participant to make available to such Issuing Lender such other L/C Participant’s RL Percentage of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495300</wp:posOffset>
            </wp:positionV>
            <wp:extent cx="326390" cy="182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700"/>
          </w:cols>
          <w:pgMar w:left="360" w:top="1327" w:right="839" w:bottom="1440" w:gutter="0" w:footer="0" w:header="0"/>
        </w:sectPr>
      </w:pPr>
    </w:p>
    <w:bookmarkStart w:id="184" w:name="page185"/>
    <w:bookmarkEnd w:id="184"/>
    <w:p>
      <w:pPr>
        <w:ind w:left="960" w:firstLine="604"/>
        <w:spacing w:after="0" w:line="263" w:lineRule="auto"/>
        <w:tabs>
          <w:tab w:leader="none" w:pos="23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Whenever an Issuing Lender receives a payment of a reimbursement obligation as to which it has received any payments from the L/C Participants pursuant to clause (c) above, such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700"/>
          </w:cols>
          <w:pgMar w:left="360" w:top="1264" w:right="839" w:bottom="1440" w:gutter="0" w:footer="0" w:header="0"/>
        </w:sectPr>
      </w:pPr>
    </w:p>
    <w:bookmarkStart w:id="185" w:name="page186"/>
    <w:bookmarkEnd w:id="185"/>
    <w:p>
      <w:pPr>
        <w:jc w:val="both"/>
        <w:ind w:left="960" w:right="20"/>
        <w:spacing w:after="0"/>
        <w:rPr>
          <w:sz w:val="20"/>
          <w:szCs w:val="20"/>
          <w:color w:val="auto"/>
        </w:rPr>
      </w:pPr>
      <w:r>
        <w:rPr>
          <w:rFonts w:ascii="Arial" w:cs="Arial" w:eastAsia="Arial" w:hAnsi="Arial"/>
          <w:sz w:val="18"/>
          <w:szCs w:val="18"/>
          <w:color w:val="auto"/>
        </w:rPr>
        <w:t>shall pay to each such L/C Participant which has paid its RL Percentage thereof, in Dollars (or, in respect of Letters of Credit denominated in an Alternate Currency, such Alternate Currency) and in Same Day Funds, an amount equal to such L/C Participant’s share (based upon the proportionate aggregate amount originally funded by such L/C Participant to the aggregate amount funded by all L/C Participants) of the principal amount of such reimbursement obligation and interest thereon accruing after the purchase of the respective participations.</w:t>
      </w:r>
    </w:p>
    <w:p>
      <w:pPr>
        <w:spacing w:after="0" w:line="206" w:lineRule="exact"/>
        <w:rPr>
          <w:sz w:val="20"/>
          <w:szCs w:val="20"/>
          <w:color w:val="auto"/>
        </w:rPr>
      </w:pPr>
    </w:p>
    <w:p>
      <w:pPr>
        <w:ind w:left="960" w:right="20" w:firstLine="605"/>
        <w:spacing w:after="0" w:line="293" w:lineRule="auto"/>
        <w:tabs>
          <w:tab w:leader="none" w:pos="235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Upon the request of any L/C Participant, each Issuing Lender shall furnish to such L/C Participant copies of any standby Letter of Credit issued by it and such other documentation as may reasonably be requested by such L/C Participant.</w:t>
      </w:r>
    </w:p>
    <w:p>
      <w:pPr>
        <w:spacing w:after="0" w:line="150" w:lineRule="exact"/>
        <w:rPr>
          <w:sz w:val="20"/>
          <w:szCs w:val="20"/>
          <w:color w:val="auto"/>
        </w:rPr>
      </w:pPr>
    </w:p>
    <w:p>
      <w:pPr>
        <w:jc w:val="both"/>
        <w:ind w:left="960" w:right="20" w:firstLine="602"/>
        <w:spacing w:after="0" w:line="269" w:lineRule="auto"/>
        <w:rPr>
          <w:sz w:val="20"/>
          <w:szCs w:val="20"/>
          <w:color w:val="auto"/>
        </w:rPr>
      </w:pPr>
      <w:r>
        <w:rPr>
          <w:rFonts w:ascii="Arial" w:cs="Arial" w:eastAsia="Arial" w:hAnsi="Arial"/>
          <w:sz w:val="17"/>
          <w:szCs w:val="17"/>
          <w:color w:val="auto"/>
        </w:rPr>
        <w:t>(f)The obligations of the L/C Participants to make payments to each Issuing Lender with respect to Letters of Credit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183" w:lineRule="exact"/>
        <w:rPr>
          <w:sz w:val="20"/>
          <w:szCs w:val="20"/>
          <w:color w:val="auto"/>
        </w:rPr>
      </w:pPr>
    </w:p>
    <w:p>
      <w:pPr>
        <w:ind w:left="1560" w:right="20" w:firstLine="607"/>
        <w:spacing w:after="0" w:line="263" w:lineRule="auto"/>
        <w:tabs>
          <w:tab w:leader="none" w:pos="295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Loan Documents or any reduction or termination of the Revolving Loan Commitments;</w:t>
      </w:r>
    </w:p>
    <w:p>
      <w:pPr>
        <w:spacing w:after="0" w:line="185" w:lineRule="exact"/>
        <w:rPr>
          <w:rFonts w:ascii="Arial" w:cs="Arial" w:eastAsia="Arial" w:hAnsi="Arial"/>
          <w:sz w:val="18"/>
          <w:szCs w:val="18"/>
          <w:color w:val="auto"/>
        </w:rPr>
      </w:pPr>
    </w:p>
    <w:p>
      <w:pPr>
        <w:jc w:val="both"/>
        <w:ind w:left="1560" w:firstLine="607"/>
        <w:spacing w:after="0" w:line="239" w:lineRule="auto"/>
        <w:tabs>
          <w:tab w:leader="none" w:pos="295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which the Borrower or any of its Subsidiaries may have at any time against a beneficiary named in a Letter of Credit, any transferee of any Letter of Credit (or any Person for whom any such transferee may be acting), the Administrative Agent, any L/C Participant, or any other Person, whether in connection with this Agreement, any Letter of Credit, the transactions contemplated herein or any unrelated transactions (including any underlying transaction between the Borrower or any Subsidiary and the beneficiary named in any such Letter of Credit);</w:t>
      </w:r>
    </w:p>
    <w:p>
      <w:pPr>
        <w:spacing w:after="0" w:line="192" w:lineRule="exact"/>
        <w:rPr>
          <w:rFonts w:ascii="Arial" w:cs="Arial" w:eastAsia="Arial" w:hAnsi="Arial"/>
          <w:sz w:val="18"/>
          <w:szCs w:val="18"/>
          <w:color w:val="auto"/>
        </w:rPr>
      </w:pPr>
    </w:p>
    <w:p>
      <w:pPr>
        <w:ind w:left="1560" w:right="20" w:firstLine="607"/>
        <w:spacing w:after="0" w:line="293" w:lineRule="auto"/>
        <w:tabs>
          <w:tab w:leader="none" w:pos="295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draft, certificate or any other document presented under any Letter of Credit proving to be forged, fraudulent, invalid or insufficient in any respect or any statement therein being untrue or inaccurate in any respect;</w:t>
      </w:r>
    </w:p>
    <w:p>
      <w:pPr>
        <w:spacing w:after="0" w:line="162" w:lineRule="exact"/>
        <w:rPr>
          <w:rFonts w:ascii="Arial" w:cs="Arial" w:eastAsia="Arial" w:hAnsi="Arial"/>
          <w:sz w:val="17"/>
          <w:szCs w:val="17"/>
          <w:color w:val="auto"/>
        </w:rPr>
      </w:pPr>
    </w:p>
    <w:p>
      <w:pPr>
        <w:ind w:left="1560" w:right="20" w:firstLine="607"/>
        <w:spacing w:after="0" w:line="263" w:lineRule="auto"/>
        <w:tabs>
          <w:tab w:leader="none" w:pos="295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surrender or impairment of any security for the performance or observance of any of the terms of any of the Loan Documents; or</w:t>
      </w:r>
    </w:p>
    <w:p>
      <w:pPr>
        <w:spacing w:after="0" w:line="185" w:lineRule="exact"/>
        <w:rPr>
          <w:rFonts w:ascii="Arial" w:cs="Arial" w:eastAsia="Arial" w:hAnsi="Arial"/>
          <w:sz w:val="18"/>
          <w:szCs w:val="18"/>
          <w:color w:val="auto"/>
        </w:rPr>
      </w:pPr>
    </w:p>
    <w:p>
      <w:pPr>
        <w:ind w:left="2760" w:hanging="594"/>
        <w:spacing w:after="0"/>
        <w:tabs>
          <w:tab w:leader="none" w:pos="27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1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307" w:lineRule="exact"/>
        <w:rPr>
          <w:sz w:val="20"/>
          <w:szCs w:val="20"/>
          <w:color w:val="auto"/>
        </w:rPr>
      </w:pPr>
    </w:p>
    <w:p>
      <w:pPr>
        <w:jc w:val="both"/>
        <w:ind w:left="960" w:right="20" w:firstLine="604"/>
        <w:spacing w:after="0" w:line="251" w:lineRule="auto"/>
        <w:tabs>
          <w:tab w:leader="none" w:pos="235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Borrower agrees to reimburse each Issuing Lender, by making payment to the Administrative Agent in immediately available funds at the Payment Office, for any payment or disbursement made by such Issuing Lender under any Letter of Credit issued by it (each such amount, so paid until reimbursed by the Borrower, an “</w:t>
      </w:r>
      <w:r>
        <w:rPr>
          <w:rFonts w:ascii="Arial" w:cs="Arial" w:eastAsia="Arial" w:hAnsi="Arial"/>
          <w:sz w:val="17"/>
          <w:szCs w:val="17"/>
          <w:u w:val="single" w:color="auto"/>
          <w:color w:val="auto"/>
        </w:rPr>
        <w:t>Unpaid Drawing</w:t>
      </w:r>
      <w:r>
        <w:rPr>
          <w:rFonts w:ascii="Arial" w:cs="Arial" w:eastAsia="Arial" w:hAnsi="Arial"/>
          <w:sz w:val="17"/>
          <w:szCs w:val="17"/>
          <w:color w:val="auto"/>
        </w:rPr>
        <w:t>”), not later than (x) one (1) Business Day following receipt by the Borrower of notice of such payment or disbursement if such notice is received on or prior to 11:00 A.M. (New York City time) or (y) two (2) Business Days following receipt by the Borrower of notice of such payment or disbursement if such notice is received after 11:00 A.M. (New York City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notice shall be required to be given if an Event of Default under </w:t>
      </w:r>
      <w:r>
        <w:rPr>
          <w:rFonts w:ascii="Arial" w:cs="Arial" w:eastAsia="Arial" w:hAnsi="Arial"/>
          <w:sz w:val="17"/>
          <w:szCs w:val="17"/>
          <w:u w:val="single" w:color="auto"/>
          <w:color w:val="auto"/>
        </w:rPr>
        <w:t>Section 11.1(f)</w:t>
      </w:r>
      <w:r>
        <w:rPr>
          <w:rFonts w:ascii="Arial" w:cs="Arial" w:eastAsia="Arial" w:hAnsi="Arial"/>
          <w:sz w:val="17"/>
          <w:szCs w:val="17"/>
          <w:color w:val="auto"/>
        </w:rPr>
        <w:t xml:space="preserve"> shall have occurred and be continuing, in which case the Unpaid Drawing shall be due and payable immediately without presentment, demand, protest or notice of any kind (all of which are hereby waived by the Borrower)), with interest on the amount so paid or disbursed by such Issuing Lender, to the extent not reimbursed prior to 12:00 Noon (New York City time) on the date of such payment or disbursement, from and including the date paid or disbursed to but excluding the date such Issuing Lender was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720"/>
          </w:cols>
          <w:pgMar w:left="360" w:top="1326" w:right="819" w:bottom="1440" w:gutter="0" w:footer="0" w:header="0"/>
        </w:sectPr>
      </w:pPr>
    </w:p>
    <w:bookmarkStart w:id="186" w:name="page187"/>
    <w:bookmarkEnd w:id="186"/>
    <w:p>
      <w:pPr>
        <w:jc w:val="both"/>
        <w:ind w:left="960"/>
        <w:spacing w:after="0" w:line="249" w:lineRule="auto"/>
        <w:rPr>
          <w:sz w:val="20"/>
          <w:szCs w:val="20"/>
          <w:color w:val="auto"/>
        </w:rPr>
      </w:pPr>
      <w:r>
        <w:rPr>
          <w:rFonts w:ascii="Arial" w:cs="Arial" w:eastAsia="Arial" w:hAnsi="Arial"/>
          <w:sz w:val="17"/>
          <w:szCs w:val="17"/>
          <w:color w:val="auto"/>
        </w:rPr>
        <w:t xml:space="preserve">by the Borrower therefor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the Base Rate as in effect from time to time plus the Applicable Margin as in effect from time to time for Revolving Loans that are maintained as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to the extent such amounts are not reimbursed prior to 12:00 Noon (New York City time) on the date that is three (3) Business Days following the receipt by the Borrower of notice of such payment or disbursement or following the occurrence of a Default or an Event of Default under </w:t>
      </w:r>
      <w:r>
        <w:rPr>
          <w:rFonts w:ascii="Arial" w:cs="Arial" w:eastAsia="Arial" w:hAnsi="Arial"/>
          <w:sz w:val="17"/>
          <w:szCs w:val="17"/>
          <w:u w:val="single" w:color="auto"/>
          <w:color w:val="auto"/>
        </w:rPr>
        <w:t>Section 11.1(f)</w:t>
      </w:r>
      <w:r>
        <w:rPr>
          <w:rFonts w:ascii="Arial" w:cs="Arial" w:eastAsia="Arial" w:hAnsi="Arial"/>
          <w:sz w:val="17"/>
          <w:szCs w:val="17"/>
          <w:color w:val="auto"/>
        </w:rPr>
        <w:t xml:space="preserve">, interest shall thereafter accrue on the amounts so paid or disbursed by such Issuing Lender (and until reimbursed by the Borrower)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the Base Rate as in effect from time to time plus the Applicable Margin for Revolving Loans that are maintained as Base Rate Loans as in effect from time to time plus 2.00%, with such interest to be payable on demand. Each Issuing Lender shall give the Borrower prompt written notice of each Drawing under any Letter of Credit issued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any such notice shall in no way affect, impair or diminish the Borrower’s obligations hereunder. In the case of a Letter of Credit denominated in Dollars, the Borrower shall reimburse the applicable Issuing Lender in Dollars. In the case of a Letter of Credit denominated in an Alternate Currency, the Borrower shall reimburse the relevant Issuing Lender in such Alternate Currency, unless (x) such Issuing Lender (at its option) shall have specified in such notice that it will require reimbursement in Dollars, or (y) in the absence of any such requirement for reimbursement in Dollars, the Borrower shall have notified such Issuing Lender promptly following receipt of the notice of drawing that the Borrower will reimburse such Issuing Lender in Dollars. In the case of any such reimbursement in Dollars of a drawing as of the applicable Revaluation Date under a Letter of Credit denominated in an Alternate Currency, the relevant Issuing Lender shall notify the Borrower of the Dollar Equivalent of the amount of the drawing promptly following the determination thereof.</w:t>
      </w:r>
    </w:p>
    <w:p>
      <w:pPr>
        <w:spacing w:after="0" w:line="201" w:lineRule="exact"/>
        <w:rPr>
          <w:sz w:val="20"/>
          <w:szCs w:val="20"/>
          <w:color w:val="auto"/>
        </w:rPr>
      </w:pPr>
    </w:p>
    <w:p>
      <w:pPr>
        <w:jc w:val="both"/>
        <w:ind w:left="960" w:right="20" w:firstLine="604"/>
        <w:spacing w:after="0" w:line="248" w:lineRule="auto"/>
        <w:tabs>
          <w:tab w:leader="none" w:pos="235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obligations of the Borrower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to reimburse each Issuing Lender with respect to drafts, demands and other presentations for payment under Letters of Credit issued by it (each, a “</w:t>
      </w:r>
      <w:r>
        <w:rPr>
          <w:rFonts w:ascii="Arial" w:cs="Arial" w:eastAsia="Arial" w:hAnsi="Arial"/>
          <w:sz w:val="18"/>
          <w:szCs w:val="18"/>
          <w:u w:val="single" w:color="auto"/>
          <w:color w:val="auto"/>
        </w:rPr>
        <w:t>Drawing</w:t>
      </w:r>
      <w:r>
        <w:rPr>
          <w:rFonts w:ascii="Arial" w:cs="Arial" w:eastAsia="Arial" w:hAnsi="Arial"/>
          <w:sz w:val="18"/>
          <w:szCs w:val="18"/>
          <w:color w:val="auto"/>
        </w:rPr>
        <w:t>”) (including, in each case, interest thereon) shall be absolute and unconditional under any and all circumstances, including the following:</w:t>
      </w:r>
    </w:p>
    <w:p>
      <w:pPr>
        <w:spacing w:after="0" w:line="185" w:lineRule="exact"/>
        <w:rPr>
          <w:rFonts w:ascii="Arial" w:cs="Arial" w:eastAsia="Arial" w:hAnsi="Arial"/>
          <w:sz w:val="18"/>
          <w:szCs w:val="18"/>
          <w:color w:val="auto"/>
        </w:rPr>
      </w:pPr>
    </w:p>
    <w:p>
      <w:pPr>
        <w:ind w:left="2360" w:hanging="216"/>
        <w:spacing w:after="0"/>
        <w:tabs>
          <w:tab w:leader="none" w:pos="23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Loan Document;</w:t>
      </w:r>
    </w:p>
    <w:p>
      <w:pPr>
        <w:spacing w:after="0" w:line="243" w:lineRule="exact"/>
        <w:rPr>
          <w:rFonts w:ascii="Arial" w:cs="Arial" w:eastAsia="Arial" w:hAnsi="Arial"/>
          <w:sz w:val="17"/>
          <w:szCs w:val="17"/>
          <w:color w:val="auto"/>
        </w:rPr>
      </w:pPr>
    </w:p>
    <w:p>
      <w:pPr>
        <w:jc w:val="both"/>
        <w:ind w:left="1480" w:right="20" w:firstLine="612"/>
        <w:spacing w:after="0"/>
        <w:tabs>
          <w:tab w:leader="none" w:pos="23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relevant Issuing Lender or any other Person, whether in connection with this Agreement, the transactions contemplated hereby or by such Letter of Credit or any agreement or instrument relating thereto, or any unrelated transaction;</w:t>
      </w:r>
    </w:p>
    <w:p>
      <w:pPr>
        <w:spacing w:after="0" w:line="206" w:lineRule="exact"/>
        <w:rPr>
          <w:rFonts w:ascii="Arial" w:cs="Arial" w:eastAsia="Arial" w:hAnsi="Arial"/>
          <w:sz w:val="18"/>
          <w:szCs w:val="18"/>
          <w:color w:val="auto"/>
        </w:rPr>
      </w:pPr>
    </w:p>
    <w:p>
      <w:pPr>
        <w:jc w:val="both"/>
        <w:ind w:left="1480" w:right="20" w:firstLine="561"/>
        <w:spacing w:after="0" w:line="242" w:lineRule="auto"/>
        <w:tabs>
          <w:tab w:leader="none" w:pos="23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93" w:lineRule="exact"/>
        <w:rPr>
          <w:rFonts w:ascii="Arial" w:cs="Arial" w:eastAsia="Arial" w:hAnsi="Arial"/>
          <w:sz w:val="18"/>
          <w:szCs w:val="18"/>
          <w:color w:val="auto"/>
        </w:rPr>
      </w:pPr>
    </w:p>
    <w:p>
      <w:pPr>
        <w:jc w:val="both"/>
        <w:ind w:left="1480" w:right="20" w:firstLine="571"/>
        <w:spacing w:after="0" w:line="248" w:lineRule="auto"/>
        <w:tabs>
          <w:tab w:leader="none" w:pos="23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waiver by the relevant Issuing Lender of any requirement that exists for such Issuing Lender’s protection and not the protection of the Borrower or any waiver by the relevant Issuing Lender which does not in fact materially prejudice the Borrower;</w:t>
      </w:r>
    </w:p>
    <w:p>
      <w:pPr>
        <w:spacing w:after="0" w:line="198" w:lineRule="exact"/>
        <w:rPr>
          <w:rFonts w:ascii="Arial" w:cs="Arial" w:eastAsia="Arial" w:hAnsi="Arial"/>
          <w:sz w:val="18"/>
          <w:szCs w:val="18"/>
          <w:color w:val="auto"/>
        </w:rPr>
      </w:pPr>
    </w:p>
    <w:p>
      <w:pPr>
        <w:ind w:left="1480" w:right="20" w:firstLine="622"/>
        <w:spacing w:after="0" w:line="263" w:lineRule="auto"/>
        <w:tabs>
          <w:tab w:leader="none" w:pos="23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 form of a draft;</w:t>
      </w:r>
    </w:p>
    <w:p>
      <w:pPr>
        <w:spacing w:after="0" w:line="185" w:lineRule="exact"/>
        <w:rPr>
          <w:rFonts w:ascii="Arial" w:cs="Arial" w:eastAsia="Arial" w:hAnsi="Arial"/>
          <w:sz w:val="18"/>
          <w:szCs w:val="18"/>
          <w:color w:val="auto"/>
        </w:rPr>
      </w:pPr>
    </w:p>
    <w:p>
      <w:pPr>
        <w:ind w:left="1480" w:right="20" w:firstLine="571"/>
        <w:spacing w:after="0" w:line="263" w:lineRule="auto"/>
        <w:tabs>
          <w:tab w:leader="none" w:pos="23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payment made by the relevant Issuing Lender in respect of an otherwise complying item presented after the date specified as the expiration date of, or the date by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720"/>
          </w:cols>
          <w:pgMar w:left="360" w:top="1327" w:right="819" w:bottom="1440" w:gutter="0" w:footer="0" w:header="0"/>
        </w:sectPr>
      </w:pPr>
    </w:p>
    <w:bookmarkStart w:id="187" w:name="page188"/>
    <w:bookmarkEnd w:id="187"/>
    <w:p>
      <w:pPr>
        <w:ind w:left="1480" w:right="160"/>
        <w:spacing w:after="0" w:line="263" w:lineRule="auto"/>
        <w:rPr>
          <w:sz w:val="20"/>
          <w:szCs w:val="20"/>
          <w:color w:val="auto"/>
        </w:rPr>
      </w:pPr>
      <w:r>
        <w:rPr>
          <w:rFonts w:ascii="Arial" w:cs="Arial" w:eastAsia="Arial" w:hAnsi="Arial"/>
          <w:sz w:val="18"/>
          <w:szCs w:val="18"/>
          <w:color w:val="auto"/>
        </w:rPr>
        <w:t>documents must be received under such Letter of Credit if presentation after such date is authorized by the UCC, the ISP or the UCP, as applicable;</w:t>
      </w:r>
    </w:p>
    <w:p>
      <w:pPr>
        <w:spacing w:after="0" w:line="186" w:lineRule="exact"/>
        <w:rPr>
          <w:sz w:val="20"/>
          <w:szCs w:val="20"/>
          <w:color w:val="auto"/>
        </w:rPr>
      </w:pPr>
    </w:p>
    <w:p>
      <w:pPr>
        <w:jc w:val="both"/>
        <w:ind w:left="1480" w:right="20" w:firstLine="519"/>
        <w:spacing w:after="0" w:line="258" w:lineRule="auto"/>
        <w:tabs>
          <w:tab w:leader="none" w:pos="237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payment by the relevant Issuing Lender under such Letter of Credit against presentation of a draft or certificate that does not strictly comply with the terms of such Letter of Credit; or any payment made by the relevant Issuing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8" w:lineRule="exact"/>
        <w:rPr>
          <w:rFonts w:ascii="Arial" w:cs="Arial" w:eastAsia="Arial" w:hAnsi="Arial"/>
          <w:sz w:val="17"/>
          <w:szCs w:val="17"/>
          <w:color w:val="auto"/>
        </w:rPr>
      </w:pPr>
    </w:p>
    <w:p>
      <w:pPr>
        <w:ind w:left="1480" w:right="20" w:firstLine="469"/>
        <w:spacing w:after="0" w:line="263" w:lineRule="auto"/>
        <w:tabs>
          <w:tab w:leader="none" w:pos="23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Alternate Currency to the Borrower or any Subsidiary or in the relevant currency markets generally; or</w:t>
      </w:r>
    </w:p>
    <w:p>
      <w:pPr>
        <w:spacing w:after="0" w:line="185" w:lineRule="exact"/>
        <w:rPr>
          <w:rFonts w:ascii="Arial" w:cs="Arial" w:eastAsia="Arial" w:hAnsi="Arial"/>
          <w:sz w:val="18"/>
          <w:szCs w:val="18"/>
          <w:color w:val="auto"/>
        </w:rPr>
      </w:pPr>
    </w:p>
    <w:p>
      <w:pPr>
        <w:jc w:val="both"/>
        <w:ind w:left="1480" w:right="20" w:firstLine="572"/>
        <w:spacing w:after="0" w:line="248" w:lineRule="auto"/>
        <w:tabs>
          <w:tab w:leader="none" w:pos="23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98" w:lineRule="exact"/>
        <w:rPr>
          <w:sz w:val="20"/>
          <w:szCs w:val="20"/>
          <w:color w:val="auto"/>
        </w:rPr>
      </w:pPr>
    </w:p>
    <w:p>
      <w:pPr>
        <w:jc w:val="both"/>
        <w:ind w:left="960" w:right="2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obligated to reimburse any Issuing Lender for any wrongful payment made by such Issuing Lender under a Letter of Credit issued by it as a result of acts or omissions constituting willful misconduct or gross negligence on the part of such Issuing Lender (as determined by a court of competent jurisdiction in a final and non-appealable decision).</w:t>
      </w:r>
    </w:p>
    <w:p>
      <w:pPr>
        <w:spacing w:after="0" w:line="151"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Increased Costs</w:t>
      </w:r>
      <w:r>
        <w:rPr>
          <w:rFonts w:ascii="Arial" w:cs="Arial" w:eastAsia="Arial" w:hAnsi="Arial"/>
          <w:sz w:val="17"/>
          <w:szCs w:val="17"/>
          <w:color w:val="auto"/>
        </w:rPr>
        <w:t xml:space="preserve">. If at any time after the Closing Date, the introduction of or any change in any applicable law, rule, regulation, order, guideline or request or in the interpretation or administration thereof by the NAIC or any Governmental Authority charged with the interpretation or administration thereof, or compliance by any Issuing Lender or any L/C Participant with any request or directive by the NAIC or by any such Governmental Authority (whether or not having the force of law), shall either (i) impose, modify or make applicable any reserve, deposit, capital adequacy or liquidity or similar requirement against letters of credit issued by any Issuing Lender or participated in by any L/C Participant, or (ii) impose on any Issuing Lender or any L/C Participant any cost or other conditions relating, directly or indirectly, to this Agreement or any Letter of Credit; and the result of any of the foregoing is to increase the cost to any Issuing Lender or any L/C Participant of issuing, maintaining or participating in any Letter of Credit, or reduce the amount of any sum received or receivable by any Issuing Lender or any L/C Participant hereunder or reduce the rate of return on its capital with respect to Letters of Credit, then, upon the delivery of the certificate referred to below to the Borrower by any Issuing Lender or any L/C Participant (a copy of which certificate shall be sent by such Issuing Lender or such L/C Participant to the Administrative Agent), the Borrower agrees to pay to such Issuing Lender or such L/C Participant such additional amount or amounts as will compensate such Issuing Lender or such L/C Participant for such increased cost or reduction in the amount receivable or reduction on the rate of return on its capital. Any Issuing Lender or any L/C Participant, upon determining that any additional amounts will be payable to it pursuant to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will give prompt written notice thereof to the Borrower, which notice shall include a certificate submitted to the Borrower by such Issuing Lender or such L/C Participant (a copy of which certificate shall be sent by such Issuing Lender or such L/C Participant to the Administrative Agent), setting forth in reasonable detail the basis for the calculation of such additional amount or amounts necessary to compensate such Issuing Lender or such L/C Participant. The certificate required to be delivered pursuant to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shall, absent manifest error, be final and conclusive and binding on the Borrower.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shall not apply to any Indemnified Taxes or Other Taxes (each of which are provided for in </w:t>
      </w:r>
      <w:r>
        <w:rPr>
          <w:rFonts w:ascii="Arial" w:cs="Arial" w:eastAsia="Arial" w:hAnsi="Arial"/>
          <w:sz w:val="17"/>
          <w:szCs w:val="17"/>
          <w:u w:val="single" w:color="auto"/>
          <w:color w:val="auto"/>
        </w:rPr>
        <w:t>Section 5.5</w:t>
      </w:r>
      <w:r>
        <w:rPr>
          <w:rFonts w:ascii="Arial" w:cs="Arial" w:eastAsia="Arial" w:hAnsi="Arial"/>
          <w:sz w:val="17"/>
          <w:szCs w:val="17"/>
          <w:color w:val="auto"/>
        </w:rPr>
        <w:t>) or any Excluded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350520</wp:posOffset>
            </wp:positionV>
            <wp:extent cx="326390" cy="182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720"/>
          </w:cols>
          <w:pgMar w:left="360" w:top="1326" w:right="819" w:bottom="1440" w:gutter="0" w:footer="0" w:header="0"/>
        </w:sectPr>
      </w:pPr>
    </w:p>
    <w:bookmarkStart w:id="188" w:name="page189"/>
    <w:bookmarkEnd w:id="188"/>
    <w:p>
      <w:pPr>
        <w:jc w:val="both"/>
        <w:ind w:left="960" w:right="20" w:firstLine="602"/>
        <w:spacing w:after="0" w:line="251"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relevant Issuing Lender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no Issuing Lender shall be responsible to the Borrower for, and no Issuing Lender’s rights or remedies against the Borrower shall be impaired by, any action or inaction of such Issuing Lender required or permitted under any law, order, or practice that is required or permitted to be applied to any Letter of Credit or this Agreement, including the Requirement of Law or any order of a jurisdiction where such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SECTION 4.</w:t>
      </w:r>
    </w:p>
    <w:p>
      <w:pPr>
        <w:spacing w:after="0" w:line="219"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COMMITMENT FEES; FEES; REDUCTIONS OF COMMITMENTS</w:t>
      </w:r>
    </w:p>
    <w:p>
      <w:pPr>
        <w:spacing w:after="0" w:line="295"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95" w:lineRule="exact"/>
        <w:rPr>
          <w:sz w:val="20"/>
          <w:szCs w:val="20"/>
          <w:color w:val="auto"/>
        </w:rPr>
      </w:pPr>
    </w:p>
    <w:p>
      <w:pPr>
        <w:jc w:val="both"/>
        <w:ind w:left="960" w:firstLine="604"/>
        <w:spacing w:after="0" w:line="251" w:lineRule="auto"/>
        <w:tabs>
          <w:tab w:leader="none" w:pos="23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distribution to each Non- Defaulting Revolving Lender a commitment fee for the period from and including the Closing Date to and including the Revolving Loan Maturity Date (or such earlier date on which the Total Revolving Loan Commitment has been terminated) computed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0.35% of the daily Unutilized Revolving Loan Commitment in respect of such Non-Defaulting Revolving Lender’s Revolving Loan Commitment as in effect from time to time (“</w:t>
      </w:r>
      <w:r>
        <w:rPr>
          <w:rFonts w:ascii="Arial" w:cs="Arial" w:eastAsia="Arial" w:hAnsi="Arial"/>
          <w:sz w:val="17"/>
          <w:szCs w:val="17"/>
          <w:u w:val="single" w:color="auto"/>
          <w:color w:val="auto"/>
        </w:rPr>
        <w:t>Commitment Fees</w:t>
      </w:r>
      <w:r>
        <w:rPr>
          <w:rFonts w:ascii="Arial" w:cs="Arial" w:eastAsia="Arial" w:hAnsi="Arial"/>
          <w:sz w:val="17"/>
          <w:szCs w:val="17"/>
          <w:color w:val="auto"/>
        </w:rPr>
        <w:t xml:space="preserve">”). From and after the delivery by the Borrower to the Administrative Agent of financial statements required by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for the first full fiscal quarter after the Closing Date, the Commitment Fees shall be reduced to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0.25% of the daily Unutilized Revolving Loan Commitment if the Total Net First Lien Leverage Ratio is less than or equal to 3.50 to 1.00. Accrued Commitment Fees shall be due and payable quarterly in arrears on each Quarterly Payment Date and on the date upon which the Total Revolving Loan Commitment is terminated. For purposes of computing Commitment Fees only, outstanding Swingline Loans shall not count as a utilization of Revolving Loan Commitments and shall otherwise be disregarded.</w:t>
      </w:r>
    </w:p>
    <w:p>
      <w:pPr>
        <w:spacing w:after="0" w:line="196" w:lineRule="exact"/>
        <w:rPr>
          <w:rFonts w:ascii="Arial" w:cs="Arial" w:eastAsia="Arial" w:hAnsi="Arial"/>
          <w:sz w:val="17"/>
          <w:szCs w:val="17"/>
          <w:color w:val="auto"/>
        </w:rPr>
      </w:pPr>
    </w:p>
    <w:p>
      <w:pPr>
        <w:jc w:val="both"/>
        <w:ind w:left="960" w:firstLine="604"/>
        <w:spacing w:after="0" w:line="237" w:lineRule="auto"/>
        <w:tabs>
          <w:tab w:leader="none" w:pos="235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distribution to each Non- Defaulting Revolving Lender (based on each such Revolving Lender’s respective RL Percentage) a fee in respect of each Letter of Credit (the “</w:t>
      </w:r>
      <w:r>
        <w:rPr>
          <w:rFonts w:ascii="Arial" w:cs="Arial" w:eastAsia="Arial" w:hAnsi="Arial"/>
          <w:sz w:val="18"/>
          <w:szCs w:val="18"/>
          <w:u w:val="single" w:color="auto"/>
          <w:color w:val="auto"/>
        </w:rPr>
        <w:t>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Fee</w:t>
      </w:r>
      <w:r>
        <w:rPr>
          <w:rFonts w:ascii="Arial" w:cs="Arial" w:eastAsia="Arial" w:hAnsi="Arial"/>
          <w:sz w:val="18"/>
          <w:szCs w:val="18"/>
          <w:color w:val="auto"/>
        </w:rPr>
        <w:t xml:space="preserve">”) for the period from and including the date of issuance of such Letter of Credit to and including the date of termination or expiration of such Letter of Credit, computed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Applicable Margin as in effect from time to time during such period with respect to Revolving Loans that are maintained as LIBOR Loans on the daily Stated Amount of each such Letter of Credit. Accrued Letter of Credit Fees shall be due and payable quarterly in arrears on each Quarterly Payment Date and on the first day on or after the termination of the Total Revolving Loan Commitment upon which no Letters of Credit remain outstanding.</w:t>
      </w:r>
    </w:p>
    <w:p>
      <w:pPr>
        <w:spacing w:after="0" w:line="208" w:lineRule="exact"/>
        <w:rPr>
          <w:rFonts w:ascii="Arial" w:cs="Arial" w:eastAsia="Arial" w:hAnsi="Arial"/>
          <w:sz w:val="18"/>
          <w:szCs w:val="18"/>
          <w:color w:val="auto"/>
        </w:rPr>
      </w:pPr>
    </w:p>
    <w:p>
      <w:pPr>
        <w:jc w:val="both"/>
        <w:ind w:left="960" w:right="20" w:firstLine="604"/>
        <w:spacing w:after="0" w:line="258" w:lineRule="auto"/>
        <w:tabs>
          <w:tab w:leader="none" w:pos="23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Borrower agrees to pay to each Issuing Lender, for its own account, a facing fee in respect of each Letter of Credit issued by it (the “</w:t>
      </w:r>
      <w:r>
        <w:rPr>
          <w:rFonts w:ascii="Arial" w:cs="Arial" w:eastAsia="Arial" w:hAnsi="Arial"/>
          <w:sz w:val="17"/>
          <w:szCs w:val="17"/>
          <w:u w:val="single" w:color="auto"/>
          <w:color w:val="auto"/>
        </w:rPr>
        <w:t>Facing Fee</w:t>
      </w:r>
      <w:r>
        <w:rPr>
          <w:rFonts w:ascii="Arial" w:cs="Arial" w:eastAsia="Arial" w:hAnsi="Arial"/>
          <w:sz w:val="17"/>
          <w:szCs w:val="17"/>
          <w:color w:val="auto"/>
        </w:rPr>
        <w:t xml:space="preserve">”) for the period from and including the date of issuance of such Letter of Credit to and including the date of termination or expiration of such Letter of Credit, computed at a rate </w:t>
      </w:r>
      <w:r>
        <w:rPr>
          <w:rFonts w:ascii="Arial" w:cs="Arial" w:eastAsia="Arial" w:hAnsi="Arial"/>
          <w:sz w:val="17"/>
          <w:szCs w:val="17"/>
          <w:u w:val="single" w:color="auto"/>
          <w:color w:val="auto"/>
        </w:rPr>
        <w:t>per annum</w:t>
      </w:r>
      <w:r>
        <w:rPr>
          <w:rFonts w:ascii="Arial" w:cs="Arial" w:eastAsia="Arial" w:hAnsi="Arial"/>
          <w:sz w:val="17"/>
          <w:szCs w:val="17"/>
          <w:color w:val="auto"/>
        </w:rPr>
        <w:t xml:space="preserve"> equal to 0.125% or such other amount as may be agreed by the applicable Issuing Lender on the daily Stated Amount of such Letter of Credit. Accrued Facing Fees shall be due and payable quarterly in arrears on each Quarterly Payment Date and upon the first day on or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720"/>
          </w:cols>
          <w:pgMar w:left="360" w:top="1326" w:right="819" w:bottom="1440" w:gutter="0" w:footer="0" w:header="0"/>
        </w:sectPr>
      </w:pPr>
    </w:p>
    <w:bookmarkStart w:id="189" w:name="page190"/>
    <w:bookmarkEnd w:id="189"/>
    <w:p>
      <w:pPr>
        <w:ind w:left="960"/>
        <w:spacing w:after="0"/>
        <w:rPr>
          <w:sz w:val="20"/>
          <w:szCs w:val="20"/>
          <w:color w:val="auto"/>
        </w:rPr>
      </w:pPr>
      <w:r>
        <w:rPr>
          <w:rFonts w:ascii="Arial" w:cs="Arial" w:eastAsia="Arial" w:hAnsi="Arial"/>
          <w:sz w:val="18"/>
          <w:szCs w:val="18"/>
          <w:color w:val="auto"/>
        </w:rPr>
        <w:t>the termination of the Total Revolving Loan Commitment upon which no Letters of Credit remain outstanding.</w:t>
      </w:r>
    </w:p>
    <w:p>
      <w:pPr>
        <w:spacing w:after="0" w:line="232" w:lineRule="exact"/>
        <w:rPr>
          <w:sz w:val="20"/>
          <w:szCs w:val="20"/>
          <w:color w:val="auto"/>
        </w:rPr>
      </w:pPr>
    </w:p>
    <w:p>
      <w:pPr>
        <w:jc w:val="both"/>
        <w:ind w:left="960" w:firstLine="604"/>
        <w:spacing w:after="0" w:line="242" w:lineRule="auto"/>
        <w:tabs>
          <w:tab w:leader="none" w:pos="23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agrees to pay to each Issuing Lender, for its own account, upon each payment under, issuance of, or amendment to, any Letter of Credit issued by it, such amount as shall at the time of such event be the administrative charge and the reasonable expenses which such Issuing Lender is generally imposing in connection with such occurrence with respect to letters of credit.</w:t>
      </w:r>
    </w:p>
    <w:p>
      <w:pPr>
        <w:spacing w:after="0" w:line="193" w:lineRule="exact"/>
        <w:rPr>
          <w:rFonts w:ascii="Arial" w:cs="Arial" w:eastAsia="Arial" w:hAnsi="Arial"/>
          <w:sz w:val="18"/>
          <w:szCs w:val="18"/>
          <w:color w:val="auto"/>
        </w:rPr>
      </w:pPr>
    </w:p>
    <w:p>
      <w:pPr>
        <w:ind w:left="2160" w:hanging="595"/>
        <w:spacing w:after="0"/>
        <w:tabs>
          <w:tab w:leader="none" w:pos="2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[Reserved].</w:t>
      </w:r>
    </w:p>
    <w:p>
      <w:pPr>
        <w:spacing w:after="0" w:line="232"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(f)The Borrower agrees to pay to the Administrative Agent such fees as may be agreed to in writing from time to time by the Borrower or any of its Subsidiaries and the Administrative Agent (including, without limitation, all amounts owing under the Fee Letter).</w:t>
      </w:r>
    </w:p>
    <w:p>
      <w:pPr>
        <w:spacing w:after="0" w:line="198"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Voluntary Termination of Unutilized Revolving Loan Commitments</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52" w:lineRule="auto"/>
        <w:tabs>
          <w:tab w:leader="none" w:pos="235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Upon at least three (3) Business Days’ prior written notice to the Administrative Agent at the Notice Office (which notice the Administrative Agent shall promptly transmit to each of the Lenders), the Borrower shall have the right, at any time or from time to time, without premium or penalty to terminate the Total Unutilized Revolving Loan Commitment in whole, or reduce it in part, pursuant to this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in an integral multiple of $1,000,000 in the case of partial reductions to the Total Unutilized Revolving Loan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reduction shall apply proportionately to permanently reduce the applicable Revolving Loan Commitment of each Revolving Lender. If such notice of termination indicates that such termination is being made in connection with a Refinancing of the Facility or in the context of a transaction involving a Change of Control or other contingent transaction, such notice of termination may be revoked if such Refinancing or transaction is not consummated, subject to payment of any costs referred to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resulting therefrom.</w:t>
      </w:r>
    </w:p>
    <w:p>
      <w:pPr>
        <w:spacing w:after="0" w:line="259" w:lineRule="exact"/>
        <w:rPr>
          <w:rFonts w:ascii="Arial" w:cs="Arial" w:eastAsia="Arial" w:hAnsi="Arial"/>
          <w:sz w:val="17"/>
          <w:szCs w:val="17"/>
          <w:color w:val="auto"/>
        </w:rPr>
      </w:pPr>
    </w:p>
    <w:p>
      <w:pPr>
        <w:jc w:val="both"/>
        <w:ind w:left="960" w:right="20" w:firstLine="604"/>
        <w:spacing w:after="0" w:line="250" w:lineRule="auto"/>
        <w:tabs>
          <w:tab w:leader="none" w:pos="235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In the event of the refusal by a Lender to consent to a Proposed Modification with respect to such Lender’s Revolving Loan Commitments, the Borrower shall have the right upon five (5) Business Days’ prior written notice to the Administrative Agent at the Notice Office (which notice the Administrative Agent shall promptly transmit to each of the Lenders), to terminate the entire Revolving Loan Commitment of such Lender (but not any other Commitments or Loans of such Lender that are not proposed to be modified by such Proposed Modification), so long as all Revolving Loans, together with accrued and unpaid interest, Fees and all other amounts owing to such Lender (including all amounts, if any, owing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are repaid concurrently with the effectiveness of such termination (at which time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shall be deemed modified to reflect such changed amounts) and such Lender’s RL Percentage of all outstanding Letters of Credit is Collateralized in a manner satisfactory to the Administrative Agent and the respective Issuing Lenders, and at such time, unless the respective Lender continues to have outstanding Loans or commitments in respect of Loans hereunder, such Lender shall no longer constitute a “Lender” for purposes of this Agreement, except with respect to indemnifications under this Agreement (including, without limitation,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w:t>
      </w:r>
      <w:r>
        <w:rPr>
          <w:rFonts w:ascii="Arial" w:cs="Arial" w:eastAsia="Arial" w:hAnsi="Arial"/>
          <w:sz w:val="17"/>
          <w:szCs w:val="17"/>
          <w:u w:val="single" w:color="auto"/>
          <w:color w:val="auto"/>
        </w:rPr>
        <w:t>12.6</w:t>
      </w:r>
      <w:r>
        <w:rPr>
          <w:rFonts w:ascii="Arial" w:cs="Arial" w:eastAsia="Arial" w:hAnsi="Arial"/>
          <w:sz w:val="17"/>
          <w:szCs w:val="17"/>
          <w:color w:val="auto"/>
        </w:rPr>
        <w:t xml:space="preserve">, </w:t>
      </w:r>
      <w:r>
        <w:rPr>
          <w:rFonts w:ascii="Arial" w:cs="Arial" w:eastAsia="Arial" w:hAnsi="Arial"/>
          <w:sz w:val="17"/>
          <w:szCs w:val="17"/>
          <w:u w:val="single" w:color="auto"/>
          <w:color w:val="auto"/>
        </w:rPr>
        <w:t>13.1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13.6</w:t>
      </w:r>
      <w:r>
        <w:rPr>
          <w:rFonts w:ascii="Arial" w:cs="Arial" w:eastAsia="Arial" w:hAnsi="Arial"/>
          <w:sz w:val="17"/>
          <w:szCs w:val="17"/>
          <w:color w:val="auto"/>
        </w:rPr>
        <w:t>), which shall survive as to such repaid Lender.</w:t>
      </w:r>
    </w:p>
    <w:p>
      <w:pPr>
        <w:spacing w:after="0" w:line="190" w:lineRule="exact"/>
        <w:rPr>
          <w:sz w:val="20"/>
          <w:szCs w:val="20"/>
          <w:color w:val="auto"/>
        </w:rPr>
      </w:pPr>
    </w:p>
    <w:p>
      <w:pPr>
        <w:jc w:val="both"/>
        <w:ind w:left="960" w:right="20" w:firstLine="602"/>
        <w:spacing w:after="0" w:line="25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Mandatory Reduction of Commitments</w:t>
      </w:r>
      <w:r>
        <w:rPr>
          <w:rFonts w:ascii="Arial" w:cs="Arial" w:eastAsia="Arial" w:hAnsi="Arial"/>
          <w:sz w:val="17"/>
          <w:szCs w:val="17"/>
          <w:color w:val="auto"/>
        </w:rPr>
        <w:t xml:space="preserve">. The Total Revolving Loan Commitment shall terminate in its entirety on, as applicable, (i) the Revolving Loan Maturity Date, (ii) the Incremental Revolving Loan Maturity Date or (iii) the Maturity Date for any Other Revolving Loan set forth in the Refinancing Amendment applicable thereto. Each reduction to, or termination of, the Total Revolving Loan Commitment pursuant to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applied to proportionately reduce or terminate, as the case may be, the Revolving Loan Commitment of each Lender with a Revolving Loan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720"/>
          </w:cols>
          <w:pgMar w:left="360" w:top="1327" w:right="819" w:bottom="1440" w:gutter="0" w:footer="0" w:header="0"/>
        </w:sectPr>
      </w:pPr>
    </w:p>
    <w:bookmarkStart w:id="190" w:name="page191"/>
    <w:bookmarkEnd w:id="190"/>
    <w:p>
      <w:pPr>
        <w:jc w:val="center"/>
        <w:ind w:right="-459"/>
        <w:spacing w:after="0"/>
        <w:rPr>
          <w:sz w:val="20"/>
          <w:szCs w:val="20"/>
          <w:color w:val="auto"/>
        </w:rPr>
      </w:pPr>
      <w:r>
        <w:rPr>
          <w:rFonts w:ascii="Arial" w:cs="Arial" w:eastAsia="Arial" w:hAnsi="Arial"/>
          <w:sz w:val="18"/>
          <w:szCs w:val="18"/>
          <w:color w:val="auto"/>
        </w:rPr>
        <w:t>SECTION 5.</w:t>
      </w:r>
    </w:p>
    <w:p>
      <w:pPr>
        <w:spacing w:after="0" w:line="219"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PREPAYMENTS; PAYMENTS; TAXES</w:t>
      </w:r>
    </w:p>
    <w:p>
      <w:pPr>
        <w:spacing w:after="0" w:line="307"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Voluntary Prepayments</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48" w:lineRule="auto"/>
        <w:tabs>
          <w:tab w:leader="none" w:pos="235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The Borrower may at any time and from time to time prepay the Loans, in whole or in part, in each case, without premium or penalty, subject to the requirements of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upon notice, in a form reasonably acceptable to the Administrative Agent, delivered to the Administrative Agent no later than 11:00 A.M. (New York City time) three (3) Business Days prior thereto (and with respect to any Alternate Currency Loan (other than SONIA Rate Loans), four (4) Business Days prior thereto, and with respect to any SONIA Rate Loans, five (5) Business Days prior thereto), in the case of Fixed Rate Loans, and no later than 11:00 A.M. (New York City time) on the date of such payment, in the case of Base Rate Loans, which notice shall specify the date and amount of prepayment and whether the prepayment is of Fixed Rate Loans, SONIA Rate Loans or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Fixed Rate Loan is prepaid on any day other than the last day of the Interest Period applicable thereto, the Borrower shall also pay any amounts owing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such notice of prepayment indicates that such prepayment is to be funded with the proceeds of a Refinancing of the Facility or in the context of a transaction involving a Change of Control or other contingent transaction, such notice of prepayment may be revoked if such Refinancing or transaction is not consummated, subject to payment of any costs referred to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Upon receipt of any such notice the Administrative Agent shall promptly notify each relevant Lender thereof. If any such notice is given, the amount specified in such notice shall be due and payable on the date specified therein, together with (except in the case of Swingline Loans (other than in connection with a repayment of all Loans)) accrued interest to such date on the amount prepaid. Prepayments shall be accompanied by Prepayment Fees required by </w:t>
      </w:r>
      <w:r>
        <w:rPr>
          <w:rFonts w:ascii="Arial" w:cs="Arial" w:eastAsia="Arial" w:hAnsi="Arial"/>
          <w:sz w:val="17"/>
          <w:szCs w:val="17"/>
          <w:u w:val="single" w:color="auto"/>
          <w:color w:val="auto"/>
        </w:rPr>
        <w:t>Section 5.1(b)</w:t>
      </w:r>
      <w:r>
        <w:rPr>
          <w:rFonts w:ascii="Arial" w:cs="Arial" w:eastAsia="Arial" w:hAnsi="Arial"/>
          <w:sz w:val="17"/>
          <w:szCs w:val="17"/>
          <w:color w:val="auto"/>
        </w:rPr>
        <w:t>, if any, and accrued interest. Partial prepayments shall be in an aggregate principal amount of $250,000 (or, in the case of Revolving Loans denominated in an Alternate Currency, the Dollar Equivalent thereof) and integral multiples of $100,000 (or, in the case of Revolving Loans denominated in an Alternate Currency, the Dollar Equivalent thereof) in excess of that amount. Partial prepayments of Swingline Loans shall be in an aggregate principal amount of $100,000 and in integral multiples of $50,000 in excess of that amount.</w:t>
      </w:r>
    </w:p>
    <w:p>
      <w:pPr>
        <w:spacing w:after="0" w:line="198" w:lineRule="exact"/>
        <w:rPr>
          <w:rFonts w:ascii="Arial" w:cs="Arial" w:eastAsia="Arial" w:hAnsi="Arial"/>
          <w:sz w:val="17"/>
          <w:szCs w:val="17"/>
          <w:color w:val="auto"/>
        </w:rPr>
      </w:pPr>
    </w:p>
    <w:p>
      <w:pPr>
        <w:ind w:left="2160" w:hanging="595"/>
        <w:spacing w:after="0"/>
        <w:tabs>
          <w:tab w:leader="none" w:pos="2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jc w:val="both"/>
        <w:ind w:left="960" w:right="20" w:firstLine="604"/>
        <w:spacing w:after="0" w:line="251" w:lineRule="auto"/>
        <w:tabs>
          <w:tab w:leader="none" w:pos="240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In the event of the refusal by a Lender to consent to a Proposed Modification with respect to such Lender’s Revolving Loans, the Borrower may, upon five (5) Business Days’ prior written notice to the Administrative Agent at the Notice Office (which notice the Administrative Agent shall promptly transmit to each of the Lenders), repay all such Revolving Loans (but, for the avoidance of doubt, not any other Loans (or Tranches) of such Lender that are not proposed to be modified by such Proposed Modification), including all amounts, if any, owing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together with accrued and unpaid interest, Fees and all other amounts then owing to such Lender so long as in the case of the repayment of Revolving Loans of any Lender pursuant to this clause (c), (x) the Revolving Loan Commitment of such Lender is terminated concurrently with such repayment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4.2(b)</w:t>
      </w:r>
      <w:r>
        <w:rPr>
          <w:rFonts w:ascii="Arial" w:cs="Arial" w:eastAsia="Arial" w:hAnsi="Arial"/>
          <w:sz w:val="17"/>
          <w:szCs w:val="17"/>
          <w:color w:val="auto"/>
        </w:rPr>
        <w:t xml:space="preserve"> (at which time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I shall be deemed modified to reflect the changed Revolving Loan Commitments) and (y) such Lender’s RL Percentage of all outstanding Letters of Credit is Collateralized in a manner satisfactory to the Administrative Agent and the respective Issuing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-1223010</wp:posOffset>
            </wp:positionV>
            <wp:extent cx="317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80"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Repayment of Revolving Excess, etc</w:t>
      </w:r>
      <w:r>
        <w:rPr>
          <w:rFonts w:ascii="Arial" w:cs="Arial" w:eastAsia="Arial" w:hAnsi="Arial"/>
          <w:sz w:val="18"/>
          <w:szCs w:val="18"/>
          <w:color w:val="auto"/>
        </w:rPr>
        <w:t>. In the event the aggregate amount of outstanding Revolving Loans and L/C Obligations then outstanding (calculated, in the case of Revolving Loans and L/C Obligations denominated in an Alternate Currency, at the Dollar Equivalent thereof)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720"/>
          </w:cols>
          <w:pgMar w:left="360" w:top="1326" w:right="819" w:bottom="1440" w:gutter="0" w:footer="0" w:header="0"/>
        </w:sectPr>
      </w:pPr>
    </w:p>
    <w:bookmarkStart w:id="191" w:name="page192"/>
    <w:bookmarkEnd w:id="191"/>
    <w:p>
      <w:pPr>
        <w:jc w:val="both"/>
        <w:ind w:left="960" w:right="20"/>
        <w:spacing w:after="0" w:line="237" w:lineRule="auto"/>
        <w:rPr>
          <w:sz w:val="20"/>
          <w:szCs w:val="20"/>
          <w:color w:val="auto"/>
        </w:rPr>
      </w:pPr>
      <w:r>
        <w:rPr>
          <w:rFonts w:ascii="Arial" w:cs="Arial" w:eastAsia="Arial" w:hAnsi="Arial"/>
          <w:sz w:val="18"/>
          <w:szCs w:val="18"/>
          <w:color w:val="auto"/>
        </w:rPr>
        <w:t>Swingline Loans exceeds (the “</w:t>
      </w:r>
      <w:r>
        <w:rPr>
          <w:rFonts w:ascii="Arial" w:cs="Arial" w:eastAsia="Arial" w:hAnsi="Arial"/>
          <w:sz w:val="18"/>
          <w:szCs w:val="18"/>
          <w:u w:val="single" w:color="auto"/>
          <w:color w:val="auto"/>
        </w:rPr>
        <w:t>Revolving Excess</w:t>
      </w:r>
      <w:r>
        <w:rPr>
          <w:rFonts w:ascii="Arial" w:cs="Arial" w:eastAsia="Arial" w:hAnsi="Arial"/>
          <w:sz w:val="18"/>
          <w:szCs w:val="18"/>
          <w:color w:val="auto"/>
        </w:rPr>
        <w:t xml:space="preserve">”) the Total Revolving Loan Commitments then in effect, the Borrower shall immediately repay Swingline Loans and Revolving Loans and Collateralize Letters of Credit, as applicable, to the extent necessary to remove such Revolving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Revolving Excess results from fluctuations in the Dollar Equivalent of Revolving Loans or Letters of Credit denominated in an Alternate Currency and such Revolving Excess exceeds 5.00% of the Total Revolving Loan Commitments at such time, such obligation to repay Loans and Collateralize Letters of Credit shall not be effective until five (5) Business Days after the date such Revolving Excess first commenced in an amount greater than 5.0% of the Total Revolving Loan Commitments (and shall not be required to the extent such Revolving Excess has ceased to exist as a result of fluctuations in currency values).</w:t>
      </w:r>
    </w:p>
    <w:p>
      <w:pPr>
        <w:spacing w:after="0" w:line="208" w:lineRule="exact"/>
        <w:rPr>
          <w:sz w:val="20"/>
          <w:szCs w:val="20"/>
          <w:color w:val="auto"/>
        </w:rPr>
      </w:pPr>
    </w:p>
    <w:p>
      <w:pPr>
        <w:jc w:val="both"/>
        <w:ind w:left="960" w:firstLine="602"/>
        <w:spacing w:after="0" w:line="25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Method and Place of Payment</w:t>
      </w:r>
      <w:r>
        <w:rPr>
          <w:rFonts w:ascii="Arial" w:cs="Arial" w:eastAsia="Arial" w:hAnsi="Arial"/>
          <w:sz w:val="17"/>
          <w:szCs w:val="17"/>
          <w:color w:val="auto"/>
        </w:rPr>
        <w:t>. Except as otherwise specifically provided herein, all payments under this Agreement and under any Note shall be made to the Administrative Agent for the account of the Lender or Lenders entitled thereto not later than 1:00 P.M. (New York City time) on the date when due and shall be made in Dollars (or, in respect of Obligations denominated in an Alternate Currency, in such Alternate Currency) in immediately available funds at the Payment Office. The Administrative Agent will promptly distribute to each Lender its pro rata share in respect of the relevant Facility (or other applicable share as provided herein) of such payment in like funds as received by wire transfer to such Lender’s lending office. All payments received by the Administrative Agent after 1:00 P.M. (New York City time) may in the Administrative Agent’s discretion be deemed received on the next succeeding Business Day and any applicable interest or fee shall continue to accrue. Whenever any payment to be made hereunder or under any Note shall be stated to be due on a day which is not a Business Day, the due date thereof shall be extended to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payments stated to be due on any Maturity Date, if stated to be due on a day which is not a Business Day, shall be deemed to be due on the next preceding Business Day) and, with respect to payments of principal, interest shall be payable at the applicable rate during such extension.</w:t>
      </w:r>
    </w:p>
    <w:p>
      <w:pPr>
        <w:spacing w:after="0" w:line="190"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307" w:lineRule="exact"/>
        <w:rPr>
          <w:sz w:val="20"/>
          <w:szCs w:val="20"/>
          <w:color w:val="auto"/>
        </w:rPr>
      </w:pPr>
    </w:p>
    <w:p>
      <w:pPr>
        <w:jc w:val="both"/>
        <w:ind w:left="960" w:right="20" w:firstLine="604"/>
        <w:spacing w:after="0" w:line="248" w:lineRule="auto"/>
        <w:tabs>
          <w:tab w:leader="none" w:pos="235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All payments made by or on behalf of the Borrower or any Guarantor under this Agreement or under any other Loan Document will be made without setoff, counterclaim or other defense. All such payments will be made free and clear of, and without deduction or withholding for, any Taxes with respect to such payments, unless required by applicable law. If any such Taxes are so levied or imposed, the applicable withholding agent shall pay, or withhold and remit, to the applicable Governmental Authority the full amount of such Taxes, and if the Tax in question is an Indemnified Tax or an Other Tax, the applicable Loan Party shall pay such additional amounts as may be necessary so that, after any required deductions or withholdings have been made (including any deductions or withholdings attributable to any payments required to be made under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each Lender (or in the case of a payment made to the Administrative Agent for its own account, such Administrative Agent) receives on the due date a net sum equal to what it would have received had such Indemnified Taxes or Other Taxes not been levied or imposed. The Borrower or Guarantors, as applicable, will furnish to the Administrative Agent within forty- five (45) days after the date the payment of any Taxes is due pursuant to applicable law certified copies of tax receipts or other evidence reasonably satisfactory to the Administrative Agent evidencing such payment by the Borrower or Guarantor. The Borrower or Guarantors, jointly and severally, agree to indemnify and hold harmless the Administrative Agent and each Lender, and to reimburse such Person upon its written request within twenty (20) days of demand therefor, for the amount of any Indemnified Taxes or Other Taxes so levied or imposed and paid by such Person (including any Indemnified Taxes or Other Taxes imposed on or attributable to amounts payable under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whether or not such Taxes were correctly or legally imposed or asserted;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any Lender requests indemnification more than 90 days after the earlier of (1) the date on which the Administrative Agent or the applicable Lender received written demand for payment of the applicable Indemnified Taxes or Other Taxes from the relevant Governmental Authority or (2) the date on which the Administrative Agent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352425</wp:posOffset>
            </wp:positionV>
            <wp:extent cx="326390" cy="182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720"/>
          </w:cols>
          <w:pgMar w:left="360" w:top="1326" w:right="819" w:bottom="1440" w:gutter="0" w:footer="0" w:header="0"/>
        </w:sectPr>
      </w:pPr>
    </w:p>
    <w:bookmarkStart w:id="192" w:name="page193"/>
    <w:bookmarkEnd w:id="192"/>
    <w:p>
      <w:pPr>
        <w:jc w:val="both"/>
        <w:ind w:left="960"/>
        <w:spacing w:after="0"/>
        <w:rPr>
          <w:sz w:val="20"/>
          <w:szCs w:val="20"/>
          <w:color w:val="auto"/>
        </w:rPr>
      </w:pPr>
      <w:r>
        <w:rPr>
          <w:rFonts w:ascii="Arial" w:cs="Arial" w:eastAsia="Arial" w:hAnsi="Arial"/>
          <w:sz w:val="18"/>
          <w:szCs w:val="18"/>
          <w:color w:val="auto"/>
        </w:rPr>
        <w:t>applicable Lender paid the applicable Indemnified Taxes or Other Taxes, the Administrative Agent or the applicable Lender shall not be indemnified to the extent that such failure or delay results in prejudice to the Borrower or a Guarantor. A certificate setting forth the amount of such payment or liability and the manner in which such amount was determined, prepared in good faith and delivered by the Lender or by the Administrative Agent on its own behalf or on behalf of a Lender, shall be conclusive absent manifest error.</w:t>
      </w:r>
    </w:p>
    <w:p>
      <w:pPr>
        <w:spacing w:after="0" w:line="206" w:lineRule="exact"/>
        <w:rPr>
          <w:sz w:val="20"/>
          <w:szCs w:val="20"/>
          <w:color w:val="auto"/>
        </w:rPr>
      </w:pPr>
    </w:p>
    <w:p>
      <w:pPr>
        <w:jc w:val="both"/>
        <w:ind w:left="960" w:right="20" w:firstLine="605"/>
        <w:spacing w:after="0" w:line="266" w:lineRule="auto"/>
        <w:tabs>
          <w:tab w:leader="none" w:pos="235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Without limiting the generality of Section 5.5(c), each Lender (1) that is not a United States person (as such term is defined in Section 7701(a)(30) of the Code) for U.S. federal income tax purposes (each, a “Foreign Lender”) agrees to deliver to the Borrower and the Administrative Agent on or prior to the date it becomes a party to this Agreement, whichever of the following is applicable: (i) two accurate and complete original signed copies of Internal Revenue Service Form W-8ECI (or successor forms),</w:t>
      </w:r>
    </w:p>
    <w:p>
      <w:pPr>
        <w:spacing w:after="0" w:line="2" w:lineRule="exact"/>
        <w:rPr>
          <w:rFonts w:ascii="Arial" w:cs="Arial" w:eastAsia="Arial" w:hAnsi="Arial"/>
          <w:sz w:val="16"/>
          <w:szCs w:val="16"/>
          <w:color w:val="auto"/>
        </w:rPr>
      </w:pPr>
    </w:p>
    <w:p>
      <w:pPr>
        <w:jc w:val="both"/>
        <w:ind w:left="960" w:right="20" w:firstLine="3"/>
        <w:spacing w:after="0" w:line="246" w:lineRule="auto"/>
        <w:tabs>
          <w:tab w:leader="none" w:pos="125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two accurate and complete original signed copies of Internal Revenue Service Form W-8BEN or W-8BEN- E (or successor forms) claiming eligibility for the benefits of an income tax treaty to which the United States is a party, (iii) in the case of a Foreign Lender claiming the benefits of the exemption for portfolio interest under Section 871(h) or Section 881(c) of the Code, (x) a certificate substantially in the form of Exhibit L-1 (any such Exhibit L certificate, a “Non-Bank Certificate”) and (y) two accurate and complete original signed copies of Internal Revenue Service Form W-8BEN or W-8BEN-E (or successor form),</w:t>
      </w:r>
    </w:p>
    <w:p>
      <w:pPr>
        <w:spacing w:after="0" w:line="1" w:lineRule="exact"/>
        <w:rPr>
          <w:rFonts w:ascii="Arial" w:cs="Arial" w:eastAsia="Arial" w:hAnsi="Arial"/>
          <w:sz w:val="17"/>
          <w:szCs w:val="17"/>
          <w:color w:val="auto"/>
        </w:rPr>
      </w:pPr>
    </w:p>
    <w:p>
      <w:pPr>
        <w:jc w:val="both"/>
        <w:ind w:left="960" w:firstLine="3"/>
        <w:spacing w:after="0" w:line="247" w:lineRule="auto"/>
        <w:tabs>
          <w:tab w:leader="none" w:pos="128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the extent that a Foreign Lender is not the beneficial owner (for example, where the Foreign Lender is a partnership or a participating Lender), two accurate and complete original signed copies of Internal Revenue Service Form W-8IMY (or successor form) of the Foreign Lender, accompanied by a Form W- 8ECI, Form W-8BEN, W-8BEN-E, a certificate substantially in the form of Exhibit L-2 or Exhibit L-3, Internal Revenue Service Form W-9 or other documents from each beneficial owner, as applicable, that would be required under this Section 5.5(b) if such beneficial owner were a Lender; provided that if the Foreign Lender is a partnership (and not a participating Lender) and one or more direct or indirect partners of such Foreign Lender are claiming the portfolio interest exemption, such Foreign Lender may provide a certificate substantially in the form of Exhibit L-4 (in lieu of a certificate substantially in the form of Exhibit L-2 or Exhibit L-3) on behalf of each such direct or indirect partner(s), and (v) two accurate and complete original signed copies of any other form prescribed by applicable U.S. federal income tax laws (including the Treasury regulations) as a basis for claiming complete exemption from, or reduction in, U.S. federal withholding tax on any payments to such Lender under any Loan Document or (2) that is a United States person (as such term is defined in Section 7701(a) (30) of the Code) for U.S. federal income tax purposes, agrees to deliver to the Borrower and the Administrative Agent on or prior to the date it becomes a party to this Agreement, two accurate and complete original signed copies of Internal Revenue Service Form W-9 certifying to such Lender’s exemption from United States federal backup withholding. The Administrative Agent shall provide to the Borrower two accurate and complete original signed copies of whichever of the following is applicable: (1) if the Administrative Agent is a United States person (as such term is defined in Section 7701(a)(30) of the Code), Internal Revenue Service Form W-9 certifying to such Administrative Agent’s exemption from U.S. federal backup withholding or (2) if the Administrative Agent is not a United States person (as such term is defined in Section 7701(a)(30) of the Code), (i) Internal Revenue Service Form W-8ECI with respect to payments received for its own account and (ii) Internal Revenue Service Form W-8IMY (together with all required accompanying documentation) assuming primary responsibility for U.S. federal income tax withholding with respect to payments received by it on behalf of the Lenders. Notwithstanding anything to the contrary in this Section 5.5(b), the Administrative Agent shall not be required to deliver any documentation that such Administrative Agent is not legally eligible to deliver as a result of a Change in Tax Law after the Closing Date.</w:t>
      </w:r>
    </w:p>
    <w:p>
      <w:pPr>
        <w:spacing w:after="0" w:line="196" w:lineRule="exact"/>
        <w:rPr>
          <w:rFonts w:ascii="Arial" w:cs="Arial" w:eastAsia="Arial" w:hAnsi="Arial"/>
          <w:sz w:val="17"/>
          <w:szCs w:val="17"/>
          <w:color w:val="auto"/>
        </w:rPr>
      </w:pPr>
    </w:p>
    <w:p>
      <w:pPr>
        <w:jc w:val="both"/>
        <w:ind w:left="960" w:right="20" w:firstLine="605"/>
        <w:spacing w:after="0" w:line="242" w:lineRule="auto"/>
        <w:tabs>
          <w:tab w:leader="none" w:pos="235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any Lender is entitled to an exemption from or reduction in any applicable withholding Tax with respect to payments under this Agreement or any other Loan Document, then such Lender agrees to deliver to the Borrower and the Administrative Agent, at such times as are reasonably requested by the Borrower or the Administrative Agent, such properly completed and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720"/>
          </w:cols>
          <w:pgMar w:left="360" w:top="1327" w:right="819" w:bottom="1440" w:gutter="0" w:footer="0" w:header="0"/>
        </w:sectPr>
      </w:pPr>
    </w:p>
    <w:bookmarkStart w:id="193" w:name="page194"/>
    <w:bookmarkEnd w:id="193"/>
    <w:p>
      <w:pPr>
        <w:ind w:left="960"/>
        <w:spacing w:after="0"/>
        <w:rPr>
          <w:sz w:val="20"/>
          <w:szCs w:val="20"/>
          <w:color w:val="auto"/>
        </w:rPr>
      </w:pPr>
      <w:r>
        <w:rPr>
          <w:rFonts w:ascii="Arial" w:cs="Arial" w:eastAsia="Arial" w:hAnsi="Arial"/>
          <w:sz w:val="16"/>
          <w:szCs w:val="16"/>
          <w:color w:val="auto"/>
        </w:rPr>
        <w:t>documentation prescribed by applicable law as will permit such payments to be made without withholding or at a reduced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326390" cy="182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440"/>
          </w:cols>
          <w:pgMar w:left="360" w:top="1264" w:right="1099" w:bottom="1440" w:gutter="0" w:footer="0" w:header="0"/>
        </w:sectPr>
      </w:pPr>
    </w:p>
    <w:bookmarkStart w:id="194" w:name="page195"/>
    <w:bookmarkEnd w:id="194"/>
    <w:p>
      <w:pPr>
        <w:jc w:val="both"/>
        <w:ind w:left="960"/>
        <w:spacing w:after="0" w:line="238" w:lineRule="auto"/>
        <w:rPr>
          <w:sz w:val="20"/>
          <w:szCs w:val="20"/>
          <w:color w:val="auto"/>
        </w:rPr>
      </w:pPr>
      <w:r>
        <w:rPr>
          <w:rFonts w:ascii="Arial" w:cs="Arial" w:eastAsia="Arial" w:hAnsi="Arial"/>
          <w:sz w:val="18"/>
          <w:szCs w:val="18"/>
          <w:color w:val="auto"/>
        </w:rPr>
        <w:t>withholding. In addition, each Lender agrees that from time to time after the Closing Date, when a lapse in time or change in circumstances renders the previous documentation obsolete, expired or inaccurate in any respect (including the Internal Revenue Service forms and certificates described in Section 5.5(b)), it will deliver to the Borrower and the Administrative Agent updated or other appropriate documentation (including any new documentation reasonably requested by the Borrower or the Administrative Agent) or it shall immediately notify the Borrower and the Administrative Agent of its legal ineligibility to deliver any such documentation. Notwithstanding anything to the contrary in Section 5.5(b), (c) or (d), a Lender shall not be required to deliver any documentation that such Lender is not legally eligible to deliver.</w:t>
      </w:r>
    </w:p>
    <w:p>
      <w:pPr>
        <w:spacing w:after="0" w:line="206" w:lineRule="exact"/>
        <w:rPr>
          <w:sz w:val="20"/>
          <w:szCs w:val="20"/>
          <w:color w:val="auto"/>
        </w:rPr>
      </w:pPr>
    </w:p>
    <w:p>
      <w:pPr>
        <w:jc w:val="both"/>
        <w:ind w:left="960" w:firstLine="604"/>
        <w:spacing w:after="0" w:line="252" w:lineRule="auto"/>
        <w:tabs>
          <w:tab w:leader="none" w:pos="235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For purposes of this Section 5.5(d), the term “FATCA” shall include any amendments thereof or successor provisions thereto.</w:t>
      </w:r>
    </w:p>
    <w:p>
      <w:pPr>
        <w:spacing w:after="0" w:line="184" w:lineRule="exact"/>
        <w:rPr>
          <w:rFonts w:ascii="Arial" w:cs="Arial" w:eastAsia="Arial" w:hAnsi="Arial"/>
          <w:sz w:val="17"/>
          <w:szCs w:val="17"/>
          <w:color w:val="auto"/>
        </w:rPr>
      </w:pPr>
    </w:p>
    <w:p>
      <w:pPr>
        <w:jc w:val="both"/>
        <w:ind w:left="960" w:firstLine="604"/>
        <w:spacing w:after="0" w:line="237" w:lineRule="auto"/>
        <w:tabs>
          <w:tab w:leader="none" w:pos="235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the Borrower or any Guarantor pays any Indemnified Taxes or Other Taxes under this Section 5.5 to a Lender or the Administrative Agent and such Lender or the Administrative Agent determines in its sole discretion (exercised reasonably) that it has actually received any refund of any Indemnified Taxes or Other Taxes in respect of which it has received additional payments under this Section</w:t>
      </w:r>
    </w:p>
    <w:p>
      <w:pPr>
        <w:jc w:val="both"/>
        <w:ind w:left="960"/>
        <w:spacing w:after="0" w:line="246" w:lineRule="auto"/>
        <w:rPr>
          <w:rFonts w:ascii="Arial" w:cs="Arial" w:eastAsia="Arial" w:hAnsi="Arial"/>
          <w:sz w:val="18"/>
          <w:szCs w:val="18"/>
          <w:color w:val="auto"/>
        </w:rPr>
      </w:pPr>
      <w:r>
        <w:rPr>
          <w:rFonts w:ascii="Arial" w:cs="Arial" w:eastAsia="Arial" w:hAnsi="Arial"/>
          <w:sz w:val="17"/>
          <w:szCs w:val="17"/>
          <w:color w:val="auto"/>
        </w:rPr>
        <w:t>5.5 (a “Tax Benefit”), such Lender or the Administrative Agent shall pay to the Borrower or such Guarantor, as the case may be, an amount of such Tax Benefit, net of all out-of-pocket expenses of such Lender or the Administrative Agent (including any Taxes imposed with respect to such Tax Benefit) and without interest (other than any interest paid by the relevant Governmental Authority); provided, however, that (i) any Lender or the Administrative Agent may determine, in its sole discretion consistent with its policies, whether to seek a Tax Benefit; (ii) any Taxes that are imposed on a Lender or the Administrative Agent as a result of a disallowance or reduction of any Tax Benefit with respect to which such Lender or the Administrative Agent has made a payment to the Borrower or a Guarantor pursuant to this Section 5.5(e) (and any interest or penalties or other charges imposed thereon) shall be treated as a Tax for which the Borrower or such Guarantor, as the case may be, is obligated to indemnify such Lender or the Administrative Agent pursuant to this Section 5.5 without any exclusions or defenses; (iii) nothing in this Section 5.5(e) shall require any Lender or the Administrative Agent to disclose any confidential information to the Borrower or any Guarantor (including, without limitation, its Tax returns) or any other Person; and</w:t>
      </w:r>
    </w:p>
    <w:p>
      <w:pPr>
        <w:spacing w:after="0" w:line="2" w:lineRule="exact"/>
        <w:rPr>
          <w:rFonts w:ascii="Arial" w:cs="Arial" w:eastAsia="Arial" w:hAnsi="Arial"/>
          <w:sz w:val="18"/>
          <w:szCs w:val="18"/>
          <w:color w:val="auto"/>
        </w:rPr>
      </w:pPr>
    </w:p>
    <w:p>
      <w:pPr>
        <w:jc w:val="both"/>
        <w:ind w:left="960" w:firstLine="2"/>
        <w:spacing w:after="0" w:line="239" w:lineRule="auto"/>
        <w:tabs>
          <w:tab w:leader="none" w:pos="12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Lender or the Administrative Agent shall be required to pay any amounts pursuant to this Section 5.5(e) at any time which a Default or Event of Default exists (provided that such amounts shall be credited against amounts otherwise owed under this Agreement by the Borrower or any Guarantor).</w:t>
      </w:r>
    </w:p>
    <w:p>
      <w:pPr>
        <w:spacing w:after="0" w:line="206" w:lineRule="exact"/>
        <w:rPr>
          <w:sz w:val="20"/>
          <w:szCs w:val="20"/>
          <w:color w:val="auto"/>
        </w:rPr>
      </w:pPr>
    </w:p>
    <w:p>
      <w:pPr>
        <w:jc w:val="both"/>
        <w:ind w:left="960" w:firstLine="602"/>
        <w:spacing w:after="0" w:line="239" w:lineRule="auto"/>
        <w:rPr>
          <w:sz w:val="20"/>
          <w:szCs w:val="20"/>
          <w:color w:val="auto"/>
        </w:rPr>
      </w:pPr>
      <w:r>
        <w:rPr>
          <w:rFonts w:ascii="Arial" w:cs="Arial" w:eastAsia="Arial" w:hAnsi="Arial"/>
          <w:sz w:val="18"/>
          <w:szCs w:val="18"/>
          <w:color w:val="auto"/>
        </w:rPr>
        <w:t>(f)If one or more Guarantors hereunder are required to make any payment with respect to the Guaranteed Obligations that would be subject to any withholding of Tax (whether or not it would result in any Loan Party being required to pay additional amounts or indemnity payments under this Agreement), the Administrative Agent, the Lenders and the Loan Parties shall cooperate with each other in good faith in order to eliminate or minimize the effects of such withholding of Tax; provided that none of the Administrative Agent or any Lender shall be required to take any action that would subject it to any unreimbursed cost or expense or would otherwise be disadvantageous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326390" cy="182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700"/>
          </w:cols>
          <w:pgMar w:left="360" w:top="1326" w:right="839" w:bottom="1440" w:gutter="0" w:footer="0" w:header="0"/>
        </w:sectPr>
      </w:pPr>
    </w:p>
    <w:bookmarkStart w:id="195" w:name="page196"/>
    <w:bookmarkEnd w:id="195"/>
    <w:p>
      <w:pPr>
        <w:ind w:left="960" w:right="20" w:firstLine="604"/>
        <w:spacing w:after="0" w:line="263" w:lineRule="auto"/>
        <w:tabs>
          <w:tab w:leader="none" w:pos="23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addition to the payments by a Loan Party required by Section 5.5(a) (and without duplication thereof), the Borrower shall pay any Other Taxes to the relevant Governmental Authority in accordance with applicable law.</w:t>
      </w:r>
    </w:p>
    <w:p>
      <w:pPr>
        <w:spacing w:after="0" w:line="185" w:lineRule="exact"/>
        <w:rPr>
          <w:rFonts w:ascii="Arial" w:cs="Arial" w:eastAsia="Arial" w:hAnsi="Arial"/>
          <w:sz w:val="18"/>
          <w:szCs w:val="18"/>
          <w:color w:val="auto"/>
        </w:rPr>
      </w:pPr>
    </w:p>
    <w:p>
      <w:pPr>
        <w:ind w:left="5100" w:right="60" w:hanging="3536"/>
        <w:spacing w:after="0" w:line="494" w:lineRule="auto"/>
        <w:tabs>
          <w:tab w:leader="none" w:pos="235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the avoidance of doubt, the term “Lender” shall, for purposes of this Section 5.5, include any Issuing Lender. SECTION 6.</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REPRESENTATIONS AND WARRANTIES</w:t>
      </w:r>
    </w:p>
    <w:p>
      <w:pPr>
        <w:spacing w:after="0" w:line="307"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 xml:space="preserve">To induce the Administrative Agent and the Lenders to enter into this Agreement and to make the Loans and issue or participate in the Letters of Credit, the Loan Parties hereby jointly and severally represent and warrant to the Administrative Agent and each Lender on the Closing Date and on each date on which any extension of credit is made (excluding any date on which a Fixed Rate Loan is continued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that:</w:t>
      </w:r>
    </w:p>
    <w:p>
      <w:pPr>
        <w:spacing w:after="0" w:line="26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Financial Condition</w:t>
      </w:r>
      <w:r>
        <w:rPr>
          <w:rFonts w:ascii="Arial" w:cs="Arial" w:eastAsia="Arial" w:hAnsi="Arial"/>
          <w:sz w:val="17"/>
          <w:szCs w:val="17"/>
          <w:color w:val="auto"/>
        </w:rPr>
        <w:t>.</w:t>
      </w:r>
    </w:p>
    <w:p>
      <w:pPr>
        <w:spacing w:after="0" w:line="307" w:lineRule="exact"/>
        <w:rPr>
          <w:sz w:val="20"/>
          <w:szCs w:val="20"/>
          <w:color w:val="auto"/>
        </w:rPr>
      </w:pPr>
    </w:p>
    <w:p>
      <w:pPr>
        <w:ind w:left="2160" w:hanging="595"/>
        <w:spacing w:after="0"/>
        <w:tabs>
          <w:tab w:leader="none" w:pos="2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jc w:val="both"/>
        <w:ind w:left="960" w:right="20" w:firstLine="604"/>
        <w:spacing w:after="0" w:line="255" w:lineRule="auto"/>
        <w:tabs>
          <w:tab w:leader="none" w:pos="235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unaudited consolidated balance sheet at March 31, 2021 and the related unaudited consolidated statements of income, stockholders’ equity and cash flows related to the Borrower and its consolidated Subsidiaries for the fiscal quarter ended March 31, 2021 present fairly in all material respects the consolidated financial condition of the Borrower and its consolidated Subsidiaries as at such date, and the consolidated results of its operations and its consolidated stockholder’s equity and cash flows for the respective fiscal quarters then ended. All such financial statements, including the related schedules and notes thereto, have been prepared in accordance with GAAP applied consistently throughout the periods involved.</w:t>
      </w:r>
    </w:p>
    <w:p>
      <w:pPr>
        <w:spacing w:after="0" w:line="183" w:lineRule="exact"/>
        <w:rPr>
          <w:rFonts w:ascii="Arial" w:cs="Arial" w:eastAsia="Arial" w:hAnsi="Arial"/>
          <w:sz w:val="17"/>
          <w:szCs w:val="17"/>
          <w:color w:val="auto"/>
        </w:rPr>
      </w:pPr>
    </w:p>
    <w:p>
      <w:pPr>
        <w:jc w:val="both"/>
        <w:ind w:left="960" w:firstLine="604"/>
        <w:spacing w:after="0" w:line="272" w:lineRule="auto"/>
        <w:tabs>
          <w:tab w:leader="none" w:pos="235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audited consolidated balance sheet at December 31, 2020 and the related consolidated statements of income, stockholders’ equity and cash flows related to the Borrower for the fiscal year ended December 31, 2020, reported on by and accompanied by an unqualified report as to going concern or scope of audit from independent public accountants of recognized national standing present fairly in all material respects the consolidated financial condition of the Borrower and its consolidated Subsidiaries as at such date, and the consolidated income, stockholders’ equity and cash flows for the fiscal year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182" w:lineRule="exact"/>
        <w:rPr>
          <w:rFonts w:ascii="Arial" w:cs="Arial" w:eastAsia="Arial" w:hAnsi="Arial"/>
          <w:sz w:val="16"/>
          <w:szCs w:val="16"/>
          <w:color w:val="auto"/>
        </w:rPr>
      </w:pPr>
    </w:p>
    <w:p>
      <w:pPr>
        <w:jc w:val="both"/>
        <w:ind w:left="960" w:firstLine="604"/>
        <w:spacing w:after="0" w:line="258" w:lineRule="auto"/>
        <w:tabs>
          <w:tab w:leader="none" w:pos="235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No Loan Party or Restricted Subsidiary has, as of the Closing Date, after giving effect to the Transactions, and excluding obligations under the Loan Documents, any material Guarantee Obligations, contingent liabilities or any long term leases or unusual forward or long term commitments, including any interest rate or foreign currency swap or exchange transaction or other obligation in respect of derivative, which are required in conformity with GAAP to be disclosed therein and which are not reflected in the most recent financial statements referred to in paragraphs (b) and (c)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53" w:lineRule="exact"/>
        <w:rPr>
          <w:sz w:val="20"/>
          <w:szCs w:val="20"/>
          <w:color w:val="auto"/>
        </w:rPr>
      </w:pPr>
    </w:p>
    <w:p>
      <w:pPr>
        <w:ind w:left="960" w:right="40" w:firstLine="602"/>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 Change</w:t>
      </w:r>
      <w:r>
        <w:rPr>
          <w:rFonts w:ascii="Arial" w:cs="Arial" w:eastAsia="Arial" w:hAnsi="Arial"/>
          <w:sz w:val="18"/>
          <w:szCs w:val="18"/>
          <w:color w:val="auto"/>
        </w:rPr>
        <w:t>. Since December 31, 2020, there has been no development or event that has had or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720"/>
          </w:cols>
          <w:pgMar w:left="360" w:top="1326" w:right="819" w:bottom="1440" w:gutter="0" w:footer="0" w:header="0"/>
        </w:sectPr>
      </w:pPr>
    </w:p>
    <w:bookmarkStart w:id="196" w:name="page197"/>
    <w:bookmarkEnd w:id="196"/>
    <w:p>
      <w:pPr>
        <w:jc w:val="both"/>
        <w:ind w:left="960" w:right="20" w:firstLine="602"/>
        <w:spacing w:after="0" w:line="23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Each Loan Party (a) is duly organized or incorporated, validly existing and in good standing (to the extent such concept exists) under the laws of the jurisdiction of its organization or incorporation, (b) has the power, capacity and authority, and the legal right, to own and operate its property, to lease the property it operates as lessee and to conduct the business in which it is currently engaged, (c) is duly qualified as a foreign corporation or other organization and in good standing (to the extent such concept exists) under the laws of each jurisdiction where its ownership, lease or operation of property or the conduct of its business requires such qualification except where the failure to be so qualified or in good standing (to the extent such concept exists) would not reasonably be expected to result in a Material Adverse Effect and (d) is in compliance with all Requirements of Law, except to the extent that the failure to comply therewith would not, in the aggregate, reasonably be expected to have a Material Adverse Effect.</w:t>
      </w:r>
    </w:p>
    <w:p>
      <w:pPr>
        <w:spacing w:after="0" w:line="212" w:lineRule="exact"/>
        <w:rPr>
          <w:sz w:val="20"/>
          <w:szCs w:val="20"/>
          <w:color w:val="auto"/>
        </w:rPr>
      </w:pPr>
    </w:p>
    <w:p>
      <w:pPr>
        <w:jc w:val="both"/>
        <w:ind w:left="960" w:firstLine="601"/>
        <w:spacing w:after="0" w:line="26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Subject to any matters which are set out as qualifications or reservations as to matters of law of general application in the legal opinions provided pursuant to Section 7.1(f), each Loan Party has the power, capacity and authority, and the legal right, to make, deliver and perform the Loan Documents to which it is a party and, in the case of the Borrower, to obtain extensions of credit hereunder. Each Loan Party has taken all necessary organizational or corporate action to authorize the execution, delivery and performance of the Loan Documents to which it is a party and, in the case of the Borrower, to authorize the extensions of credit on the terms and conditions of this Agreement and to authorize the other Transactions.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examinership, reorganization, moratorium or similar laws affecting the enforcement of creditors’ rights generally and by general equitable principles (whether enforcement is sought by proceedings in equity or at law).</w:t>
      </w:r>
    </w:p>
    <w:p>
      <w:pPr>
        <w:spacing w:after="0" w:line="173" w:lineRule="exact"/>
        <w:rPr>
          <w:sz w:val="20"/>
          <w:szCs w:val="20"/>
          <w:color w:val="auto"/>
        </w:rPr>
      </w:pPr>
    </w:p>
    <w:p>
      <w:pPr>
        <w:jc w:val="both"/>
        <w:ind w:left="960" w:right="20" w:firstLine="602"/>
        <w:spacing w:after="0" w:line="23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Consents</w:t>
      </w:r>
      <w:r>
        <w:rPr>
          <w:rFonts w:ascii="Arial" w:cs="Arial" w:eastAsia="Arial" w:hAnsi="Arial"/>
          <w:sz w:val="18"/>
          <w:szCs w:val="18"/>
          <w:color w:val="auto"/>
        </w:rPr>
        <w: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that have been obtained or made and are in full force and effect and (ii) the filings referred to in Section</w:t>
      </w:r>
    </w:p>
    <w:p>
      <w:pPr>
        <w:spacing w:after="0" w:line="1" w:lineRule="exact"/>
        <w:rPr>
          <w:sz w:val="20"/>
          <w:szCs w:val="20"/>
          <w:color w:val="auto"/>
        </w:rPr>
      </w:pPr>
    </w:p>
    <w:p>
      <w:pPr>
        <w:jc w:val="both"/>
        <w:ind w:left="960" w:right="20"/>
        <w:spacing w:after="0" w:line="232" w:lineRule="auto"/>
        <w:rPr>
          <w:sz w:val="20"/>
          <w:szCs w:val="20"/>
          <w:color w:val="auto"/>
        </w:rPr>
      </w:pPr>
      <w:r>
        <w:rPr>
          <w:rFonts w:ascii="Arial" w:cs="Arial" w:eastAsia="Arial" w:hAnsi="Arial"/>
          <w:sz w:val="18"/>
          <w:szCs w:val="18"/>
          <w:color w:val="auto"/>
        </w:rPr>
        <w:t>6.19. No Governmental Approval or consent or authorization of, filing with, notice to or other act by or in respect of, any other Person is required in connection with the consummation of the Transactions (excluding the Loan Documents), except (i) Governmental Approvals, consents, authorizations, filings and notices that have been obtained or made and are in full force and effect, (ii) the filings referred to in Section 6.19 and</w:t>
      </w:r>
    </w:p>
    <w:p>
      <w:pPr>
        <w:spacing w:after="0" w:line="2" w:lineRule="exact"/>
        <w:rPr>
          <w:sz w:val="20"/>
          <w:szCs w:val="20"/>
          <w:color w:val="auto"/>
        </w:rPr>
      </w:pPr>
    </w:p>
    <w:p>
      <w:pPr>
        <w:ind w:left="1760" w:hanging="797"/>
        <w:spacing w:after="0"/>
        <w:tabs>
          <w:tab w:leader="none" w:pos="17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those, the failure of which to obtain or make would not reasonably be expected to have a Material Adverse Effect.</w:t>
      </w:r>
    </w:p>
    <w:p>
      <w:pPr>
        <w:spacing w:after="0" w:line="227" w:lineRule="exact"/>
        <w:rPr>
          <w:sz w:val="20"/>
          <w:szCs w:val="20"/>
          <w:color w:val="auto"/>
        </w:rPr>
      </w:pPr>
    </w:p>
    <w:p>
      <w:pPr>
        <w:jc w:val="both"/>
        <w:ind w:left="960" w:firstLine="602"/>
        <w:spacing w:after="0" w:line="269"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the issuance of Letters of Credit, the borrowings hereunder and the use of the proceeds thereof will not violate any material Requirement of Law, any Contractual Obligation of any Loan Party that is material to the Borrower and its Restricted Subsidiaries, taken as a whole, or the Organizational Documents of any Loan Party and will not result in, or require, the creation or imposition of any Lien on any of their respective properties or revenues pursuant to any Requirement of Law, any such Organizational Documents or any such Contractual Obligation (other than the Liens created by the Security Documents). The consummation of the Transactions (excluding the Loan Documents) will not (a) violate (x) any Requirement of Law or any Contractual Obligation of any Loan Party, except as would not reasonably be expected to have a Material Adverse Effect or (y) the Organizational Documents of any Loan Party and (b) will not result in, or require, the creation or imposition of any Lien on any of their respective properties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337185</wp:posOffset>
            </wp:positionV>
            <wp:extent cx="326390" cy="182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720"/>
          </w:cols>
          <w:pgMar w:left="360" w:top="1326" w:right="819" w:bottom="1440" w:gutter="0" w:footer="0" w:header="0"/>
        </w:sectPr>
      </w:pPr>
    </w:p>
    <w:bookmarkStart w:id="197" w:name="page198"/>
    <w:bookmarkEnd w:id="197"/>
    <w:p>
      <w:pPr>
        <w:ind w:left="960"/>
        <w:spacing w:after="0" w:line="263" w:lineRule="auto"/>
        <w:rPr>
          <w:sz w:val="20"/>
          <w:szCs w:val="20"/>
          <w:color w:val="auto"/>
        </w:rPr>
      </w:pPr>
      <w:r>
        <w:rPr>
          <w:rFonts w:ascii="Arial" w:cs="Arial" w:eastAsia="Arial" w:hAnsi="Arial"/>
          <w:sz w:val="18"/>
          <w:szCs w:val="18"/>
          <w:color w:val="auto"/>
        </w:rPr>
        <w:t>revenues pursuant to any Requirement of Law, any such Organizational Documents or any such Contractual Obligation (other than the Liens created by the Security Documents).</w:t>
      </w:r>
    </w:p>
    <w:p>
      <w:pPr>
        <w:spacing w:after="0" w:line="186" w:lineRule="exact"/>
        <w:rPr>
          <w:sz w:val="20"/>
          <w:szCs w:val="20"/>
          <w:color w:val="auto"/>
        </w:rPr>
      </w:pPr>
    </w:p>
    <w:p>
      <w:pPr>
        <w:jc w:val="both"/>
        <w:ind w:left="960" w:right="160" w:firstLine="602"/>
        <w:spacing w:after="0" w:line="24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Litigation</w:t>
      </w:r>
      <w:r>
        <w:rPr>
          <w:rFonts w:ascii="Arial" w:cs="Arial" w:eastAsia="Arial" w:hAnsi="Arial"/>
          <w:sz w:val="18"/>
          <w:szCs w:val="18"/>
          <w:color w:val="auto"/>
        </w:rPr>
        <w:t>. No litigation, investigation or proceeding of or before any arbitrator or Governmental Authority is pending or, to the knowledge of any Loan Party, threatened by or against any Loan Party or Restricted Subsidiary or against any of their respective properties, assets or revenues (a) with respect to any of the Loan Documents or any of the transactions contemplated hereby or thereby, or (b) that would reasonably be expected to have a Material Adverse Effect.</w:t>
      </w:r>
    </w:p>
    <w:p>
      <w:pPr>
        <w:spacing w:after="0" w:line="19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307" w:lineRule="exact"/>
        <w:rPr>
          <w:sz w:val="20"/>
          <w:szCs w:val="20"/>
          <w:color w:val="auto"/>
        </w:rPr>
      </w:pPr>
    </w:p>
    <w:p>
      <w:pPr>
        <w:jc w:val="both"/>
        <w:ind w:left="960" w:right="140" w:firstLine="602"/>
        <w:spacing w:after="0" w:line="23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Each Loan Party and each Restricted Subsidiary has good record and marketable title in fee simple to, or valid leasehold interests in, or easements or other limited property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Section 9.7 and except where the failure to have such title would not reasonably be expected to have, individually or in the aggregate, a Material Adverse Effect.</w:t>
      </w:r>
    </w:p>
    <w:p>
      <w:pPr>
        <w:spacing w:after="0" w:line="205" w:lineRule="exact"/>
        <w:rPr>
          <w:sz w:val="20"/>
          <w:szCs w:val="20"/>
          <w:color w:val="auto"/>
        </w:rPr>
      </w:pPr>
    </w:p>
    <w:p>
      <w:pPr>
        <w:jc w:val="both"/>
        <w:ind w:left="960" w:right="160" w:firstLine="601"/>
        <w:spacing w:after="0" w:line="26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would not reasonably be expected to have a Material Adverse Effect, the Loan Parties and the Restricted Subsidiaries own, or are licensed to use, all Intellectual Property used in the conduct of the business (which shall include, for the avoidance of doubt, Intellectual Property that the Borrower or its Restricted Subsidiaries license to their customers) of the Borrower and its Restricted Subsidiaries as currently conducted. No claim has been asserted and is pending by any Person challenging or questioning any use by any Loan Party or by a Restricted Subsidiary of any Intellectual Property or the validity or effectiveness of any Intellectual Property of any Loan Party or of any Restricted Subsidiary or alleging that the conduct of business by any Loan Party or by any Restricted Subsidiary infringes or violates the rights of any Person, nor does the Borrower know of any valid basis for any such claim, except for such claims or allegations that would not reasonably be expected to have a Material Adverse Effect on the operations of the business conducted by the Borrower and its Restricted Subsidiaries.</w:t>
      </w:r>
    </w:p>
    <w:p>
      <w:pPr>
        <w:spacing w:after="0" w:line="175" w:lineRule="exact"/>
        <w:rPr>
          <w:sz w:val="20"/>
          <w:szCs w:val="20"/>
          <w:color w:val="auto"/>
        </w:rPr>
      </w:pPr>
    </w:p>
    <w:p>
      <w:pPr>
        <w:jc w:val="both"/>
        <w:ind w:left="960" w:right="140" w:firstLine="602"/>
        <w:spacing w:after="0" w:line="236"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Taxes</w:t>
      </w:r>
      <w:r>
        <w:rPr>
          <w:rFonts w:ascii="Arial" w:cs="Arial" w:eastAsia="Arial" w:hAnsi="Arial"/>
          <w:sz w:val="18"/>
          <w:szCs w:val="18"/>
          <w:color w:val="auto"/>
        </w:rPr>
        <w:t>. Each Restricted Subsidiary and each Loan Party has filed or caused to be filed all Tax returns that are required to be filed and has paid or caused to be paid all Taxes due and payable (including in its capacity as a withholding agent), whether or not shown on such returns, and any assessments made against it or any of its property and all other Taxes imposed on it or any of its property by any Governmental Authority (other than any such Taxes the amount or validity of which are currently being contested in good faith by appropriate proceedings and with respect to which reserves in conformity with GAAP have been provided on the books of the relevant Restricted Subsidiary or Loan Party) except to the extent that failure to do so could not reasonably be expected to have a Material Adverse Effect. No Tax assessment, deficiency or other claim has been filed, and, to the knowledge of any of the Loan Parties, is being threatened in writing, with respect to any Taxes that has had or could reasonably be expected to have a Material Adverse Effect.</w:t>
      </w:r>
    </w:p>
    <w:p>
      <w:pPr>
        <w:spacing w:after="0" w:line="212" w:lineRule="exact"/>
        <w:rPr>
          <w:sz w:val="20"/>
          <w:szCs w:val="20"/>
          <w:color w:val="auto"/>
        </w:rPr>
      </w:pPr>
    </w:p>
    <w:p>
      <w:pPr>
        <w:jc w:val="both"/>
        <w:ind w:left="960" w:right="160" w:firstLine="602"/>
        <w:spacing w:after="0" w:line="242"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Loan Party or Restricted Subsidiary is engaged principally, or as one of its important activities, in the business of extending credit for the purpose, whether immediate, incidental or ultimate, of buying or carrying Margin Stock, and no part of the proceeds of any Loans, and no other extensions of credit hereunder, will be used for any purpose that violates the provisions of Regulation U or X of the Board.</w:t>
      </w:r>
    </w:p>
    <w:p>
      <w:pPr>
        <w:spacing w:after="0" w:line="206" w:lineRule="exact"/>
        <w:rPr>
          <w:sz w:val="20"/>
          <w:szCs w:val="20"/>
          <w:color w:val="auto"/>
        </w:rPr>
      </w:pPr>
    </w:p>
    <w:p>
      <w:pPr>
        <w:jc w:val="both"/>
        <w:ind w:left="960" w:right="160" w:firstLine="602"/>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individually or in the aggregate, would not reasonably be expected to have a Material Adverse Effect: (a) there are no strikes or other labor disputes against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860"/>
          </w:cols>
          <w:pgMar w:left="360" w:top="1326" w:right="679" w:bottom="1440" w:gutter="0" w:footer="0" w:header="0"/>
        </w:sectPr>
      </w:pPr>
    </w:p>
    <w:bookmarkStart w:id="198" w:name="page199"/>
    <w:bookmarkEnd w:id="198"/>
    <w:p>
      <w:pPr>
        <w:jc w:val="both"/>
        <w:ind w:left="960" w:right="20"/>
        <w:spacing w:after="0"/>
        <w:rPr>
          <w:sz w:val="20"/>
          <w:szCs w:val="20"/>
          <w:color w:val="auto"/>
        </w:rPr>
      </w:pPr>
      <w:r>
        <w:rPr>
          <w:rFonts w:ascii="Arial" w:cs="Arial" w:eastAsia="Arial" w:hAnsi="Arial"/>
          <w:sz w:val="18"/>
          <w:szCs w:val="18"/>
          <w:color w:val="auto"/>
        </w:rPr>
        <w:t>Loan Party or Restricted Subsidiary pending or, to the knowledge of any Loan Party, threatened; (b) hours worked by and payment made to employees of each Loan Party and each Restricted Subsidiary have not been in violation of the Fair Labor Standards Act or any other applicable Requirement of Law dealing with such matters; and (c) all payments due from any Loan Party or Restricted Subsidiary on account of employee health and welfare insurance have been paid or accrued as a liability on the books of the relevant Loan Party or Restricted Subsidiary, as applicable.</w:t>
      </w:r>
    </w:p>
    <w:p>
      <w:pPr>
        <w:spacing w:after="0" w:line="20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47" w:lineRule="auto"/>
        <w:tabs>
          <w:tab w:leader="none" w:pos="235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Except as, individually or in the aggregate, would not reasonably be expected to result in Material Adverse Effect, (i) neither a Reportable Event nor a failure to meet the minimum funding standards of Section 412 or 430 of the Code or Section 302 or 303 of ERISA has occurred with respect to any Single Employer Plan or Multiemployer Plan during the six-year period prior to the date on which this representation is made or deemed made, (ii) no Plan has applied for or received a waiver of the minimum funding standard or an extension of any amortization period within the meaning of Section 412 of the Code or Section 302 or 304 of ERISA, (iii) each Plan has complied and is in compliance in form and operation with its terms and with the applicable provisions of ERISA and the Code (including without limitation the Code provisions compliance with which is necessary for any intended favorable tax treatment) and all other applicable laws and regulations, except where any failure to comply would not reasonably be excepted to result in any material liability, (iv) no determination has been made that any Plan is, or is expected to be, considered an at-risk plan within the meaning of Section 430 of the Code or Section 303 of ERISA, (v) all contributions required to have been made with respect to a Plan have been timely made or have been reflected on the most recent consolidated balance sheet filed prior to the Closing Date or accrued in the accounting records of the Borrower and (vi) no termination of a Single Employer Plan has occurred, no proceedings have been instituted to terminate or appoint a trustee to administer any Single Employer Plan, and no Lien in favor of the PBGC or a Plan has arisen. There exists no material Unfunded Pension Liability with respect to any Single Employer Plan in excess of $20,000,000. None of the Borrower, any Restricted Subsidiary or any Commonly Controlled Entity has had a complete or partial withdrawal from any Multiemployer Plan that has resulted or could reasonably be expected to result in a material liability under ERISA, and none of the Borrower, any Restricted Subsidiary or any Commonly Controlled Entity would become subject to any material liability under ERISA if the Borrower, any such Restricted Subsidiary or any such Commonly Controlled Entity were to withdraw completely from all Multiemployer Plans as of the valuation date most closely preceding the date on which this representation is made or deemed made. To the knowledge of the Borrower, any Restricted Subsidiary or any Commonly Controlled Entity, except as, individually or in the aggregate, would not reasonably be expected to result in a Material Adverse Effect, no such Multiemployer Plan is Insolvent and none of the Borrower, any Restricted Subsidiary or any Commonly Controlled Entity has received any notice, and no Multiemployer Plan has received from the Borrower, any Restricted Subsidiary or any Commonly Controlled Entity any notice that a Multiemployer Plan is in endangered or critical status under Section 305 of ERISA. None of the Borrower, any Restricted Subsidiary or any Commonly Controlled Entity has engaged in a non-exempt prohibited transaction within the meaning of Section 4975 of the Code or Section 406 of ERISA with respect to a Plan that has resulted or could reasonably be expected to result in material liability, and none of the Borrower, any Restricted Subsidiary nor any Commonly Controlled Entity has incurred any material liability under Title IV of ERISA with respect to any Plan (other than premiums due and not delinquent under Section 4007 of ERISA), except as, individually or in the aggregate, would not reasonably be expected to result in a Material Adverse Effect.</w:t>
      </w:r>
    </w:p>
    <w:p>
      <w:pPr>
        <w:spacing w:after="0" w:line="209" w:lineRule="exact"/>
        <w:rPr>
          <w:rFonts w:ascii="Arial" w:cs="Arial" w:eastAsia="Arial" w:hAnsi="Arial"/>
          <w:sz w:val="17"/>
          <w:szCs w:val="17"/>
          <w:color w:val="auto"/>
        </w:rPr>
      </w:pPr>
    </w:p>
    <w:p>
      <w:pPr>
        <w:jc w:val="both"/>
        <w:ind w:left="960" w:right="20" w:firstLine="604"/>
        <w:spacing w:after="0" w:line="248" w:lineRule="auto"/>
        <w:tabs>
          <w:tab w:leader="none" w:pos="23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respect of each Plan (other than a Non-U.S. Plan), there are no actions, suits or claims pending against or involving a Plan (other than routine claims for benefits) or, to the knowledge of the Borrower, any Restricted Subsidiary or any Commonly Controlled Entity, threatened, which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720"/>
          </w:cols>
          <w:pgMar w:left="360" w:top="1326" w:right="819" w:bottom="1440" w:gutter="0" w:footer="0" w:header="0"/>
        </w:sectPr>
      </w:pPr>
    </w:p>
    <w:bookmarkStart w:id="199" w:name="page200"/>
    <w:bookmarkEnd w:id="199"/>
    <w:p>
      <w:pPr>
        <w:ind w:left="960" w:right="200"/>
        <w:spacing w:after="0" w:line="263" w:lineRule="auto"/>
        <w:rPr>
          <w:sz w:val="20"/>
          <w:szCs w:val="20"/>
          <w:color w:val="auto"/>
        </w:rPr>
      </w:pPr>
      <w:r>
        <w:rPr>
          <w:rFonts w:ascii="Arial" w:cs="Arial" w:eastAsia="Arial" w:hAnsi="Arial"/>
          <w:sz w:val="18"/>
          <w:szCs w:val="18"/>
          <w:color w:val="auto"/>
        </w:rPr>
        <w:t>reasonably be expected to be asserted successfully against any Plan and, if so asserted successfully, would reasonably be expected either singly or in the aggregate to result in a Material Adverse Effect.</w:t>
      </w:r>
    </w:p>
    <w:p>
      <w:pPr>
        <w:spacing w:after="0" w:line="186" w:lineRule="exact"/>
        <w:rPr>
          <w:sz w:val="20"/>
          <w:szCs w:val="20"/>
          <w:color w:val="auto"/>
        </w:rPr>
      </w:pPr>
    </w:p>
    <w:p>
      <w:pPr>
        <w:jc w:val="both"/>
        <w:ind w:left="960" w:firstLine="605"/>
        <w:spacing w:after="0" w:line="270" w:lineRule="auto"/>
        <w:tabs>
          <w:tab w:leader="none" w:pos="235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individually or in the aggregate, in a Material Adverse Effect. Except as individually or in the aggregate, would not reasonably be expected to result in a Material Adverse Effect, all material contributions required to have been made by the Borrower or any Restricted Subsidiary with respect to a Non U.S. Plan have been timely made. The present value of the accrued benefit liabilities (whether or not vested) under each Non-U.S. Plan, determined as of the end of the Borrower’s most recently ended fiscal year on the basis of actuarial assumptions, each of which is reasonable, did not materially exceed the current value of the assets of such Non-U.S. Plan allocable to such benefit liabilities.</w:t>
      </w:r>
    </w:p>
    <w:p>
      <w:pPr>
        <w:spacing w:after="0" w:line="174" w:lineRule="exact"/>
        <w:rPr>
          <w:rFonts w:ascii="Arial" w:cs="Arial" w:eastAsia="Arial" w:hAnsi="Arial"/>
          <w:sz w:val="16"/>
          <w:szCs w:val="16"/>
          <w:color w:val="auto"/>
        </w:rPr>
      </w:pPr>
    </w:p>
    <w:p>
      <w:pPr>
        <w:jc w:val="both"/>
        <w:ind w:left="960" w:right="20" w:firstLine="605"/>
        <w:spacing w:after="0" w:line="248" w:lineRule="auto"/>
        <w:tabs>
          <w:tab w:leader="none" w:pos="23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Borrower represents and warrants as of the Closing Date that the Borrower is not and will not be using “plan assets” (within the meaning of 29 CFR § 2510.3-101, as modified by Section 3(42) of ERISA) of one or more Benefit Plans in connection with the Loans, the Letters of Credit or the Commitments.</w:t>
      </w:r>
    </w:p>
    <w:p>
      <w:pPr>
        <w:spacing w:after="0" w:line="198"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No Loan Party is an “investment company” as such quoted term is defined in the Investment Company Act of 1940, as amended. Neither the Borrower nor any of its Restricted Subsidiaries is subject to regulation under any other federal or state statute or regulation which may limit its ability to incur Indebtedness or which may otherwise render all or any portion of the Obligations unenforceable.</w:t>
      </w:r>
    </w:p>
    <w:p>
      <w:pPr>
        <w:spacing w:after="0" w:line="20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 As of the Closing Date and after giving effect to the Transactions, Schedule</w:t>
      </w:r>
    </w:p>
    <w:p>
      <w:pPr>
        <w:spacing w:after="0" w:line="10" w:lineRule="exact"/>
        <w:rPr>
          <w:sz w:val="20"/>
          <w:szCs w:val="20"/>
          <w:color w:val="auto"/>
        </w:rPr>
      </w:pPr>
    </w:p>
    <w:p>
      <w:pPr>
        <w:ind w:left="960" w:right="160"/>
        <w:spacing w:after="0" w:line="245" w:lineRule="auto"/>
        <w:rPr>
          <w:sz w:val="20"/>
          <w:szCs w:val="20"/>
          <w:color w:val="auto"/>
        </w:rPr>
      </w:pPr>
      <w:r>
        <w:rPr>
          <w:rFonts w:ascii="Arial" w:cs="Arial" w:eastAsia="Arial" w:hAnsi="Arial"/>
          <w:sz w:val="18"/>
          <w:szCs w:val="18"/>
          <w:color w:val="auto"/>
        </w:rPr>
        <w:t>6.16 sets forth the name and jurisdiction of organization of each Subsidiary and, as to each such Subsidiary, the percentage of each class of Capital Stock owned by any Loan Party.</w:t>
      </w:r>
    </w:p>
    <w:p>
      <w:pPr>
        <w:spacing w:after="0" w:line="188" w:lineRule="exact"/>
        <w:rPr>
          <w:sz w:val="20"/>
          <w:szCs w:val="20"/>
          <w:color w:val="auto"/>
        </w:rPr>
      </w:pPr>
    </w:p>
    <w:p>
      <w:pPr>
        <w:ind w:left="960" w:right="20" w:firstLine="602"/>
        <w:spacing w:after="0" w:line="263"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in the aggregate, would not reasonably be expected to have a Material Adverse Effect:</w:t>
      </w:r>
    </w:p>
    <w:p>
      <w:pPr>
        <w:spacing w:after="0" w:line="186" w:lineRule="exact"/>
        <w:rPr>
          <w:sz w:val="20"/>
          <w:szCs w:val="20"/>
          <w:color w:val="auto"/>
        </w:rPr>
      </w:pPr>
    </w:p>
    <w:p>
      <w:pPr>
        <w:jc w:val="both"/>
        <w:ind w:left="1560" w:right="20" w:firstLine="606"/>
        <w:spacing w:after="0" w:line="277" w:lineRule="auto"/>
        <w:tabs>
          <w:tab w:leader="none" w:pos="295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Materials of Environmental Concern have not been released, generated, treated, stored or disposed of at, on or under, or disposed or transported from, any real properties currently owned, leased or operated by any Loan Party or any Restricted Subsidiary (the “</w:t>
      </w:r>
      <w:r>
        <w:rPr>
          <w:rFonts w:ascii="Arial" w:cs="Arial" w:eastAsia="Arial" w:hAnsi="Arial"/>
          <w:sz w:val="16"/>
          <w:szCs w:val="16"/>
          <w:u w:val="single" w:color="auto"/>
          <w:color w:val="auto"/>
        </w:rPr>
        <w:t>Properties</w:t>
      </w:r>
      <w:r>
        <w:rPr>
          <w:rFonts w:ascii="Arial" w:cs="Arial" w:eastAsia="Arial" w:hAnsi="Arial"/>
          <w:sz w:val="16"/>
          <w:szCs w:val="16"/>
          <w:color w:val="auto"/>
        </w:rPr>
        <w:t>”), or, during the period of ownership, lease or operation by any Loan Party or Restricted Subsidiary, any Real Property formerly owned, leased or operated by any Loan Party or any Restricted Subsidiary, in violation of, or in a manner that could give rise to liability under, any applicable Environmental Law;</w:t>
      </w:r>
    </w:p>
    <w:p>
      <w:pPr>
        <w:spacing w:after="0" w:line="179" w:lineRule="exact"/>
        <w:rPr>
          <w:rFonts w:ascii="Arial" w:cs="Arial" w:eastAsia="Arial" w:hAnsi="Arial"/>
          <w:sz w:val="16"/>
          <w:szCs w:val="16"/>
          <w:color w:val="auto"/>
        </w:rPr>
      </w:pPr>
    </w:p>
    <w:p>
      <w:pPr>
        <w:jc w:val="both"/>
        <w:ind w:left="1560" w:firstLine="606"/>
        <w:spacing w:after="0" w:line="252" w:lineRule="auto"/>
        <w:tabs>
          <w:tab w:leader="none" w:pos="295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 no judicial proceeding, governmental or administrative action, or notice of violation is pending or, to the knowledge of any Loan Party, threatened, under any Environmental Law to which any Loan Party or any Restricted Subsidiary is or will be named as a party with respect to the Properties or the business operated by any Loan Party or any Restricted Subsidiary (collectively, “</w:t>
      </w:r>
      <w:r>
        <w:rPr>
          <w:rFonts w:ascii="Arial" w:cs="Arial" w:eastAsia="Arial" w:hAnsi="Arial"/>
          <w:sz w:val="17"/>
          <w:szCs w:val="17"/>
          <w:u w:val="single" w:color="auto"/>
          <w:color w:val="auto"/>
        </w:rPr>
        <w:t>Environmental Proceedings</w:t>
      </w:r>
      <w:r>
        <w:rPr>
          <w:rFonts w:ascii="Arial" w:cs="Arial" w:eastAsia="Arial" w:hAnsi="Arial"/>
          <w:sz w:val="17"/>
          <w:szCs w:val="17"/>
          <w:color w:val="auto"/>
        </w:rPr>
        <w:t>”); (ii) there are no consent decrees, consent orders, administrative orders, or other orders or decrees outstanding under any Environmental Law with respect to the Properties or the business operated by any Loan Party or any Restricted Subsidiary (collectively, “</w:t>
      </w:r>
      <w:r>
        <w:rPr>
          <w:rFonts w:ascii="Arial" w:cs="Arial" w:eastAsia="Arial" w:hAnsi="Arial"/>
          <w:sz w:val="17"/>
          <w:szCs w:val="17"/>
          <w:u w:val="single" w:color="auto"/>
          <w:color w:val="auto"/>
        </w:rPr>
        <w:t>Environmental Orders</w:t>
      </w:r>
      <w:r>
        <w:rPr>
          <w:rFonts w:ascii="Arial" w:cs="Arial" w:eastAsia="Arial" w:hAnsi="Arial"/>
          <w:sz w:val="17"/>
          <w:szCs w:val="17"/>
          <w:color w:val="auto"/>
        </w:rPr>
        <w:t>”); and (iii) to the knowledge of any Loan Party, there are no past or present actions, activities, circumstances, conditions, events or incidents with respect to the Properties or the business operated by any Loan Party or any Restricted Subsidiary, including, without limitation, the release, emission, discharge, presence or disposal of any Materials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720"/>
          </w:cols>
          <w:pgMar w:left="360" w:top="1326" w:right="819" w:bottom="1440" w:gutter="0" w:footer="0" w:header="0"/>
        </w:sectPr>
      </w:pPr>
    </w:p>
    <w:bookmarkStart w:id="200" w:name="page201"/>
    <w:bookmarkEnd w:id="200"/>
    <w:p>
      <w:pPr>
        <w:jc w:val="both"/>
        <w:ind w:left="1560" w:right="20"/>
        <w:spacing w:after="0" w:line="242" w:lineRule="auto"/>
        <w:rPr>
          <w:sz w:val="20"/>
          <w:szCs w:val="20"/>
          <w:color w:val="auto"/>
        </w:rPr>
      </w:pPr>
      <w:r>
        <w:rPr>
          <w:rFonts w:ascii="Arial" w:cs="Arial" w:eastAsia="Arial" w:hAnsi="Arial"/>
          <w:sz w:val="18"/>
          <w:szCs w:val="18"/>
          <w:color w:val="auto"/>
        </w:rPr>
        <w:t>Environmental Concern, that could form the basis of any such Environmental Proceeding or Environmental Order against any Loan Party or any Restricted Subsidiary or against any person or entity whose liability for any such Environmental Proceeding or Environmental Order any Loan Party or any Restricted Subsidiary has retained or assumed either contractually or by operation of law; and</w:t>
      </w:r>
    </w:p>
    <w:p>
      <w:pPr>
        <w:spacing w:after="0" w:line="206" w:lineRule="exact"/>
        <w:rPr>
          <w:sz w:val="20"/>
          <w:szCs w:val="20"/>
          <w:color w:val="auto"/>
        </w:rPr>
      </w:pPr>
    </w:p>
    <w:p>
      <w:pPr>
        <w:ind w:left="1560" w:right="200" w:firstLine="607"/>
        <w:spacing w:after="0" w:line="263" w:lineRule="auto"/>
        <w:tabs>
          <w:tab w:leader="none" w:pos="2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Properties and all operations by any Loan Party and any Restricted Subsidiary are and have been in compliance with all applicable Environmental Laws.</w:t>
      </w:r>
    </w:p>
    <w:p>
      <w:pPr>
        <w:spacing w:after="0" w:line="173" w:lineRule="exact"/>
        <w:rPr>
          <w:sz w:val="20"/>
          <w:szCs w:val="20"/>
          <w:color w:val="auto"/>
        </w:rPr>
      </w:pPr>
    </w:p>
    <w:p>
      <w:pPr>
        <w:jc w:val="both"/>
        <w:ind w:left="960" w:firstLine="602"/>
        <w:spacing w:after="0" w:line="249"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Accuracy of Information, etc.</w:t>
      </w:r>
      <w:r>
        <w:rPr>
          <w:rFonts w:ascii="Arial" w:cs="Arial" w:eastAsia="Arial" w:hAnsi="Arial"/>
          <w:sz w:val="17"/>
          <w:szCs w:val="17"/>
          <w:color w:val="auto"/>
        </w:rPr>
        <w:t xml:space="preserve"> No written statement or information (other than the projections specified below and information of a general economic or general industry nature) concerning any Loan Party or Restricted Subsidiary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materially misleading. The projections and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financial information, taken as a whole, contained in the materials referenced above are based upon good faith estimates and assumptions believed by management of the Borrower to be reasonable at the time made and as of the Closing Date (with respect to such projections and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financial information delivered prior to the Closing Date), it being recognized by the Lenders that such financial information as it relates to future events is not to be viewed as fact, forecasts and projections are subject to uncertainties and contingencies, actual results during the period or periods covered by such financial information may differ from the projected results set forth therein by a material amount and no assurance can be given that any forecast or projections will be realized. As of the Closing Date, the information included in the Beneficial Ownership Certification is true and correct in all material respects.</w:t>
      </w:r>
    </w:p>
    <w:p>
      <w:pPr>
        <w:spacing w:after="0" w:line="208" w:lineRule="exact"/>
        <w:rPr>
          <w:sz w:val="20"/>
          <w:szCs w:val="20"/>
          <w:color w:val="auto"/>
        </w:rPr>
      </w:pPr>
    </w:p>
    <w:p>
      <w:pPr>
        <w:jc w:val="both"/>
        <w:ind w:left="960" w:right="20" w:firstLine="602"/>
        <w:spacing w:after="0" w:line="265"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Subject to any matters which are set out as qualifications or reservations as to matters of law of general application in the legal opinions provided pursuant to </w:t>
      </w:r>
      <w:r>
        <w:rPr>
          <w:rFonts w:ascii="Arial" w:cs="Arial" w:eastAsia="Arial" w:hAnsi="Arial"/>
          <w:sz w:val="16"/>
          <w:szCs w:val="16"/>
          <w:u w:val="single" w:color="auto"/>
          <w:color w:val="auto"/>
        </w:rPr>
        <w:t>Section 7.1(f)</w:t>
      </w:r>
      <w:r>
        <w:rPr>
          <w:rFonts w:ascii="Arial" w:cs="Arial" w:eastAsia="Arial" w:hAnsi="Arial"/>
          <w:sz w:val="16"/>
          <w:szCs w:val="16"/>
          <w:color w:val="auto"/>
        </w:rPr>
        <w:t>, each of the Security Documents is effective to create in favor of the Collateral Agent, for the benefit of the Secured Parties, a legal, valid and enforceable security interest in the Collateral described therein and proceeds thereof. In the case of (i) the Capital Stock described in the Security Agreement that are securities represented by stock certificates or otherwise constituting certificated securities within the meaning of Section 8-102(a)</w:t>
      </w:r>
    </w:p>
    <w:p>
      <w:pPr>
        <w:spacing w:after="0" w:line="3" w:lineRule="exact"/>
        <w:rPr>
          <w:sz w:val="20"/>
          <w:szCs w:val="20"/>
          <w:color w:val="auto"/>
        </w:rPr>
      </w:pPr>
    </w:p>
    <w:p>
      <w:pPr>
        <w:jc w:val="both"/>
        <w:ind w:left="960" w:right="20" w:firstLine="3"/>
        <w:spacing w:after="0" w:line="232" w:lineRule="auto"/>
        <w:tabs>
          <w:tab w:leader="none" w:pos="133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of the UCC (the “</w:t>
      </w:r>
      <w:r>
        <w:rPr>
          <w:rFonts w:ascii="Arial" w:cs="Arial" w:eastAsia="Arial" w:hAnsi="Arial"/>
          <w:sz w:val="18"/>
          <w:szCs w:val="18"/>
          <w:u w:val="single" w:color="auto"/>
          <w:color w:val="auto"/>
        </w:rPr>
        <w:t>Certificated Securities</w:t>
      </w:r>
      <w:r>
        <w:rPr>
          <w:rFonts w:ascii="Arial" w:cs="Arial" w:eastAsia="Arial" w:hAnsi="Arial"/>
          <w:sz w:val="18"/>
          <w:szCs w:val="18"/>
          <w:color w:val="auto"/>
        </w:rPr>
        <w:t>”), when certificates representing such Capital Stock are delivered to the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 issuer of such Certificated Securities that is located in a jurisdiction outside the United States, applicable law provides for perfection of a Lien on such Certificated Securities by delivery of such Certificated Securities to a Secured Party), and</w:t>
      </w:r>
    </w:p>
    <w:p>
      <w:pPr>
        <w:spacing w:after="0" w:line="2" w:lineRule="exact"/>
        <w:rPr>
          <w:rFonts w:ascii="Arial" w:cs="Arial" w:eastAsia="Arial" w:hAnsi="Arial"/>
          <w:sz w:val="18"/>
          <w:szCs w:val="18"/>
          <w:color w:val="auto"/>
        </w:rPr>
      </w:pPr>
    </w:p>
    <w:p>
      <w:pPr>
        <w:jc w:val="both"/>
        <w:ind w:left="960" w:right="20" w:firstLine="2"/>
        <w:spacing w:after="0" w:line="250" w:lineRule="auto"/>
        <w:tabs>
          <w:tab w:leader="none" w:pos="176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other Collateral not described in clause (i) constituting personal property described in the Security Agreement, when financing statements and other filings, agreements and actions specified on </w:t>
      </w:r>
      <w:r>
        <w:rPr>
          <w:rFonts w:ascii="Arial" w:cs="Arial" w:eastAsia="Arial" w:hAnsi="Arial"/>
          <w:sz w:val="17"/>
          <w:szCs w:val="17"/>
          <w:u w:val="single" w:color="auto"/>
          <w:color w:val="auto"/>
        </w:rPr>
        <w:t>Schedule 6.19(a)</w:t>
      </w:r>
      <w:r>
        <w:rPr>
          <w:rFonts w:ascii="Arial" w:cs="Arial" w:eastAsia="Arial" w:hAnsi="Arial"/>
          <w:sz w:val="17"/>
          <w:szCs w:val="17"/>
          <w:color w:val="auto"/>
        </w:rPr>
        <w:t xml:space="preserve"> in appropriate form are executed and delivered, performed or filed in the offices specified on </w:t>
      </w:r>
      <w:r>
        <w:rPr>
          <w:rFonts w:ascii="Arial" w:cs="Arial" w:eastAsia="Arial" w:hAnsi="Arial"/>
          <w:sz w:val="17"/>
          <w:szCs w:val="17"/>
          <w:u w:val="single" w:color="auto"/>
          <w:color w:val="auto"/>
        </w:rPr>
        <w:t>Schedule 6.19(a)</w:t>
      </w:r>
      <w:r>
        <w:rPr>
          <w:rFonts w:ascii="Arial" w:cs="Arial" w:eastAsia="Arial" w:hAnsi="Arial"/>
          <w:sz w:val="17"/>
          <w:szCs w:val="17"/>
          <w:color w:val="auto"/>
        </w:rPr>
        <w:t xml:space="preserve">, as the case may be, the Collateral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Permitted Liens). Other than as set forth on </w:t>
      </w:r>
      <w:r>
        <w:rPr>
          <w:rFonts w:ascii="Arial" w:cs="Arial" w:eastAsia="Arial" w:hAnsi="Arial"/>
          <w:sz w:val="17"/>
          <w:szCs w:val="17"/>
          <w:u w:val="single" w:color="auto"/>
          <w:color w:val="auto"/>
        </w:rPr>
        <w:t>Schedule 6.19(a)</w:t>
      </w:r>
      <w:r>
        <w:rPr>
          <w:rFonts w:ascii="Arial" w:cs="Arial" w:eastAsia="Arial" w:hAnsi="Arial"/>
          <w:sz w:val="17"/>
          <w:szCs w:val="17"/>
          <w:color w:val="auto"/>
        </w:rPr>
        <w:t>, as of the Closing Date, none of the Capital Stock of the Borrower or any Subsidiary Guarantor that is a limited liability company or partnership (organized under the laws of a jurisdiction in the United States) is a Certificated Security.</w:t>
      </w:r>
    </w:p>
    <w:p>
      <w:pPr>
        <w:spacing w:after="0" w:line="198" w:lineRule="exact"/>
        <w:rPr>
          <w:sz w:val="20"/>
          <w:szCs w:val="20"/>
          <w:color w:val="auto"/>
        </w:rPr>
      </w:pPr>
    </w:p>
    <w:p>
      <w:pPr>
        <w:ind w:left="960" w:right="20" w:firstLine="601"/>
        <w:spacing w:after="0" w:line="263"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Solvency</w:t>
      </w:r>
      <w:r>
        <w:rPr>
          <w:rFonts w:ascii="Arial" w:cs="Arial" w:eastAsia="Arial" w:hAnsi="Arial"/>
          <w:sz w:val="18"/>
          <w:szCs w:val="18"/>
          <w:color w:val="auto"/>
        </w:rPr>
        <w:t>. As of the Closing Date, the Borrower and its Subsidiaries on a consolidated basis, are, and after giving effect to the Transactions and the incurrence of all Indebtedness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720"/>
          </w:cols>
          <w:pgMar w:left="360" w:top="1326" w:right="819" w:bottom="1440" w:gutter="0" w:footer="0" w:header="0"/>
        </w:sectPr>
      </w:pPr>
    </w:p>
    <w:bookmarkStart w:id="201" w:name="page202"/>
    <w:bookmarkEnd w:id="201"/>
    <w:p>
      <w:pPr>
        <w:ind w:left="960"/>
        <w:spacing w:after="0"/>
        <w:rPr>
          <w:sz w:val="20"/>
          <w:szCs w:val="20"/>
          <w:color w:val="auto"/>
        </w:rPr>
      </w:pPr>
      <w:r>
        <w:rPr>
          <w:rFonts w:ascii="Arial" w:cs="Arial" w:eastAsia="Arial" w:hAnsi="Arial"/>
          <w:sz w:val="17"/>
          <w:szCs w:val="17"/>
          <w:color w:val="auto"/>
        </w:rPr>
        <w:t>being incurred in connection herewith and therewith and the other transactions contemplated hereby and thereby, will be, Solvent.</w:t>
      </w:r>
    </w:p>
    <w:p>
      <w:pPr>
        <w:spacing w:after="0" w:line="24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u w:val="single" w:color="auto"/>
          <w:color w:val="auto"/>
        </w:rPr>
        <w:t>Patriot Act; FCPA; OFAC; Anti-Corruption Laws and Sanctions</w:t>
      </w:r>
      <w:r>
        <w:rPr>
          <w:rFonts w:ascii="Arial" w:cs="Arial" w:eastAsia="Arial" w:hAnsi="Arial"/>
          <w:sz w:val="17"/>
          <w:szCs w:val="17"/>
          <w:color w:val="auto"/>
        </w:rPr>
        <w:t>.</w:t>
      </w:r>
    </w:p>
    <w:p>
      <w:pPr>
        <w:spacing w:after="0" w:line="295" w:lineRule="exact"/>
        <w:rPr>
          <w:sz w:val="20"/>
          <w:szCs w:val="20"/>
          <w:color w:val="auto"/>
        </w:rPr>
      </w:pPr>
    </w:p>
    <w:p>
      <w:pPr>
        <w:ind w:left="2360" w:hanging="796"/>
        <w:spacing w:after="0"/>
        <w:tabs>
          <w:tab w:leader="none" w:pos="23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the extent applicable, each of the Borrower and its Subsidiaries is in compliance, in all material respects, with</w:t>
      </w:r>
    </w:p>
    <w:p>
      <w:pPr>
        <w:spacing w:after="0" w:line="3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the Patriot Act.</w:t>
      </w:r>
    </w:p>
    <w:p>
      <w:pPr>
        <w:spacing w:after="0" w:line="215" w:lineRule="exact"/>
        <w:rPr>
          <w:rFonts w:ascii="Arial" w:cs="Arial" w:eastAsia="Arial" w:hAnsi="Arial"/>
          <w:sz w:val="16"/>
          <w:szCs w:val="16"/>
          <w:color w:val="auto"/>
        </w:rPr>
      </w:pPr>
    </w:p>
    <w:p>
      <w:pPr>
        <w:jc w:val="both"/>
        <w:ind w:left="960" w:firstLine="605"/>
        <w:spacing w:after="0"/>
        <w:tabs>
          <w:tab w:leader="none" w:pos="235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part of the proceeds of the Loans will be used, directly nor, to the knowledge of the Borrower and its Subsidiaries,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to the knowledge of the Borrower, any other applicable Anti-Corruption Laws.</w:t>
      </w:r>
    </w:p>
    <w:p>
      <w:pPr>
        <w:spacing w:after="0" w:line="206" w:lineRule="exact"/>
        <w:rPr>
          <w:rFonts w:ascii="Arial" w:cs="Arial" w:eastAsia="Arial" w:hAnsi="Arial"/>
          <w:sz w:val="18"/>
          <w:szCs w:val="18"/>
          <w:color w:val="auto"/>
        </w:rPr>
      </w:pPr>
    </w:p>
    <w:p>
      <w:pPr>
        <w:jc w:val="both"/>
        <w:ind w:left="960" w:right="20" w:firstLine="605"/>
        <w:spacing w:after="0" w:line="270" w:lineRule="auto"/>
        <w:tabs>
          <w:tab w:leader="none" w:pos="23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Borrower has implemented and maintains in effect policies and procedures reasonably designed to ensure compliance by the Borrower, its Subsidiaries and their respective directors, officers, employees and agents with applicable Sanctions, the U.S. Foreign Corrupt Practices Act of 1977, as amended, and other applicable Anti-Corruption Laws, and the Borrower, its Subsidiaries and their respective officers and directors and, to the knowledge of the Borrower, their employees and agents, are in compliance in all material respects with applicable Sanctions, the U.S. Foreign Corrupt Practices Act of 1977, as amended, and other applicable Anti-Corruption Laws. None of (a) the Borrower, any Restricted Subsidiary or any of their respective directors, officers or employees, or (b) to the knowledge of the Borrower, any agent, or other representative of the Borrower or any Subsidiary, is a Sanctioned Person, nor is Borrower or any Subsidiary located, organized or resident in a Sanctioned Country.</w:t>
      </w:r>
    </w:p>
    <w:p>
      <w:pPr>
        <w:spacing w:after="0" w:line="174" w:lineRule="exact"/>
        <w:rPr>
          <w:rFonts w:ascii="Arial" w:cs="Arial" w:eastAsia="Arial" w:hAnsi="Arial"/>
          <w:sz w:val="16"/>
          <w:szCs w:val="16"/>
          <w:color w:val="auto"/>
        </w:rPr>
      </w:pPr>
    </w:p>
    <w:p>
      <w:pPr>
        <w:ind w:left="2360" w:hanging="796"/>
        <w:spacing w:after="0"/>
        <w:tabs>
          <w:tab w:leader="none" w:pos="23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Neither the Borrower nor any of its Subsidiaries and, to their knowledge, none of their respective agents is any of</w:t>
      </w:r>
    </w:p>
    <w:p>
      <w:pPr>
        <w:spacing w:after="0" w:line="3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15" w:lineRule="exact"/>
        <w:rPr>
          <w:rFonts w:ascii="Arial" w:cs="Arial" w:eastAsia="Arial" w:hAnsi="Arial"/>
          <w:sz w:val="16"/>
          <w:szCs w:val="16"/>
          <w:color w:val="auto"/>
        </w:rPr>
      </w:pPr>
    </w:p>
    <w:p>
      <w:pPr>
        <w:ind w:left="1480" w:right="20" w:firstLine="664"/>
        <w:spacing w:after="0" w:line="263" w:lineRule="auto"/>
        <w:tabs>
          <w:tab w:leader="none" w:pos="237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the subject of the provisions of, Executive Order No. 13224 on Terrorist Financing effective September 24,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w:t>
      </w:r>
    </w:p>
    <w:p>
      <w:pPr>
        <w:spacing w:after="0" w:line="261" w:lineRule="exact"/>
        <w:rPr>
          <w:rFonts w:ascii="Arial" w:cs="Arial" w:eastAsia="Arial" w:hAnsi="Arial"/>
          <w:sz w:val="18"/>
          <w:szCs w:val="18"/>
          <w:color w:val="auto"/>
        </w:rPr>
      </w:pPr>
    </w:p>
    <w:p>
      <w:pPr>
        <w:ind w:left="1480" w:right="20" w:firstLine="612"/>
        <w:spacing w:after="0" w:line="263" w:lineRule="auto"/>
        <w:tabs>
          <w:tab w:leader="none" w:pos="237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the subject of the provisions of, the Executive Order;</w:t>
      </w:r>
    </w:p>
    <w:p>
      <w:pPr>
        <w:spacing w:after="0" w:line="173" w:lineRule="exact"/>
        <w:rPr>
          <w:rFonts w:ascii="Arial" w:cs="Arial" w:eastAsia="Arial" w:hAnsi="Arial"/>
          <w:sz w:val="18"/>
          <w:szCs w:val="18"/>
          <w:color w:val="auto"/>
        </w:rPr>
      </w:pPr>
    </w:p>
    <w:p>
      <w:pPr>
        <w:ind w:left="1480" w:right="20" w:firstLine="561"/>
        <w:spacing w:after="0" w:line="263" w:lineRule="auto"/>
        <w:tabs>
          <w:tab w:leader="none" w:pos="237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 transaction by any laws with respect to terrorism or money laundering; or</w:t>
      </w:r>
    </w:p>
    <w:p>
      <w:pPr>
        <w:spacing w:after="0" w:line="185" w:lineRule="exact"/>
        <w:rPr>
          <w:rFonts w:ascii="Arial" w:cs="Arial" w:eastAsia="Arial" w:hAnsi="Arial"/>
          <w:sz w:val="18"/>
          <w:szCs w:val="18"/>
          <w:color w:val="auto"/>
        </w:rPr>
      </w:pPr>
    </w:p>
    <w:p>
      <w:pPr>
        <w:jc w:val="both"/>
        <w:ind w:left="1480" w:right="20" w:firstLine="570"/>
        <w:spacing w:after="0" w:line="248" w:lineRule="auto"/>
        <w:tabs>
          <w:tab w:leader="none" w:pos="237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 Control (“</w:t>
      </w:r>
      <w:r>
        <w:rPr>
          <w:rFonts w:ascii="Arial" w:cs="Arial" w:eastAsia="Arial" w:hAnsi="Arial"/>
          <w:sz w:val="18"/>
          <w:szCs w:val="18"/>
          <w:u w:val="single" w:color="auto"/>
          <w:color w:val="auto"/>
        </w:rPr>
        <w:t>OFAC</w:t>
      </w:r>
      <w:r>
        <w:rPr>
          <w:rFonts w:ascii="Arial" w:cs="Arial" w:eastAsia="Arial" w:hAnsi="Arial"/>
          <w:sz w:val="18"/>
          <w:szCs w:val="18"/>
          <w:color w:val="auto"/>
        </w:rPr>
        <w:t>”) at its official website or any replacement website or other replacement official publication of such list.</w:t>
      </w:r>
    </w:p>
    <w:p>
      <w:pPr>
        <w:spacing w:after="0" w:line="198"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Status as Senior Indebtedness</w:t>
      </w:r>
      <w:r>
        <w:rPr>
          <w:rFonts w:ascii="Arial" w:cs="Arial" w:eastAsia="Arial" w:hAnsi="Arial"/>
          <w:sz w:val="18"/>
          <w:szCs w:val="18"/>
          <w:color w:val="auto"/>
        </w:rPr>
        <w:t>. The Obligations under the Facilities constitute “senior debt,” “senior indebtedness,” “guarantor senior debt,” “senior secured financing” and “designated senior indebtedness” (or any comparable term) for all Junior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720"/>
          </w:cols>
          <w:pgMar w:left="360" w:top="1326" w:right="819" w:bottom="1440" w:gutter="0" w:footer="0" w:header="0"/>
        </w:sectPr>
      </w:pPr>
    </w:p>
    <w:bookmarkStart w:id="202" w:name="page203"/>
    <w:bookmarkEnd w:id="202"/>
    <w:p>
      <w:pPr>
        <w:jc w:val="center"/>
        <w:ind w:right="-459"/>
        <w:spacing w:after="0"/>
        <w:rPr>
          <w:sz w:val="20"/>
          <w:szCs w:val="20"/>
          <w:color w:val="auto"/>
        </w:rPr>
      </w:pPr>
      <w:r>
        <w:rPr>
          <w:rFonts w:ascii="Arial" w:cs="Arial" w:eastAsia="Arial" w:hAnsi="Arial"/>
          <w:sz w:val="18"/>
          <w:szCs w:val="18"/>
          <w:color w:val="auto"/>
        </w:rPr>
        <w:t>SECTION 7.</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CONDITIONS PRECEDENT</w:t>
      </w:r>
    </w:p>
    <w:p>
      <w:pPr>
        <w:spacing w:after="0" w:line="307" w:lineRule="exact"/>
        <w:rPr>
          <w:sz w:val="20"/>
          <w:szCs w:val="20"/>
          <w:color w:val="auto"/>
        </w:rPr>
      </w:pPr>
    </w:p>
    <w:p>
      <w:pPr>
        <w:jc w:val="both"/>
        <w:ind w:left="960" w:right="20" w:firstLine="602"/>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Conditions to Initial Extension of Credit</w:t>
      </w:r>
      <w:r>
        <w:rPr>
          <w:rFonts w:ascii="Arial" w:cs="Arial" w:eastAsia="Arial" w:hAnsi="Arial"/>
          <w:sz w:val="17"/>
          <w:szCs w:val="17"/>
          <w:color w:val="auto"/>
        </w:rPr>
        <w:t>. The effectiveness of this Agreement and the agreement of each Lender to make the extensions of credit requested to be made by it under this Agreement on or after the Closing Date is subject to the satisfaction of each of the Lenders, prior to or concurrently with the Closing Date, of the following conditions precedent:</w:t>
      </w:r>
    </w:p>
    <w:p>
      <w:pPr>
        <w:spacing w:after="0" w:line="170" w:lineRule="exact"/>
        <w:rPr>
          <w:sz w:val="20"/>
          <w:szCs w:val="20"/>
          <w:color w:val="auto"/>
        </w:rPr>
      </w:pPr>
    </w:p>
    <w:p>
      <w:pPr>
        <w:ind w:left="1560" w:right="20" w:firstLine="605"/>
        <w:spacing w:after="0" w:line="263" w:lineRule="auto"/>
        <w:tabs>
          <w:tab w:leader="none" w:pos="2954"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The Administrative Agent shall have received this Agreement, executed and delivered by the Borrower, each Subsidiary Guarantor and each Person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61" w:lineRule="exact"/>
        <w:rPr>
          <w:rFonts w:ascii="Arial" w:cs="Arial" w:eastAsia="Arial" w:hAnsi="Arial"/>
          <w:sz w:val="18"/>
          <w:szCs w:val="18"/>
          <w:color w:val="auto"/>
        </w:rPr>
      </w:pPr>
    </w:p>
    <w:p>
      <w:pPr>
        <w:ind w:left="1560" w:right="20" w:firstLine="607"/>
        <w:spacing w:after="0" w:line="263" w:lineRule="auto"/>
        <w:tabs>
          <w:tab w:leader="none" w:pos="2953"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Qualified Public Offering</w:t>
      </w:r>
      <w:r>
        <w:rPr>
          <w:rFonts w:ascii="Arial" w:cs="Arial" w:eastAsia="Arial" w:hAnsi="Arial"/>
          <w:sz w:val="18"/>
          <w:szCs w:val="18"/>
          <w:color w:val="auto"/>
        </w:rPr>
        <w:t>. A Qualified Public Offering shall have been or, substantially concurrently with the effectiveness of this Agreement shall be, consummated.</w:t>
      </w:r>
    </w:p>
    <w:p>
      <w:pPr>
        <w:spacing w:after="0" w:line="185" w:lineRule="exact"/>
        <w:rPr>
          <w:rFonts w:ascii="Arial" w:cs="Arial" w:eastAsia="Arial" w:hAnsi="Arial"/>
          <w:sz w:val="18"/>
          <w:szCs w:val="18"/>
          <w:color w:val="auto"/>
        </w:rPr>
      </w:pPr>
    </w:p>
    <w:p>
      <w:pPr>
        <w:ind w:left="1560" w:right="20" w:firstLine="607"/>
        <w:spacing w:after="0" w:line="263" w:lineRule="auto"/>
        <w:tabs>
          <w:tab w:leader="none" w:pos="2955"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Refinancing</w:t>
      </w:r>
      <w:r>
        <w:rPr>
          <w:rFonts w:ascii="Arial" w:cs="Arial" w:eastAsia="Arial" w:hAnsi="Arial"/>
          <w:sz w:val="18"/>
          <w:szCs w:val="18"/>
          <w:color w:val="auto"/>
        </w:rPr>
        <w:t>. Substantially concurrently with the effectiveness of this Agreement, the Refinancing shall have been consummated.</w:t>
      </w:r>
    </w:p>
    <w:p>
      <w:pPr>
        <w:spacing w:after="0" w:line="173" w:lineRule="exact"/>
        <w:rPr>
          <w:rFonts w:ascii="Arial" w:cs="Arial" w:eastAsia="Arial" w:hAnsi="Arial"/>
          <w:sz w:val="18"/>
          <w:szCs w:val="18"/>
          <w:color w:val="auto"/>
        </w:rPr>
      </w:pPr>
    </w:p>
    <w:p>
      <w:pPr>
        <w:jc w:val="both"/>
        <w:ind w:left="1560" w:right="20" w:firstLine="606"/>
        <w:spacing w:after="0" w:line="242" w:lineRule="auto"/>
        <w:tabs>
          <w:tab w:leader="none" w:pos="2953"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All costs, fees, expenses (including without limitation legal fees and expenses) and other compensation contemplated by the Commitment Letter and the Fee Letter payable to the Lenders shall have been paid to the extent due and to the extent a reasonably detailed invoice has been delivered to the Borrower at least three Business Days prior to the Closing Date.</w:t>
      </w:r>
    </w:p>
    <w:p>
      <w:pPr>
        <w:spacing w:after="0" w:line="205" w:lineRule="exact"/>
        <w:rPr>
          <w:rFonts w:ascii="Arial" w:cs="Arial" w:eastAsia="Arial" w:hAnsi="Arial"/>
          <w:sz w:val="18"/>
          <w:szCs w:val="18"/>
          <w:color w:val="auto"/>
        </w:rPr>
      </w:pPr>
    </w:p>
    <w:p>
      <w:pPr>
        <w:jc w:val="both"/>
        <w:ind w:left="1560" w:firstLine="607"/>
        <w:spacing w:after="0" w:line="249" w:lineRule="auto"/>
        <w:tabs>
          <w:tab w:leader="none" w:pos="2955"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Closing Certificates</w:t>
      </w:r>
      <w:r>
        <w:rPr>
          <w:rFonts w:ascii="Arial" w:cs="Arial" w:eastAsia="Arial" w:hAnsi="Arial"/>
          <w:sz w:val="17"/>
          <w:szCs w:val="17"/>
          <w:color w:val="auto"/>
        </w:rPr>
        <w:t>. The Administrative Agent shall have received (i) a certificate of each Loan Party, dated the Closing Date and executed by an Authorized Officer, which shall (A) certify the resolutions of its Board of Directors, members or other body authorizing the execution, delivery and performance of the Loan Documents to which it is a party and (B) contain appropriate insertions and attachments, including organizational authorizations, incumbency certifications, the certificate of incorporation or other similar Organizational Document of each such Loan Party, certified by the relevant authority of the jurisdiction of organization of such Loan Party, and bylaws or other similar Organizational Document of each such Loan Party certified by an Authorized Officer as being in full force and effect on the Closing Date,</w:t>
      </w:r>
    </w:p>
    <w:p>
      <w:pPr>
        <w:jc w:val="both"/>
        <w:ind w:left="1560" w:firstLine="5"/>
        <w:spacing w:after="0" w:line="239" w:lineRule="auto"/>
        <w:tabs>
          <w:tab w:leader="none" w:pos="183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 good standing certificate (long form, to the extent available) for each Loan Party from its jurisdiction of organization and (iii) a certificate, dated the Closing Date and executed by an Authorized Officer of the Borrower certifying as to the satisfaction of the conditions in </w:t>
      </w:r>
      <w:r>
        <w:rPr>
          <w:rFonts w:ascii="Arial" w:cs="Arial" w:eastAsia="Arial" w:hAnsi="Arial"/>
          <w:sz w:val="18"/>
          <w:szCs w:val="18"/>
          <w:u w:val="single" w:color="auto"/>
          <w:color w:val="auto"/>
        </w:rPr>
        <w:t>Sections 7.1(b)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7.1(g)</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1560" w:right="20" w:firstLine="607"/>
        <w:spacing w:after="0" w:line="248" w:lineRule="auto"/>
        <w:tabs>
          <w:tab w:leader="none" w:pos="235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a customary legal opinion of Fried, Frank, Harris, Shriver &amp; Jacobson, LLP, special counsel to the Loan Parties, which opinion shall be in form and substance reasonably satisfactory to the Administrative Agent.</w:t>
      </w:r>
    </w:p>
    <w:p>
      <w:pPr>
        <w:spacing w:after="0" w:line="198" w:lineRule="exact"/>
        <w:rPr>
          <w:rFonts w:ascii="Arial" w:cs="Arial" w:eastAsia="Arial" w:hAnsi="Arial"/>
          <w:sz w:val="18"/>
          <w:szCs w:val="18"/>
          <w:color w:val="auto"/>
        </w:rPr>
      </w:pPr>
    </w:p>
    <w:p>
      <w:pPr>
        <w:jc w:val="both"/>
        <w:ind w:left="1560" w:right="20" w:firstLine="606"/>
        <w:spacing w:after="0" w:line="248" w:lineRule="auto"/>
        <w:tabs>
          <w:tab w:leader="none" w:pos="2953"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The Specified Representations shall be true and correct in all material respects as of the Closing Date (or true and correct in all material respects as of a specified date, if earlier) or in all respects, if qualified as to materiality.</w:t>
      </w:r>
    </w:p>
    <w:p>
      <w:pPr>
        <w:spacing w:after="0" w:line="185" w:lineRule="exact"/>
        <w:rPr>
          <w:rFonts w:ascii="Arial" w:cs="Arial" w:eastAsia="Arial" w:hAnsi="Arial"/>
          <w:sz w:val="18"/>
          <w:szCs w:val="18"/>
          <w:color w:val="auto"/>
        </w:rPr>
      </w:pPr>
    </w:p>
    <w:p>
      <w:pPr>
        <w:jc w:val="both"/>
        <w:ind w:left="1560" w:right="20" w:firstLine="607"/>
        <w:spacing w:after="0" w:line="283" w:lineRule="auto"/>
        <w:tabs>
          <w:tab w:leader="none" w:pos="2953"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Administrative Agent shall have received: (i) the audited consolidated balance sheet of the Borrower and its Subsidiaries and the related audited consolidated statements of income and cash flows, each as of the last day of the fiscal year ended December 31, 2020 and (ii) the unaudited consolidated balance sheet of the Borrower and its Subsidiaries and the related unaudited consolidated statements of income and cash flows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327660</wp:posOffset>
            </wp:positionV>
            <wp:extent cx="326390" cy="182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720"/>
          </w:cols>
          <w:pgMar w:left="360" w:top="1326" w:right="819" w:bottom="1440" w:gutter="0" w:footer="0" w:header="0"/>
        </w:sectPr>
      </w:pPr>
    </w:p>
    <w:bookmarkStart w:id="203" w:name="page204"/>
    <w:bookmarkEnd w:id="203"/>
    <w:p>
      <w:pPr>
        <w:ind w:left="1560"/>
        <w:spacing w:after="0"/>
        <w:rPr>
          <w:sz w:val="20"/>
          <w:szCs w:val="20"/>
          <w:color w:val="auto"/>
        </w:rPr>
      </w:pPr>
      <w:r>
        <w:rPr>
          <w:rFonts w:ascii="Arial" w:cs="Arial" w:eastAsia="Arial" w:hAnsi="Arial"/>
          <w:sz w:val="17"/>
          <w:szCs w:val="17"/>
          <w:color w:val="auto"/>
        </w:rPr>
        <w:t>subsequent fiscal quarter ended on or after March 31, 2021 and at least forty five (45) days before the Closing Date.</w:t>
      </w:r>
    </w:p>
    <w:p>
      <w:pPr>
        <w:spacing w:after="0" w:line="243" w:lineRule="exact"/>
        <w:rPr>
          <w:sz w:val="20"/>
          <w:szCs w:val="20"/>
          <w:color w:val="auto"/>
        </w:rPr>
      </w:pPr>
    </w:p>
    <w:p>
      <w:pPr>
        <w:jc w:val="both"/>
        <w:ind w:left="1560" w:right="20" w:firstLine="607"/>
        <w:spacing w:after="0" w:line="242" w:lineRule="auto"/>
        <w:tabs>
          <w:tab w:leader="none" w:pos="23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Administrative Agent shall have received a solvency certificate from the chief financial officer of the Borrower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which demonstrates that the Borrower and its Subsidiaries on a consolidated basis, are, and after giving effect to the Transactions and the other transactions contemplated hereby, will be, Solvent.</w:t>
      </w:r>
    </w:p>
    <w:p>
      <w:pPr>
        <w:spacing w:after="0" w:line="193" w:lineRule="exact"/>
        <w:rPr>
          <w:rFonts w:ascii="Arial" w:cs="Arial" w:eastAsia="Arial" w:hAnsi="Arial"/>
          <w:sz w:val="18"/>
          <w:szCs w:val="18"/>
          <w:color w:val="auto"/>
        </w:rPr>
      </w:pPr>
    </w:p>
    <w:p>
      <w:pPr>
        <w:jc w:val="both"/>
        <w:ind w:left="1560" w:firstLine="606"/>
        <w:spacing w:after="0" w:line="258" w:lineRule="auto"/>
        <w:tabs>
          <w:tab w:leader="none" w:pos="236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Patriot Act and Related Matters</w:t>
      </w:r>
      <w:r>
        <w:rPr>
          <w:rFonts w:ascii="Arial" w:cs="Arial" w:eastAsia="Arial" w:hAnsi="Arial"/>
          <w:sz w:val="17"/>
          <w:szCs w:val="17"/>
          <w:color w:val="auto"/>
        </w:rPr>
        <w:t>. At least three days prior to the Closing Date, the Administrative Agent shall have received all documentation and information relating to the Borrower and the Guarantors as is reasonably requested in writing by the Administrative Agent at least ten Business Days prior to the Closing Date that is required by all applicable regulatory authorities under applicable “know your customer” and anti-money laundering rules and regulations, including without limitation the PATRIOT Act and the requirements of the Beneficial Ownership Regulation.</w:t>
      </w:r>
    </w:p>
    <w:p>
      <w:pPr>
        <w:spacing w:after="0" w:line="191"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Each borrowing by, and each issuance, renewal, extension, increase or amendment of a Letter of Credit on behalf of, the Borrower hereunder on the Closing Date shall constitute a representation and warranty by the Borrower as of the date of such extension of credit that the conditions contained in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have been satisfied.</w:t>
      </w:r>
    </w:p>
    <w:p>
      <w:pPr>
        <w:spacing w:after="0" w:line="261"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7.1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6" w:lineRule="exact"/>
        <w:rPr>
          <w:sz w:val="20"/>
          <w:szCs w:val="20"/>
          <w:color w:val="auto"/>
        </w:rPr>
      </w:pPr>
    </w:p>
    <w:p>
      <w:pPr>
        <w:jc w:val="both"/>
        <w:ind w:left="960" w:right="20" w:firstLine="602"/>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Conditions to Each Extension of Credit</w:t>
      </w:r>
      <w:r>
        <w:rPr>
          <w:rFonts w:ascii="Arial" w:cs="Arial" w:eastAsia="Arial" w:hAnsi="Arial"/>
          <w:sz w:val="17"/>
          <w:szCs w:val="17"/>
          <w:color w:val="auto"/>
        </w:rPr>
        <w:t xml:space="preserve">. The agreement of each Lender to make any extension of credit requested to be made by it on any date (other than any date on which a Fixed Rate Loan is continued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is subject to the satisfaction of the following conditions precedent (in each case subject to the provisions of </w:t>
      </w:r>
      <w:r>
        <w:rPr>
          <w:rFonts w:ascii="Arial" w:cs="Arial" w:eastAsia="Arial" w:hAnsi="Arial"/>
          <w:sz w:val="17"/>
          <w:szCs w:val="17"/>
          <w:u w:val="single" w:color="auto"/>
          <w:color w:val="auto"/>
        </w:rPr>
        <w:t>Section 2.15(c)</w:t>
      </w:r>
      <w:r>
        <w:rPr>
          <w:rFonts w:ascii="Arial" w:cs="Arial" w:eastAsia="Arial" w:hAnsi="Arial"/>
          <w:sz w:val="17"/>
          <w:szCs w:val="17"/>
          <w:color w:val="auto"/>
        </w:rPr>
        <w:t>):</w:t>
      </w:r>
    </w:p>
    <w:p>
      <w:pPr>
        <w:spacing w:after="0" w:line="246" w:lineRule="exact"/>
        <w:rPr>
          <w:sz w:val="20"/>
          <w:szCs w:val="20"/>
          <w:color w:val="auto"/>
        </w:rPr>
      </w:pPr>
    </w:p>
    <w:p>
      <w:pPr>
        <w:jc w:val="both"/>
        <w:ind w:left="1560" w:firstLine="607"/>
        <w:spacing w:after="0" w:line="238" w:lineRule="auto"/>
        <w:tabs>
          <w:tab w:leader="none" w:pos="295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any Loan Party in or pursuant to the Loan Documents shall be true and correct in all material respects on and as of such date as if made on and as of such date (except to the extent already qualified by materiality, in which case, such representations and warranties shall be true and correct in all respects), except to the extent such representations and warranties expressly relate to an earlier date, in which case such representations and warranties shall have been true and correct in all material respects as of such earlier date (except to the extent already qualified by materiality, in which case, such representations and warranties shall be true and correct in all respects).</w:t>
      </w:r>
    </w:p>
    <w:p>
      <w:pPr>
        <w:spacing w:after="0" w:line="193" w:lineRule="exact"/>
        <w:rPr>
          <w:rFonts w:ascii="Arial" w:cs="Arial" w:eastAsia="Arial" w:hAnsi="Arial"/>
          <w:sz w:val="18"/>
          <w:szCs w:val="18"/>
          <w:color w:val="auto"/>
        </w:rPr>
      </w:pPr>
    </w:p>
    <w:p>
      <w:pPr>
        <w:jc w:val="both"/>
        <w:ind w:left="1560" w:right="20" w:firstLine="607"/>
        <w:spacing w:after="0" w:line="248" w:lineRule="auto"/>
        <w:tabs>
          <w:tab w:leader="none" w:pos="295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98" w:lineRule="exact"/>
        <w:rPr>
          <w:rFonts w:ascii="Arial" w:cs="Arial" w:eastAsia="Arial" w:hAnsi="Arial"/>
          <w:sz w:val="18"/>
          <w:szCs w:val="18"/>
          <w:color w:val="auto"/>
        </w:rPr>
      </w:pPr>
    </w:p>
    <w:p>
      <w:pPr>
        <w:jc w:val="both"/>
        <w:ind w:left="1560" w:right="20" w:firstLine="607"/>
        <w:spacing w:after="0" w:line="326" w:lineRule="auto"/>
        <w:tabs>
          <w:tab w:leader="none" w:pos="2955"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The Administrative Agent shall have received (as and to the extent required by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 as applicable) a Notice of Borrowing, a notice with respect to the Swingline Loans or a Letter of Credit Request,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306070</wp:posOffset>
            </wp:positionV>
            <wp:extent cx="326390" cy="182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720"/>
          </w:cols>
          <w:pgMar w:left="360" w:top="1326" w:right="819" w:bottom="1440" w:gutter="0" w:footer="0" w:header="0"/>
        </w:sectPr>
      </w:pPr>
    </w:p>
    <w:bookmarkStart w:id="204" w:name="page205"/>
    <w:bookmarkEnd w:id="204"/>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Each borrowing by, and each issuance, renewal, extension, increase or amendment of a Letter of Credit on behalf of, the Borrower hereunder after the Closing Date shall constitute a representation and warranty by the Borrower as of the date of such extension of credit that the conditions contained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have been satisfied.</w:t>
      </w:r>
    </w:p>
    <w:p>
      <w:pPr>
        <w:spacing w:after="0" w:line="2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SECTION 8.</w:t>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u w:val="single" w:color="auto"/>
          <w:color w:val="auto"/>
        </w:rPr>
        <w:t>AFFIRMATIVE COVENANTS</w:t>
      </w:r>
    </w:p>
    <w:p>
      <w:pPr>
        <w:spacing w:after="0" w:line="295"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The Borrower hereby agrees that, until all Commitments have been terminated and the principal of and interest on each Loan, all fees and all other expenses or amounts payable under any Loan Document shall have been paid in full (other than contingent indemnification and reimbursement obligations for which no claim has been made) and all Letters of Credit have been canceled, have expired or have been Collateralized, the Borrower shall, and the Borrower shall cause each of the Restricted Subsidiaries to:</w:t>
      </w:r>
    </w:p>
    <w:p>
      <w:pPr>
        <w:spacing w:after="0" w:line="194"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Furnish to the Administrative Agent (who shall promptly furnish to each Lender):</w:t>
      </w:r>
    </w:p>
    <w:p>
      <w:pPr>
        <w:spacing w:after="0" w:line="232" w:lineRule="exact"/>
        <w:rPr>
          <w:sz w:val="20"/>
          <w:szCs w:val="20"/>
          <w:color w:val="auto"/>
        </w:rPr>
      </w:pPr>
    </w:p>
    <w:p>
      <w:pPr>
        <w:jc w:val="both"/>
        <w:ind w:left="1560" w:firstLine="607"/>
        <w:spacing w:after="0" w:line="251" w:lineRule="auto"/>
        <w:tabs>
          <w:tab w:leader="none" w:pos="29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as soon as available, but in any event within one hundred twenty (120) days after the end of the fiscal year of the Borrower for each fiscal year ending after the Closing Date, a copy of the audited consolidated balance sheet of the Borrower and its Subsidiaries as at the end of such year and the related audited consolidated statements of income and of cash flows for such year, setting forth in each case in comparative form the figures for the previous year reported on without a “going concern” statement or like qualification or exception, or qualification relating to the scope of the audit (in each case other than with respect to or resulting from (i) the upcoming maturity of any Indebtedness, (ii) any potential inability to satisfy any financial covenant, including the Financial Covenant, on a future date or for a future period, (iii) any financial covenant breach under the Revolving Facility or any Indebtedness the outstanding principal amount of which is less than or equal to $20,000,000 (other than, in respect of the Revolving Facility only, an actual breach of the Financial Covenant which has not been remedied, cured or waived) and (iv) the activities of any Unrestricted Subsidiaries) by independent public accountants of recognized national standing; and</w:t>
      </w:r>
    </w:p>
    <w:p>
      <w:pPr>
        <w:spacing w:after="0" w:line="196" w:lineRule="exact"/>
        <w:rPr>
          <w:rFonts w:ascii="Arial" w:cs="Arial" w:eastAsia="Arial" w:hAnsi="Arial"/>
          <w:sz w:val="17"/>
          <w:szCs w:val="17"/>
          <w:color w:val="auto"/>
        </w:rPr>
      </w:pPr>
    </w:p>
    <w:p>
      <w:pPr>
        <w:jc w:val="both"/>
        <w:ind w:left="1560" w:right="20" w:firstLine="607"/>
        <w:spacing w:after="0"/>
        <w:tabs>
          <w:tab w:leader="none" w:pos="29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sixty (60) days after the end of each fiscal quarter of the Borrower for the first three fiscal quarters of each fiscal year, the unaudited consolidated balance sheet of the Borrower and its Subsidiaries at the end of such quarter and the related unaudited consolidated statements of income and of cash flows for such quarter and the portion of the fiscal year through the end of such quarter, setting forth in each case in comparative form the figures for the previous year.</w:t>
      </w:r>
    </w:p>
    <w:p>
      <w:pPr>
        <w:spacing w:after="0" w:line="19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Notwithstanding the foregoing, the obligations in clauses (a) and (b)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clause</w:t>
      </w:r>
    </w:p>
    <w:p>
      <w:pPr>
        <w:spacing w:after="0" w:line="10" w:lineRule="exact"/>
        <w:rPr>
          <w:sz w:val="20"/>
          <w:szCs w:val="20"/>
          <w:color w:val="auto"/>
        </w:rPr>
      </w:pPr>
    </w:p>
    <w:p>
      <w:pPr>
        <w:jc w:val="both"/>
        <w:ind w:left="960" w:right="20" w:firstLine="2"/>
        <w:spacing w:after="0" w:line="250" w:lineRule="auto"/>
        <w:tabs>
          <w:tab w:leader="none" w:pos="175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deemed satisfied with (i) the filing of Form 10-K or Form 10-Q, as applicable, with the SEC by the Borrower or a direct or indirect parent thereof, as applicable, or (ii) the delivery of financial statements of a direct or indirect parent of the Borrower (so long as such parent does not conduct any material business or operations other than the ownership of shares of Capital Stock of the Borrower and any matters incidental to its ownership of such Capital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parent may engage in transactions in which the Borrower may engage pursuant to </w:t>
      </w:r>
      <w:r>
        <w:rPr>
          <w:rFonts w:ascii="Arial" w:cs="Arial" w:eastAsia="Arial" w:hAnsi="Arial"/>
          <w:sz w:val="17"/>
          <w:szCs w:val="17"/>
          <w:u w:val="single" w:color="auto"/>
          <w:color w:val="auto"/>
        </w:rPr>
        <w:t>Section 9.13(b)</w:t>
      </w:r>
      <w:r>
        <w:rPr>
          <w:rFonts w:ascii="Arial" w:cs="Arial" w:eastAsia="Arial" w:hAnsi="Arial"/>
          <w:sz w:val="17"/>
          <w:szCs w:val="17"/>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is accompanied by unaudited consolidating information that explains in reasonable detail the differences between the information relating to the Borrower or such direct or indirect parent of the Borrower, on the one hand, and the information relating to the Borrower and its Restricted Subsidiaries on a standalone basis,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720"/>
          </w:cols>
          <w:pgMar w:left="360" w:top="1326" w:right="819" w:bottom="1440" w:gutter="0" w:footer="0" w:header="0"/>
        </w:sectPr>
      </w:pPr>
    </w:p>
    <w:bookmarkStart w:id="205" w:name="page206"/>
    <w:bookmarkEnd w:id="205"/>
    <w:p>
      <w:pPr>
        <w:jc w:val="both"/>
        <w:ind w:left="960" w:firstLine="602"/>
        <w:spacing w:after="0" w:line="242" w:lineRule="auto"/>
        <w:rPr>
          <w:sz w:val="20"/>
          <w:szCs w:val="20"/>
          <w:color w:val="auto"/>
        </w:rPr>
      </w:pPr>
      <w:r>
        <w:rPr>
          <w:rFonts w:ascii="Arial" w:cs="Arial" w:eastAsia="Arial" w:hAnsi="Arial"/>
          <w:sz w:val="18"/>
          <w:szCs w:val="18"/>
          <w:color w:val="auto"/>
        </w:rPr>
        <w:t>All such financial statements shall be complete and correct in all material respects and shall be prepared in reasonable detail and in accordance with GAAP applied consistently throughout the periods reflected therein and with prior periods (except to the extent any such inconsistent application of GAAP has been approved by such accountants or an Authorized Officer, as the case may be, and disclosed in reasonable detail therein).</w:t>
      </w:r>
    </w:p>
    <w:p>
      <w:pPr>
        <w:spacing w:after="0" w:line="206" w:lineRule="exact"/>
        <w:rPr>
          <w:sz w:val="20"/>
          <w:szCs w:val="20"/>
          <w:color w:val="auto"/>
        </w:rPr>
      </w:pPr>
    </w:p>
    <w:p>
      <w:pPr>
        <w:ind w:left="960" w:right="180" w:firstLine="602"/>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(other than in the case of clause (f) below, who shall promptly furnish to each Lender):</w:t>
      </w:r>
    </w:p>
    <w:p>
      <w:pPr>
        <w:spacing w:after="0" w:line="173" w:lineRule="exact"/>
        <w:rPr>
          <w:sz w:val="20"/>
          <w:szCs w:val="20"/>
          <w:color w:val="auto"/>
        </w:rPr>
      </w:pPr>
    </w:p>
    <w:p>
      <w:pPr>
        <w:ind w:left="2760" w:hanging="594"/>
        <w:spacing w:after="0"/>
        <w:tabs>
          <w:tab w:leader="none" w:pos="27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jc w:val="both"/>
        <w:ind w:left="1560" w:right="20" w:firstLine="606"/>
        <w:spacing w:after="0" w:line="268" w:lineRule="auto"/>
        <w:tabs>
          <w:tab w:leader="none" w:pos="295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within 5 Business Days of the delivery of any financial statements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(i) a Financial Statements Certificate of an Authorized Officer, which shall, among other things, state that such Authorized Officer has obtained no knowledge of any Default or Event of Default except as specified in such Financial Statements Certificate and</w:t>
      </w:r>
    </w:p>
    <w:p>
      <w:pPr>
        <w:spacing w:after="0" w:line="1" w:lineRule="exact"/>
        <w:rPr>
          <w:rFonts w:ascii="Arial" w:cs="Arial" w:eastAsia="Arial" w:hAnsi="Arial"/>
          <w:sz w:val="16"/>
          <w:szCs w:val="16"/>
          <w:color w:val="auto"/>
        </w:rPr>
      </w:pPr>
    </w:p>
    <w:p>
      <w:pPr>
        <w:jc w:val="both"/>
        <w:ind w:left="1560" w:right="20" w:firstLine="4"/>
        <w:spacing w:after="0" w:line="235" w:lineRule="auto"/>
        <w:tabs>
          <w:tab w:leader="none" w:pos="18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(x) to the extent that compliance with the Financial Covenant was required on the last day of the period covered by such financial statements, a compliance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Financial Statements Certificate containing all information and calculations necessary for determining compliance by the Borrower with the Financial Covenant as of the last day of the respective fiscal quarter or fiscal year of the Borrower, as the case may be, and (y) to the extent not previously disclosed to the Administrative Agent, a description in each Financial Statements Certificate of any change in the jurisdiction of organization of any Loan Party;</w:t>
      </w:r>
    </w:p>
    <w:p>
      <w:pPr>
        <w:spacing w:after="0" w:line="209" w:lineRule="exact"/>
        <w:rPr>
          <w:rFonts w:ascii="Arial" w:cs="Arial" w:eastAsia="Arial" w:hAnsi="Arial"/>
          <w:sz w:val="18"/>
          <w:szCs w:val="18"/>
          <w:color w:val="auto"/>
        </w:rPr>
      </w:pPr>
    </w:p>
    <w:p>
      <w:pPr>
        <w:jc w:val="both"/>
        <w:ind w:left="1560" w:right="20" w:firstLine="606"/>
        <w:spacing w:after="0" w:line="239" w:lineRule="auto"/>
        <w:tabs>
          <w:tab w:leader="none" w:pos="295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within five (5) Business Days of the delivery of any financial statements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a Financial Statements Certificate of an Authorized Officer (i) certifying a list of names of all Immaterial Subsidiaries, that each Restricted Subsidiary set forth on such list individually qualifies as an Immaterial Subsidiary and that all such Subsidiaries in the aggregate do not exceed the limitation set forth in clause (ii) of the definition of the term “Immaterial Subsidiary” and (ii) certifying a list of names of all Unrestricted Subsidiaries and that each Restricted Subsidiary set forth on such list individually qualifies as an Unrestricted Subsidiary;</w:t>
      </w:r>
    </w:p>
    <w:p>
      <w:pPr>
        <w:spacing w:after="0" w:line="192" w:lineRule="exact"/>
        <w:rPr>
          <w:rFonts w:ascii="Arial" w:cs="Arial" w:eastAsia="Arial" w:hAnsi="Arial"/>
          <w:sz w:val="18"/>
          <w:szCs w:val="18"/>
          <w:color w:val="auto"/>
        </w:rPr>
      </w:pPr>
    </w:p>
    <w:p>
      <w:pPr>
        <w:jc w:val="both"/>
        <w:ind w:left="1560" w:right="20" w:firstLine="606"/>
        <w:spacing w:after="0" w:line="242" w:lineRule="auto"/>
        <w:tabs>
          <w:tab w:leader="none" w:pos="29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within five (5) Business Days of the delivery of any financial statements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 a certification by an Authorized Officer stating that the applicable financial statements fairly state in all material respects the financial position of the Borrower and its Subsidiaries in accordance with GAAP for the periods covered thereby (subject to normal year end audit adjustments and the absence of footnotes);</w:t>
      </w:r>
    </w:p>
    <w:p>
      <w:pPr>
        <w:spacing w:after="0" w:line="205" w:lineRule="exact"/>
        <w:rPr>
          <w:rFonts w:ascii="Arial" w:cs="Arial" w:eastAsia="Arial" w:hAnsi="Arial"/>
          <w:sz w:val="18"/>
          <w:szCs w:val="18"/>
          <w:color w:val="auto"/>
        </w:rPr>
      </w:pPr>
    </w:p>
    <w:p>
      <w:pPr>
        <w:ind w:left="2960" w:hanging="794"/>
        <w:spacing w:after="0"/>
        <w:tabs>
          <w:tab w:leader="none" w:pos="296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within five (5) Business Days of the delivery of any financial statements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w:t>
      </w:r>
    </w:p>
    <w:p>
      <w:pPr>
        <w:spacing w:after="0" w:line="21" w:lineRule="exact"/>
        <w:rPr>
          <w:rFonts w:ascii="Arial" w:cs="Arial" w:eastAsia="Arial" w:hAnsi="Arial"/>
          <w:sz w:val="17"/>
          <w:szCs w:val="17"/>
          <w:color w:val="auto"/>
        </w:rPr>
      </w:pPr>
    </w:p>
    <w:p>
      <w:pPr>
        <w:jc w:val="both"/>
        <w:ind w:left="1560"/>
        <w:spacing w:after="0" w:line="239" w:lineRule="auto"/>
        <w:rPr>
          <w:rFonts w:ascii="Arial" w:cs="Arial" w:eastAsia="Arial" w:hAnsi="Arial"/>
          <w:sz w:val="17"/>
          <w:szCs w:val="17"/>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a narrative report or management’s discussion and analysis prepared with respect to the period covered by such financial statements as compared to the corresponding period in the prior fiscal year (or the prior fiscal quarter in the case of financial statements delivered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268" w:lineRule="exact"/>
        <w:rPr>
          <w:sz w:val="20"/>
          <w:szCs w:val="20"/>
          <w:color w:val="auto"/>
        </w:rPr>
      </w:pPr>
    </w:p>
    <w:p>
      <w:pPr>
        <w:jc w:val="both"/>
        <w:ind w:left="1560" w:firstLine="602"/>
        <w:spacing w:after="0" w:line="252" w:lineRule="auto"/>
        <w:rPr>
          <w:sz w:val="20"/>
          <w:szCs w:val="20"/>
          <w:color w:val="auto"/>
        </w:rPr>
      </w:pPr>
      <w:r>
        <w:rPr>
          <w:rFonts w:ascii="Arial" w:cs="Arial" w:eastAsia="Arial" w:hAnsi="Arial"/>
          <w:sz w:val="17"/>
          <w:szCs w:val="17"/>
          <w:color w:val="auto"/>
        </w:rPr>
        <w:t>(f)promptly following any Lender’s request therefor (through the Administrative Agent), all documentation and other information that such Lender reasonably requests in order to comply with its ongoing obligations under (i) applicable “know your customer” and anti-money laundering or terrorist financing rules and regulations, including the Patriot Act and</w:t>
      </w:r>
    </w:p>
    <w:p>
      <w:pPr>
        <w:spacing w:after="0" w:line="2" w:lineRule="exact"/>
        <w:rPr>
          <w:sz w:val="20"/>
          <w:szCs w:val="20"/>
          <w:color w:val="auto"/>
        </w:rPr>
      </w:pPr>
    </w:p>
    <w:p>
      <w:pPr>
        <w:ind w:left="1840" w:hanging="276"/>
        <w:spacing w:after="0"/>
        <w:tabs>
          <w:tab w:leader="none" w:pos="1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Beneficial Ownership Regulation;</w:t>
      </w:r>
    </w:p>
    <w:p>
      <w:pPr>
        <w:spacing w:after="0" w:line="215" w:lineRule="exact"/>
        <w:rPr>
          <w:rFonts w:ascii="Arial" w:cs="Arial" w:eastAsia="Arial" w:hAnsi="Arial"/>
          <w:sz w:val="18"/>
          <w:szCs w:val="18"/>
          <w:color w:val="auto"/>
        </w:rPr>
      </w:pPr>
    </w:p>
    <w:p>
      <w:pPr>
        <w:ind w:left="2760" w:hanging="595"/>
        <w:spacing w:after="0"/>
        <w:tabs>
          <w:tab w:leader="none" w:pos="27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720"/>
          </w:cols>
          <w:pgMar w:left="360" w:top="1326" w:right="819" w:bottom="1440" w:gutter="0" w:footer="0" w:header="0"/>
        </w:sectPr>
      </w:pPr>
    </w:p>
    <w:bookmarkStart w:id="206" w:name="page207"/>
    <w:bookmarkEnd w:id="206"/>
    <w:p>
      <w:pPr>
        <w:jc w:val="both"/>
        <w:ind w:left="1560" w:right="20" w:firstLine="606"/>
        <w:spacing w:after="0" w:line="242" w:lineRule="auto"/>
        <w:tabs>
          <w:tab w:leader="none" w:pos="29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 promptly as reasonably practicable from time to time following the Administrative Agent’s request therefor, such other information regarding the operations, business affairs and financial condition of the Borrower or any Restricted Subsidiary of the Borrower, or compliance with the terms of any Loan Document, as the Lenders through the Administrative Agent may reasonably request; and</w:t>
      </w:r>
    </w:p>
    <w:p>
      <w:pPr>
        <w:spacing w:after="0" w:line="205" w:lineRule="exact"/>
        <w:rPr>
          <w:rFonts w:ascii="Arial" w:cs="Arial" w:eastAsia="Arial" w:hAnsi="Arial"/>
          <w:sz w:val="18"/>
          <w:szCs w:val="18"/>
          <w:color w:val="auto"/>
        </w:rPr>
      </w:pPr>
    </w:p>
    <w:p>
      <w:pPr>
        <w:jc w:val="both"/>
        <w:ind w:left="1560" w:right="20" w:firstLine="606"/>
        <w:spacing w:after="0" w:line="262" w:lineRule="auto"/>
        <w:tabs>
          <w:tab w:leader="none" w:pos="23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while any Subsidiary is designated as an Unrestricted Subsidiary, within 5 Business Days of the delivery of any financial statements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consolidating information that explains in reasonable detail the differences between the information relating to the Borrower and its Subsidiaries, on the one hand, and the information relating to the Borrower and the Restricted Subsidiaries on a standalone basis, on the other hand (which need not be audited).</w:t>
      </w:r>
    </w:p>
    <w:p>
      <w:pPr>
        <w:spacing w:after="0" w:line="175" w:lineRule="exact"/>
        <w:rPr>
          <w:sz w:val="20"/>
          <w:szCs w:val="20"/>
          <w:color w:val="auto"/>
        </w:rPr>
      </w:pPr>
    </w:p>
    <w:p>
      <w:pPr>
        <w:jc w:val="both"/>
        <w:ind w:left="960" w:firstLine="1204"/>
        <w:spacing w:after="0" w:line="235" w:lineRule="auto"/>
        <w:rPr>
          <w:sz w:val="20"/>
          <w:szCs w:val="20"/>
          <w:color w:val="auto"/>
        </w:rPr>
      </w:pPr>
      <w:r>
        <w:rPr>
          <w:rFonts w:ascii="Arial" w:cs="Arial" w:eastAsia="Arial" w:hAnsi="Arial"/>
          <w:sz w:val="18"/>
          <w:szCs w:val="18"/>
          <w:color w:val="auto"/>
        </w:rPr>
        <w:t xml:space="preserve">Notwithstanding anything to the contrary set forth herein, nothing in this Agreement or in any other Loan Document shall require any Loan Party to provide information (i) that constitutes non- financial trade secrets or non-financial proprietary information, (ii) in respect of which disclosure is prohibited by applicable law, (iii) that is subject to attorney-client or similar privilege or constitutes attorney work product or (iv) the disclosure of which is restricted by binding agreements not entered into primarily for the purpose of qualifying for the exclusion in this clause (iv);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Loan Parties shall use commercially reasonable efforts not to enter into confidentiality or similar agreements that will conflict with their disclosure obligations under this Agreement and (y) in the event that any Loan Party does not provide information in reliance on this sentence, to the extent permitted under applicable Law and reasonably feasible, such Loan Party shall provide notice to the Administrative Agent that such information is being withheld and shall use its commercially reasonable efforts to communicate, to the extent feasible, the applicable information in a way that would not violate the applicable obligation or risk waiver of such privilege and none of the foregoing shall be construed to limit any of the representations and warranties of the Loan Parties set forth in the Loan Documents.</w:t>
      </w:r>
    </w:p>
    <w:p>
      <w:pPr>
        <w:spacing w:after="0" w:line="214"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Pay and discharge all Taxes, assessments and governmental charges or levies imposed upon it or upon its income or profits, or upon any properties belonging to it, in each case on a timely basis, and all lawful claims which, if unpaid, might become a lien or charge upon any properties except to the extent that the failure to do so could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and its Subsidiaries shall not be required to pay any such Tax, assessment, charge, levy or claim which is being contested in good faith and by proper proceedings if it has maintained adequate reserves with respect thereto in accordance with GAAP.</w:t>
      </w:r>
    </w:p>
    <w:p>
      <w:pPr>
        <w:spacing w:after="0" w:line="205" w:lineRule="exact"/>
        <w:rPr>
          <w:sz w:val="20"/>
          <w:szCs w:val="20"/>
          <w:color w:val="auto"/>
        </w:rPr>
      </w:pPr>
    </w:p>
    <w:p>
      <w:pPr>
        <w:jc w:val="both"/>
        <w:ind w:left="960" w:firstLine="602"/>
        <w:spacing w:after="0" w:line="25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Maintenance of Existence; Compliance</w:t>
      </w:r>
      <w:r>
        <w:rPr>
          <w:rFonts w:ascii="Arial" w:cs="Arial" w:eastAsia="Arial" w:hAnsi="Arial"/>
          <w:sz w:val="17"/>
          <w:szCs w:val="17"/>
          <w:color w:val="auto"/>
        </w:rPr>
        <w:t xml:space="preserve">. (a) (i) Other than as permitted by </w:t>
      </w:r>
      <w:r>
        <w:rPr>
          <w:rFonts w:ascii="Arial" w:cs="Arial" w:eastAsia="Arial" w:hAnsi="Arial"/>
          <w:sz w:val="17"/>
          <w:szCs w:val="17"/>
          <w:u w:val="single" w:color="auto"/>
          <w:color w:val="auto"/>
        </w:rPr>
        <w:t>Section 9.8</w:t>
      </w:r>
      <w:r>
        <w:rPr>
          <w:rFonts w:ascii="Arial" w:cs="Arial" w:eastAsia="Arial" w:hAnsi="Arial"/>
          <w:sz w:val="17"/>
          <w:szCs w:val="17"/>
          <w:color w:val="auto"/>
        </w:rPr>
        <w:t>, preserve, renew and keep in full force and effect its organizational existence and registration in the jurisdiction of its incorporation and (ii) take all reasonable action to maintain or obtain all Governmental Approvals and all other rights, privileges and franchises, in each case necessary or desirable in the normal conduct of its business, except, in each case, as otherwise permitted hereunder and except, in the case of clause (i) (in respect of Restricted Subsidiaries that are not Loan Parties) and (ii) above, to the extent that failure to do so would not reasonably be expected to have a Material Adverse Effect; (b) comply with all Requirements of Law (including Environmental Laws) except to the extent that failure to comply therewith would not, in the aggregate, reasonably be expected to have a Material Adverse Effect; (c) comply with all Governmental Approvals except to the extent that failure to do so would not reasonably be expected to have a Material Adverse Effect; and (d) maintain in effect and enforce policies and procedures reasonably designed to ensure compliance in all material respects by each of the Borrower, its Subsidiaries and their respective directors, officers, employees and agents with applicable Sanctions, the U.S. Foreign Corrupt Practices Act of 1977, as amended, or, to the knowledge of the Borrower, other applicable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346075</wp:posOffset>
            </wp:positionV>
            <wp:extent cx="326390" cy="182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720"/>
          </w:cols>
          <w:pgMar w:left="360" w:top="1327" w:right="819" w:bottom="1440" w:gutter="0" w:footer="0" w:header="0"/>
        </w:sectPr>
      </w:pPr>
    </w:p>
    <w:bookmarkStart w:id="207" w:name="page208"/>
    <w:bookmarkEnd w:id="207"/>
    <w:p>
      <w:pPr>
        <w:jc w:val="both"/>
        <w:ind w:left="960" w:firstLine="602"/>
        <w:spacing w:after="0" w:line="25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Maintenance of Property; Insurance</w:t>
      </w:r>
      <w:r>
        <w:rPr>
          <w:rFonts w:ascii="Arial" w:cs="Arial" w:eastAsia="Arial" w:hAnsi="Arial"/>
          <w:sz w:val="17"/>
          <w:szCs w:val="17"/>
          <w:color w:val="auto"/>
        </w:rPr>
        <w:t>. (a) Keep all property useful and necessary in its business in good working order and condition, ordinary wear and tear and casualty and condemnation excepted, except to the extent the failure to do so would not reasonably be expected to have a Material Adverse Effect, (b) maintain all the rights, licenses, permits, privileges, franchises, patents, copyrights, trademarks and trade names used in the conduct of its business (which shall include, for the avoidance of doubt, licenses in connection with Intellectual Property that the Borrower or its Restricted Subsidiaries license to their customers), except to the extent the failure to do so would not reasonably be expected to have a Material Adverse Effect and (c) maintain with financially sound and reputable insurance companies (which may include customary self-insurance), insurance with respect to its properties and businesses in a manner consistent with industry practice for companies similarly situated owning similar properties and engaged in Similar Businesses. Each such policy of insurance shall (i) name the Collateral Agent, for the benefit of the Secured Parties, as an additional insured thereunder as its interests may appear and (ii) in the case of each casualty insurance policy, contain a loss payable clause or endorsement, satisfactory in form and substance to Collateral Agent, that names Collateral Agent, for the benefit of the Secured Parties, as the loss payee thereunder and that is otherwise reasonably satisfactory to the Administrative Agent.</w:t>
      </w:r>
    </w:p>
    <w:p>
      <w:pPr>
        <w:spacing w:after="0" w:line="199" w:lineRule="exact"/>
        <w:rPr>
          <w:sz w:val="20"/>
          <w:szCs w:val="20"/>
          <w:color w:val="auto"/>
        </w:rPr>
      </w:pPr>
    </w:p>
    <w:p>
      <w:pPr>
        <w:jc w:val="both"/>
        <w:ind w:left="960" w:right="20" w:firstLine="602"/>
        <w:spacing w:after="0" w:line="268"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(a) Keep proper books of records and account in which entries full, true and correct in all material respects in conformity with all Requirements of Law shall be made of all dealings and transactions in relation to its business and activities and from which financial statements conforming with GAAP can be derived and</w:t>
      </w:r>
    </w:p>
    <w:p>
      <w:pPr>
        <w:spacing w:after="0" w:line="2" w:lineRule="exact"/>
        <w:rPr>
          <w:sz w:val="20"/>
          <w:szCs w:val="20"/>
          <w:color w:val="auto"/>
        </w:rPr>
      </w:pPr>
    </w:p>
    <w:p>
      <w:pPr>
        <w:jc w:val="both"/>
        <w:ind w:left="960" w:right="20" w:firstLine="3"/>
        <w:spacing w:after="0" w:line="235" w:lineRule="auto"/>
        <w:tabs>
          <w:tab w:leader="none" w:pos="124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permit, at the Borrower’s expense, representatives of the Administrative Agent to visit and inspect any of its properties and examine and make abstracts from any of its books and records at any reasonable time during normal business hours, upon reasonable prior notice, and as often as may reasonably be desired and to discuss the business, operations, properties and financial and other condition of the Borrower and its Restricted Subsidiaries with employees of the Borrower and its Restricted Subsidiaries and with the independent certified public accountants of the Borrower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no event shall there be more than one such visit for the Administrative Agent and its representatives as a group per calendar year, except during the continuance of an Event of Default and (ii) the Borrower shall have the right to be present during any discussions with accountants.</w:t>
      </w:r>
    </w:p>
    <w:p>
      <w:pPr>
        <w:spacing w:after="0" w:line="193"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Upon actual knowledge thereof by an Authorized Officer, within 3 Business Days give notice to the</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Administrative Agent (who shall promptly furnish to each Lender) of:</w:t>
      </w:r>
    </w:p>
    <w:p>
      <w:pPr>
        <w:spacing w:after="0" w:line="216" w:lineRule="exact"/>
        <w:rPr>
          <w:sz w:val="20"/>
          <w:szCs w:val="20"/>
          <w:color w:val="auto"/>
        </w:rPr>
      </w:pPr>
    </w:p>
    <w:p>
      <w:pPr>
        <w:ind w:left="2760" w:hanging="594"/>
        <w:spacing w:after="0"/>
        <w:tabs>
          <w:tab w:leader="none" w:pos="27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31" w:lineRule="exact"/>
        <w:rPr>
          <w:rFonts w:ascii="Arial" w:cs="Arial" w:eastAsia="Arial" w:hAnsi="Arial"/>
          <w:sz w:val="18"/>
          <w:szCs w:val="18"/>
          <w:color w:val="auto"/>
        </w:rPr>
      </w:pPr>
    </w:p>
    <w:p>
      <w:pPr>
        <w:jc w:val="both"/>
        <w:ind w:left="1560" w:right="20" w:firstLine="607"/>
        <w:spacing w:after="0" w:line="248" w:lineRule="auto"/>
        <w:tabs>
          <w:tab w:leader="none" w:pos="295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litigation, investigation or proceeding that may exist at any time involving the Borrower or any Restricted Subsidiary of the Borrower, that (i) would reasonably be expected to have a Material Adverse Effect or (ii) which relates to any Loan Document; and</w:t>
      </w:r>
    </w:p>
    <w:p>
      <w:pPr>
        <w:spacing w:after="0" w:line="185" w:lineRule="exact"/>
        <w:rPr>
          <w:rFonts w:ascii="Arial" w:cs="Arial" w:eastAsia="Arial" w:hAnsi="Arial"/>
          <w:sz w:val="18"/>
          <w:szCs w:val="18"/>
          <w:color w:val="auto"/>
        </w:rPr>
      </w:pPr>
    </w:p>
    <w:p>
      <w:pPr>
        <w:ind w:left="2960" w:hanging="793"/>
        <w:spacing w:after="0"/>
        <w:tabs>
          <w:tab w:leader="none" w:pos="29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development or event that has had or would reasonably be expected to have a Material Adverse</w:t>
      </w:r>
    </w:p>
    <w:p>
      <w:pPr>
        <w:spacing w:after="0" w:line="21"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216"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be accompanied by a statement of an Authorized Officer of the Borrower setting forth details of the occurrence referred to therein and stating what action the relevant Person proposes to take with respect thereto.</w:t>
      </w:r>
    </w:p>
    <w:p>
      <w:pPr>
        <w:spacing w:after="0" w:line="198"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u w:val="single" w:color="auto"/>
          <w:color w:val="auto"/>
        </w:rPr>
        <w:t>Additional Collateral, etc</w:t>
      </w:r>
      <w:r>
        <w:rPr>
          <w:rFonts w:ascii="Arial" w:cs="Arial" w:eastAsia="Arial" w:hAnsi="Arial"/>
          <w:sz w:val="17"/>
          <w:szCs w:val="17"/>
          <w:color w:val="auto"/>
        </w:rPr>
        <w:t>.</w:t>
      </w:r>
    </w:p>
    <w:p>
      <w:pPr>
        <w:spacing w:after="0" w:line="295" w:lineRule="exact"/>
        <w:rPr>
          <w:sz w:val="20"/>
          <w:szCs w:val="20"/>
          <w:color w:val="auto"/>
        </w:rPr>
      </w:pPr>
    </w:p>
    <w:p>
      <w:pPr>
        <w:jc w:val="both"/>
        <w:ind w:left="960" w:right="20" w:firstLine="604"/>
        <w:spacing w:after="0" w:line="248" w:lineRule="auto"/>
        <w:tabs>
          <w:tab w:leader="none" w:pos="23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With respect to any property (other than Excluded Assets) acquired (including any acquisition pursuant to a Division) at any time after the Closing Date by any Loan Party (other than any property described in paragraph (b) or (c) below) as to which the Collateral Agent, for the benefit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720"/>
          </w:cols>
          <w:pgMar w:left="360" w:top="1326" w:right="819" w:bottom="1440" w:gutter="0" w:footer="0" w:header="0"/>
        </w:sectPr>
      </w:pPr>
    </w:p>
    <w:bookmarkStart w:id="208" w:name="page209"/>
    <w:bookmarkEnd w:id="208"/>
    <w:p>
      <w:pPr>
        <w:jc w:val="both"/>
        <w:ind w:left="960" w:right="20"/>
        <w:spacing w:after="0" w:line="272" w:lineRule="auto"/>
        <w:rPr>
          <w:sz w:val="20"/>
          <w:szCs w:val="20"/>
          <w:color w:val="auto"/>
        </w:rPr>
      </w:pPr>
      <w:r>
        <w:rPr>
          <w:rFonts w:ascii="Arial" w:cs="Arial" w:eastAsia="Arial" w:hAnsi="Arial"/>
          <w:sz w:val="16"/>
          <w:szCs w:val="16"/>
          <w:color w:val="auto"/>
        </w:rPr>
        <w:t>Secured Parties, does not have a perfected Lien, will promptly (and in no event later than ninety (90) days (or such longer period as the Administrative Agent may agree)) (i) execute and deliver to the Collateral Agent such amendments to the Security Documents or execute all such documents or do all such acts as the Collateral Agent reasonably deems necessary to grant to the Collateral Agent, for the benefit of the Secured Parties, a security interest in such property and (ii) take all actions reasonably necessary or advisable to grant to the Collateral Agent, for the benefit of the Secured Parties, a perfected first priority security interest (subject to Permitted Liens) in such property, including (where applicable) the filing of UCC financing statements in such United States jurisdictions as may be required by the Security Agreement or by law or as may reasonably be requested by the Collateral Agent.</w:t>
      </w:r>
    </w:p>
    <w:p>
      <w:pPr>
        <w:spacing w:after="0" w:line="183" w:lineRule="exact"/>
        <w:rPr>
          <w:sz w:val="20"/>
          <w:szCs w:val="20"/>
          <w:color w:val="auto"/>
        </w:rPr>
      </w:pPr>
    </w:p>
    <w:p>
      <w:pPr>
        <w:ind w:left="2160" w:hanging="595"/>
        <w:spacing w:after="0"/>
        <w:tabs>
          <w:tab w:leader="none" w:pos="21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960" w:firstLine="604"/>
        <w:spacing w:after="0" w:line="248" w:lineRule="auto"/>
        <w:tabs>
          <w:tab w:leader="none" w:pos="2355" w:val="left"/>
        </w:tabs>
        <w:numPr>
          <w:ilvl w:val="1"/>
          <w:numId w:val="208"/>
        </w:numPr>
        <w:rPr>
          <w:rFonts w:ascii="Arial" w:cs="Arial" w:eastAsia="Arial" w:hAnsi="Arial"/>
          <w:sz w:val="17"/>
          <w:szCs w:val="17"/>
          <w:color w:val="auto"/>
        </w:rPr>
      </w:pPr>
      <w:r>
        <w:rPr>
          <w:rFonts w:ascii="Arial" w:cs="Arial" w:eastAsia="Arial" w:hAnsi="Arial"/>
          <w:sz w:val="17"/>
          <w:szCs w:val="17"/>
          <w:color w:val="auto"/>
        </w:rPr>
        <w:t>With respect to (A) any Restricted Subsidiary (other than a Non-Guarantor Subsidiary) that is established, created or acquired after the Closing Date by any Loan Party (including upon the consummation of a Division) or (B) any Restricted Subsidiary of a Loan Party (regardless of when established, created or acquired) that ceases to be a Non-Guarantor Subsidiary, will promptly (and in no event later than ninety (90) days (or such longer period as the Administrative Agent may agree)) (i) execute and deliver to the Collateral Agent such amendments to this Agreement and the Security Documents or execute all such documents or do all such acts as the Collateral Agent deems necessary or advisable to grant to the Collateral Agent, for the benefit of the Secured Parties, a perfected first priority security interest in the Capital Stock of such Restricted Subsidiary (to the extent of a type included in the definition of “Collateral”) that is owned by any Loan Party, (ii) deliver to the Collateral Agent the certificates representing such Capital Stock (if any) together with undated stock powers, in blank, executed and delivered by a duly Authorized Officer of the relevant Loan Party and (iii) cause such Restricted Subsidiary</w:t>
      </w:r>
    </w:p>
    <w:p>
      <w:pPr>
        <w:spacing w:after="0" w:line="2" w:lineRule="exact"/>
        <w:rPr>
          <w:rFonts w:ascii="Arial" w:cs="Arial" w:eastAsia="Arial" w:hAnsi="Arial"/>
          <w:sz w:val="17"/>
          <w:szCs w:val="17"/>
          <w:color w:val="auto"/>
        </w:rPr>
      </w:pPr>
    </w:p>
    <w:p>
      <w:pPr>
        <w:jc w:val="both"/>
        <w:ind w:left="960" w:firstLine="2"/>
        <w:spacing w:after="0" w:line="234" w:lineRule="auto"/>
        <w:tabs>
          <w:tab w:leader="none" w:pos="175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to execute and deliver to the Collateral Agent (x) a Guarantor Joinder Agreement or such comparable documentation requested by the Collateral Agent to become a Subsidiary Guarantor, (y) a joinder agreement to the Security Agreement, substantially in the form annexed thereto, and executed and delivered by other Loan Parties pursuant to this Agreement and (z) a counterpart of the Global Intercompany Note, (b) to take such actions reasonably necessary or advisable to grant to the Collateral Agent, for the benefit of the Secured Parties, a perfected first priority security interest in the Collateral described in the Security Documents, with respect to such Restricted Subsidiary, including (where applicable) the filing of UCC financing statements in such jurisdictions as may be required by the Security Agreement or such other filings as may be required by the Security Documents or by law or as may be requested by the Collateral Agent and (c) to deliver to the Collateral Agent (i) a certificate of such Restricted Subsidiary,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with appropriate insertions and attachments and (ii) if reasonably requested by the Collateral Agent, a legal opinion from counsel to such Restricted Subsidiary in form and substance satisfactory to the Collateral Agent.</w:t>
      </w:r>
    </w:p>
    <w:p>
      <w:pPr>
        <w:spacing w:after="0" w:line="209" w:lineRule="exact"/>
        <w:rPr>
          <w:rFonts w:ascii="Arial" w:cs="Arial" w:eastAsia="Arial" w:hAnsi="Arial"/>
          <w:sz w:val="18"/>
          <w:szCs w:val="18"/>
          <w:color w:val="auto"/>
        </w:rPr>
      </w:pPr>
    </w:p>
    <w:p>
      <w:pPr>
        <w:jc w:val="both"/>
        <w:ind w:left="960" w:firstLine="605"/>
        <w:spacing w:after="0" w:line="252" w:lineRule="auto"/>
        <w:tabs>
          <w:tab w:leader="none" w:pos="2353"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With respect to any Non-Guarantor Subsidiary established, created or acquired after the Closing Date by any Loan Party to the extent the Capital Stock of such entity is not an Excluded Asset will use commercially reasonable efforts to promptly (and in no event later than ninety (90) days (or such longer period as the Administrative Agent may agree)) (i) execute and deliver to the Collateral Agent such amendments to this Agreement, any Security Document, for the benefit of the Secured Parties, a perfected first priority security interest (subject to Permitted Liens) in the Capital Stock of such Non-Guarantor Subsidiary that is owned by any Loan Party, (ii) deliver to the Collateral Agent the certificates representing such Capital Stock (if any), together with undated stock powers, in blank, executed and delivered by a duly Authorized Officer of the relevant Loan Party and (iii) cause such Non-Guarantor Subsidiary to deliver to the Collateral Agent a certificate of such Non-Guarantor Subsidiary,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with appropriate insertions and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720"/>
          </w:cols>
          <w:pgMar w:left="360" w:top="1326" w:right="819" w:bottom="1440" w:gutter="0" w:footer="0" w:header="0"/>
        </w:sectPr>
      </w:pPr>
    </w:p>
    <w:bookmarkStart w:id="209" w:name="page210"/>
    <w:bookmarkEnd w:id="209"/>
    <w:p>
      <w:pPr>
        <w:jc w:val="both"/>
        <w:ind w:left="960" w:right="20" w:firstLine="604"/>
        <w:spacing w:after="0" w:line="262" w:lineRule="auto"/>
        <w:tabs>
          <w:tab w:leader="none" w:pos="235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Administrative Agent may in its reasonable discretion (and without the consent of any Lender or other Secured Party) make exceptions and waive compliance with any requirement under this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if and to the extent the Borrower and the Administrative Agent reasonably agree that the cost associated with such compliance would be excessive in relation to the value afforded thereby to the Secured Parties.</w:t>
      </w:r>
    </w:p>
    <w:p>
      <w:pPr>
        <w:spacing w:after="0" w:line="187"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2"/>
        <w:spacing w:after="0" w:line="268" w:lineRule="auto"/>
        <w:rPr>
          <w:sz w:val="20"/>
          <w:szCs w:val="20"/>
          <w:color w:val="auto"/>
        </w:rPr>
      </w:pPr>
      <w:r>
        <w:rPr>
          <w:rFonts w:ascii="Arial" w:cs="Arial" w:eastAsia="Arial" w:hAnsi="Arial"/>
          <w:sz w:val="16"/>
          <w:szCs w:val="16"/>
          <w:color w:val="auto"/>
        </w:rPr>
        <w:t>8.10. Further Assurances. At any time or from time to time upon the written request of the Administrative Agent (which may be by email), at the expense of the Borrower, promptly execute, acknowledge and deliver such further documents and do such other acts and things as the Administrative Agent may reasonably request in order to effect fully the purposes of the Loan Documents. In furtherance and not in limitation of the foregoing, the Loan Parties shall take such actions as the Administrative Agent may reasonably request in writing (including by email) from time to time (including the execution and delivery of guaranties, security agreements, pledge agreements, mortgages, deeds of trust, stock powers, financing statements and other documents, the filing or recording of any of the foregoing, and the delivery of stock certificates and other collateral with respect to which perfection is obtained by possession, in each case to the extent required by the applicable Loan Documents) to ensure that the Obligations are guaranteed by the Guarantors and are secured by substantially all of the assets (other than those assets specifically excluded by the terms of this Agreement and the other Loan Documents) of such Loan Parties on a first priority basis (subject to Permitted Liens).</w:t>
      </w:r>
    </w:p>
    <w:p>
      <w:pPr>
        <w:spacing w:after="0" w:line="177" w:lineRule="exact"/>
        <w:rPr>
          <w:sz w:val="20"/>
          <w:szCs w:val="20"/>
          <w:color w:val="auto"/>
        </w:rPr>
      </w:pPr>
    </w:p>
    <w:p>
      <w:pPr>
        <w:jc w:val="both"/>
        <w:ind w:left="960" w:right="20" w:firstLine="602"/>
        <w:spacing w:after="0" w:line="250"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Designation of Unrestricted Subsidiaries</w:t>
      </w:r>
      <w:r>
        <w:rPr>
          <w:rFonts w:ascii="Arial" w:cs="Arial" w:eastAsia="Arial" w:hAnsi="Arial"/>
          <w:sz w:val="17"/>
          <w:szCs w:val="17"/>
          <w:color w:val="auto"/>
        </w:rPr>
        <w:t>. The Borrower may, at any time, designate any Restricted Subsidiary as an Unrestricted Subsidiary or any Unrestricted Subsidiary as a Restricted Subsidiary; provided that (i) immediately before and after such designation, no Event of Default shall have occurred and be continuing or would otherwise result therefrom and (ii) such designation complies with Section 9.2, and if such designation is made after the Closing Date, also with Section 9.4 and Section 9.7. The designation of any Restricted Subsidiary as an Unrestricted Subsidiary after the Closing Date shall constitute an Investment by the applicable Loan Party therein at the date of designation in an amount equal to the fair market value of the applicable Loan Party’s investment therein. The designation of any Unrestricted Subsidiary as a Restricted Subsidiary shall constitute (x) the incurrence at the time of designation of any Investment, Indebtedness or Liens of such Subsidiary existing at such time, and (y) a return on any Investment by the applicable Loan Party in such Unrestricted Subsidiary pursuant to the preceding sentence in an amount equal to the fair market value at the date of such designation of such Loan Party’s Investment in such Subsidiary (but in no event greater than the original principal amount of such Loan Party’s Investment in such Subsidiary (as measured immediately prior to such designation)). Notwithstanding the foregoing, neither the Borrower nor any parent company thereof shall be permitted to be an Unrestricted Subsidiary.</w:t>
      </w:r>
    </w:p>
    <w:p>
      <w:pPr>
        <w:spacing w:after="0" w:line="199" w:lineRule="exact"/>
        <w:rPr>
          <w:sz w:val="20"/>
          <w:szCs w:val="20"/>
          <w:color w:val="auto"/>
        </w:rPr>
      </w:pPr>
    </w:p>
    <w:p>
      <w:pPr>
        <w:jc w:val="both"/>
        <w:ind w:left="960" w:right="20" w:firstLine="601"/>
        <w:spacing w:after="0" w:line="263"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Cause to be delivered or performed the documents and other agreements and actions set forth on Schedule 8.12 within the time frame specified on such Schedule 8.12.</w:t>
      </w:r>
    </w:p>
    <w:p>
      <w:pPr>
        <w:spacing w:after="0" w:line="186" w:lineRule="exact"/>
        <w:rPr>
          <w:sz w:val="20"/>
          <w:szCs w:val="20"/>
          <w:color w:val="auto"/>
        </w:rPr>
      </w:pPr>
    </w:p>
    <w:p>
      <w:pPr>
        <w:jc w:val="both"/>
        <w:ind w:left="960" w:firstLine="602"/>
        <w:spacing w:after="0" w:line="277"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u w:val="single" w:color="auto"/>
          <w:color w:val="auto"/>
        </w:rPr>
        <w:t>ERISA</w:t>
      </w:r>
      <w:r>
        <w:rPr>
          <w:rFonts w:ascii="Arial" w:cs="Arial" w:eastAsia="Arial" w:hAnsi="Arial"/>
          <w:sz w:val="16"/>
          <w:szCs w:val="16"/>
          <w:color w:val="auto"/>
        </w:rPr>
        <w:t>. Cause each Commonly Controlled Entity to (i) maintain all Plans that are presently in existence or may, from time to time, come into existence, in material compliance with the terms of any such Plan, ERISA, the Code and all other applicable laws and (ii) make or cause to be made contributions to all Plans in a timely manner and, with respect to Single Employer Plans, in a sufficient amount to comply with the requirements of Sections 302 and 303 of ERISA and Sections 412 and 430 of the Code, in each case except to the extent the failure to do so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331470</wp:posOffset>
            </wp:positionV>
            <wp:extent cx="326390" cy="182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720"/>
          </w:cols>
          <w:pgMar w:left="360" w:top="1327" w:right="819" w:bottom="1440" w:gutter="0" w:footer="0" w:header="0"/>
        </w:sectPr>
      </w:pPr>
    </w:p>
    <w:bookmarkStart w:id="210" w:name="page211"/>
    <w:bookmarkEnd w:id="210"/>
    <w:p>
      <w:pPr>
        <w:jc w:val="both"/>
        <w:ind w:left="960" w:firstLine="602"/>
        <w:spacing w:after="0" w:line="248"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and its Subsidiaries shall use the proceeds of the Revolving Loans and the Letters of Credit for working capital, capital expenditures, the payment of costs, fees and expenses related to the Transactions and for other general corporate purposes.</w:t>
      </w:r>
    </w:p>
    <w:p>
      <w:pPr>
        <w:spacing w:after="0" w:line="198" w:lineRule="exact"/>
        <w:rPr>
          <w:sz w:val="20"/>
          <w:szCs w:val="20"/>
          <w:color w:val="auto"/>
        </w:rPr>
      </w:pPr>
    </w:p>
    <w:p>
      <w:pPr>
        <w:jc w:val="both"/>
        <w:ind w:left="960" w:firstLine="602"/>
        <w:spacing w:after="0" w:line="254"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The Borrower shall, and shall cause its Restricted Subsidiaries to, directly or indirectly, cause all transactions or contracts (including any purchase, sale, lease or exchange of property, the rendering of any service or the payment of any management, advisory or similar fees) with or for the benefit of any Affiliate involving aggregate consideration in excess of the greater of $5,000,000 and 5.0% of LTM EBITDA (calculated at the time of determination), to be on terms that are not materially less favorable to the Borrower or its relevant Restricted Subsidiary when taken as a whole than those that would have been obtained in a comparable transaction by the Borrower or such Restricted Subsidiary with an unrelated Person on an arm’s-length basis (as reasonably determined by the Borrower), except:</w:t>
      </w:r>
    </w:p>
    <w:p>
      <w:pPr>
        <w:spacing w:after="0" w:line="182" w:lineRule="exact"/>
        <w:rPr>
          <w:sz w:val="20"/>
          <w:szCs w:val="20"/>
          <w:color w:val="auto"/>
        </w:rPr>
      </w:pPr>
    </w:p>
    <w:p>
      <w:pPr>
        <w:jc w:val="both"/>
        <w:ind w:left="1560" w:right="20" w:firstLine="606"/>
        <w:spacing w:after="0" w:line="283" w:lineRule="auto"/>
        <w:tabs>
          <w:tab w:leader="none" w:pos="295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(i)transactions between or among the Borrower or any of its Restricted Subsidiaries (or an entity that becomes a Restricted Subsidiary as a result of such transaction) and (ii) any transaction permitted under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to the extent such transaction is solely among the Borrower, one or more Restricted Subsidiaries or one or more non-operating companies (without any material assets or liabilities) for purposes of a restructuring or other corporate reorganization;</w:t>
      </w:r>
    </w:p>
    <w:p>
      <w:pPr>
        <w:spacing w:after="0" w:line="172" w:lineRule="exact"/>
        <w:rPr>
          <w:rFonts w:ascii="Arial" w:cs="Arial" w:eastAsia="Arial" w:hAnsi="Arial"/>
          <w:sz w:val="16"/>
          <w:szCs w:val="16"/>
          <w:color w:val="auto"/>
        </w:rPr>
      </w:pPr>
    </w:p>
    <w:p>
      <w:pPr>
        <w:ind w:left="2960" w:hanging="793"/>
        <w:spacing w:after="0"/>
        <w:tabs>
          <w:tab w:leader="none" w:pos="29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any  Restricted  Payment  permitted  by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the  Investments  constituting  Permitted</w:t>
      </w:r>
    </w:p>
    <w:p>
      <w:pPr>
        <w:spacing w:after="0" w:line="21"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15" w:lineRule="exact"/>
        <w:rPr>
          <w:rFonts w:ascii="Arial" w:cs="Arial" w:eastAsia="Arial" w:hAnsi="Arial"/>
          <w:sz w:val="17"/>
          <w:szCs w:val="17"/>
          <w:color w:val="auto"/>
        </w:rPr>
      </w:pPr>
    </w:p>
    <w:p>
      <w:pPr>
        <w:jc w:val="both"/>
        <w:ind w:left="1560" w:right="20" w:firstLine="606"/>
        <w:spacing w:after="0"/>
        <w:tabs>
          <w:tab w:leader="none" w:pos="29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payment of reasonable and customary fees, compensation, benefits and incentive arrangements paid or provided to, and indemnities and reimbursements and employment and severance arrangements provided to or on behalf of, or for the benefit of, future, present or former employees, officers, directors, managers or consultants (or their respective Control Investment Affiliates or Immediate Family Members) of the Borrower, any of its direct or indirect parent companies or any of its Restricted Subsidiaries;</w:t>
      </w:r>
    </w:p>
    <w:p>
      <w:pPr>
        <w:spacing w:after="0" w:line="193" w:lineRule="exact"/>
        <w:rPr>
          <w:rFonts w:ascii="Arial" w:cs="Arial" w:eastAsia="Arial" w:hAnsi="Arial"/>
          <w:sz w:val="18"/>
          <w:szCs w:val="18"/>
          <w:color w:val="auto"/>
        </w:rPr>
      </w:pPr>
    </w:p>
    <w:p>
      <w:pPr>
        <w:ind w:left="1560" w:right="20" w:firstLine="607"/>
        <w:spacing w:after="0" w:line="263" w:lineRule="auto"/>
        <w:tabs>
          <w:tab w:leader="none" w:pos="29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sale or issuance of Equity Interests (other than Disqualified Stock) of the Borrower or any contribution to the capital of the Borrower or any Restricted Subsidiary;</w:t>
      </w:r>
    </w:p>
    <w:p>
      <w:pPr>
        <w:spacing w:after="0" w:line="185" w:lineRule="exact"/>
        <w:rPr>
          <w:rFonts w:ascii="Arial" w:cs="Arial" w:eastAsia="Arial" w:hAnsi="Arial"/>
          <w:sz w:val="18"/>
          <w:szCs w:val="18"/>
          <w:color w:val="auto"/>
        </w:rPr>
      </w:pPr>
    </w:p>
    <w:p>
      <w:pPr>
        <w:ind w:left="2760" w:hanging="594"/>
        <w:spacing w:after="0"/>
        <w:tabs>
          <w:tab w:leader="none" w:pos="27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32" w:lineRule="exact"/>
        <w:rPr>
          <w:sz w:val="20"/>
          <w:szCs w:val="20"/>
          <w:color w:val="auto"/>
        </w:rPr>
      </w:pPr>
    </w:p>
    <w:p>
      <w:pPr>
        <w:jc w:val="both"/>
        <w:ind w:left="1560" w:right="20" w:firstLine="602"/>
        <w:spacing w:after="0" w:line="239" w:lineRule="auto"/>
        <w:rPr>
          <w:sz w:val="20"/>
          <w:szCs w:val="20"/>
          <w:color w:val="auto"/>
        </w:rPr>
      </w:pPr>
      <w:r>
        <w:rPr>
          <w:rFonts w:ascii="Arial" w:cs="Arial" w:eastAsia="Arial" w:hAnsi="Arial"/>
          <w:sz w:val="18"/>
          <w:szCs w:val="18"/>
          <w:color w:val="auto"/>
        </w:rPr>
        <w:t xml:space="preserve">(f)any agreement, instrument or arrangement as in effect as of the Closing Date and set forth on </w:t>
      </w:r>
      <w:r>
        <w:rPr>
          <w:rFonts w:ascii="Arial" w:cs="Arial" w:eastAsia="Arial" w:hAnsi="Arial"/>
          <w:sz w:val="18"/>
          <w:szCs w:val="18"/>
          <w:u w:val="single" w:color="auto"/>
          <w:color w:val="auto"/>
        </w:rPr>
        <w:t>Schedule 9.6</w:t>
      </w:r>
      <w:r>
        <w:rPr>
          <w:rFonts w:ascii="Arial" w:cs="Arial" w:eastAsia="Arial" w:hAnsi="Arial"/>
          <w:sz w:val="18"/>
          <w:szCs w:val="18"/>
          <w:color w:val="auto"/>
        </w:rPr>
        <w:t xml:space="preserve"> or any transaction contemplated thereby, or any amendment or replacement agreement, instrument or arrangement thereto (so long as any such amendment is not materially disadvantageous to the Lenders when taken as a whole as compared to the applicable agreement as in effect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agreement, instrument, transaction or arrangement shall be required to be described on </w:t>
      </w:r>
      <w:r>
        <w:rPr>
          <w:rFonts w:ascii="Arial" w:cs="Arial" w:eastAsia="Arial" w:hAnsi="Arial"/>
          <w:sz w:val="18"/>
          <w:szCs w:val="18"/>
          <w:u w:val="single" w:color="auto"/>
          <w:color w:val="auto"/>
        </w:rPr>
        <w:t>Schedule 9.6</w:t>
      </w:r>
      <w:r>
        <w:rPr>
          <w:rFonts w:ascii="Arial" w:cs="Arial" w:eastAsia="Arial" w:hAnsi="Arial"/>
          <w:sz w:val="18"/>
          <w:szCs w:val="18"/>
          <w:color w:val="auto"/>
        </w:rPr>
        <w:t xml:space="preserve"> only to the extent that such agreement, instrument, transaction or arrangement exceeds $5,000,000;</w:t>
      </w:r>
    </w:p>
    <w:p>
      <w:pPr>
        <w:spacing w:after="0" w:line="193" w:lineRule="exact"/>
        <w:rPr>
          <w:sz w:val="20"/>
          <w:szCs w:val="20"/>
          <w:color w:val="auto"/>
        </w:rPr>
      </w:pPr>
    </w:p>
    <w:p>
      <w:pPr>
        <w:jc w:val="both"/>
        <w:ind w:left="1560" w:firstLine="606"/>
        <w:spacing w:after="0" w:line="262" w:lineRule="auto"/>
        <w:tabs>
          <w:tab w:leader="none" w:pos="295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transactions between the Borrower or any Restricted Subsidiary and any Person that is an Affiliate of the Borrower or any Restricted Subsidiary solely because a director of such Person is also a director of the Borrower or any direct or indirect parent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director abstains from voting as a director of the Borrower or any direct or indirect parent of the Borrower, as the case may be, on any matter involving such other Person;</w:t>
      </w:r>
    </w:p>
    <w:p>
      <w:pPr>
        <w:spacing w:after="0" w:line="187" w:lineRule="exact"/>
        <w:rPr>
          <w:rFonts w:ascii="Arial" w:cs="Arial" w:eastAsia="Arial" w:hAnsi="Arial"/>
          <w:sz w:val="17"/>
          <w:szCs w:val="17"/>
          <w:color w:val="auto"/>
        </w:rPr>
      </w:pPr>
    </w:p>
    <w:p>
      <w:pPr>
        <w:ind w:left="1560" w:right="20" w:firstLine="607"/>
        <w:spacing w:after="0" w:line="263" w:lineRule="auto"/>
        <w:tabs>
          <w:tab w:leader="none" w:pos="295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payments by the Borrower or any of its Restricted Subsidiaries to, and agreements with, any Investor or any of its Affiliates for any financial advisory, management, monitoring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720"/>
          </w:cols>
          <w:pgMar w:left="360" w:top="1326" w:right="819" w:bottom="1440" w:gutter="0" w:footer="0" w:header="0"/>
        </w:sectPr>
      </w:pPr>
    </w:p>
    <w:bookmarkStart w:id="211" w:name="page212"/>
    <w:bookmarkEnd w:id="211"/>
    <w:p>
      <w:pPr>
        <w:jc w:val="both"/>
        <w:ind w:left="1560"/>
        <w:spacing w:after="0" w:line="237" w:lineRule="auto"/>
        <w:rPr>
          <w:sz w:val="20"/>
          <w:szCs w:val="20"/>
          <w:color w:val="auto"/>
        </w:rPr>
      </w:pPr>
      <w:r>
        <w:rPr>
          <w:rFonts w:ascii="Arial" w:cs="Arial" w:eastAsia="Arial" w:hAnsi="Arial"/>
          <w:sz w:val="18"/>
          <w:szCs w:val="18"/>
          <w:color w:val="auto"/>
        </w:rPr>
        <w:t xml:space="preserve">consulting services, financing, mergers and acquisitions advisory, insurance brokerage, hedging arrangements, underwriting or placement services or in respect of other investment banking activities, including, without limitation, in connection with acquisitions, divestitures or joint ventures, and customary indemnities related thereto, pursuant to agreements in effect on the Closing Date or which are approved by a majority of the board of directors of the Borrower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payment of management and monitoring fees shall be in an amount not to exceed the greater of $7,500,000 and 7.50% of LTM CEBITDA (calculated at the time of determination)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plus expenses and termination fees pursuant to such agreements in effect on the Closing Date or approved by a majority of the board of directors (or similar governing body) of the Loan Party making such payment;</w:t>
      </w:r>
    </w:p>
    <w:p>
      <w:pPr>
        <w:spacing w:after="0" w:line="208" w:lineRule="exact"/>
        <w:rPr>
          <w:sz w:val="20"/>
          <w:szCs w:val="20"/>
          <w:color w:val="auto"/>
        </w:rPr>
      </w:pPr>
    </w:p>
    <w:p>
      <w:pPr>
        <w:ind w:left="1560" w:firstLine="607"/>
        <w:spacing w:after="0" w:line="263" w:lineRule="auto"/>
        <w:tabs>
          <w:tab w:leader="none" w:pos="23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transaction with a Person who was not an Affiliate of the Borrower before the transaction but becomes an Affiliate solely as a result of such transaction;</w:t>
      </w:r>
    </w:p>
    <w:p>
      <w:pPr>
        <w:spacing w:after="0" w:line="173" w:lineRule="exact"/>
        <w:rPr>
          <w:rFonts w:ascii="Arial" w:cs="Arial" w:eastAsia="Arial" w:hAnsi="Arial"/>
          <w:sz w:val="18"/>
          <w:szCs w:val="18"/>
          <w:color w:val="auto"/>
        </w:rPr>
      </w:pPr>
    </w:p>
    <w:p>
      <w:pPr>
        <w:jc w:val="both"/>
        <w:ind w:left="1560" w:firstLine="607"/>
        <w:spacing w:after="0"/>
        <w:tabs>
          <w:tab w:leader="none" w:pos="23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sale or issuance of Equity Interests (other than Disqualified Stock) of the Borrower or any contribution to the capital of the Borrower or any Restricted Subsidiary and the granting and performing of reasonable and customary registration rights to any direct or indirect parent company or to any Investor or to any former, present or future director, manager, officer, employee or consultant (or any Affiliate of any of the foregoing) of the Borrower or any of its Subsidiaries or any direct or indirect parent company;</w:t>
      </w:r>
    </w:p>
    <w:p>
      <w:pPr>
        <w:spacing w:after="0" w:line="206" w:lineRule="exact"/>
        <w:rPr>
          <w:rFonts w:ascii="Arial" w:cs="Arial" w:eastAsia="Arial" w:hAnsi="Arial"/>
          <w:sz w:val="18"/>
          <w:szCs w:val="18"/>
          <w:color w:val="auto"/>
        </w:rPr>
      </w:pPr>
    </w:p>
    <w:p>
      <w:pPr>
        <w:ind w:left="1560" w:firstLine="607"/>
        <w:spacing w:after="0" w:line="263" w:lineRule="auto"/>
        <w:tabs>
          <w:tab w:leader="none" w:pos="29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entering into of any tax sharing agreement or arrangement and any payment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9.2(b)(xi)(A)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1560" w:firstLine="606"/>
        <w:spacing w:after="0" w:line="248" w:lineRule="auto"/>
        <w:tabs>
          <w:tab w:leader="none" w:pos="23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transactions in which the Borrower or any of its Restricted Subsidiaries, as the case may be, delivers to the Administrative Agent a letter from a nationally recognized investment bank or valuation firm stating that such transaction is fair to the Borrower or such Restricted Subsidiary from a financial point of view;</w:t>
      </w:r>
    </w:p>
    <w:p>
      <w:pPr>
        <w:spacing w:after="0" w:line="198" w:lineRule="exact"/>
        <w:rPr>
          <w:rFonts w:ascii="Arial" w:cs="Arial" w:eastAsia="Arial" w:hAnsi="Arial"/>
          <w:sz w:val="18"/>
          <w:szCs w:val="18"/>
          <w:color w:val="auto"/>
        </w:rPr>
      </w:pPr>
    </w:p>
    <w:p>
      <w:pPr>
        <w:jc w:val="both"/>
        <w:ind w:left="1560" w:firstLine="606"/>
        <w:spacing w:after="0" w:line="237" w:lineRule="auto"/>
        <w:tabs>
          <w:tab w:leader="none" w:pos="29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existence of, or the performance by the Borrower or any of its Restricted Subsidiaries of its obligations under the terms of, any stockholders or similar agreement (including any registration rights agreement or purchase agreement related thereto) to which it (or any direct or indirect parent company of the Borrower) is a party as of the Closing Date set forth on Schedule</w:t>
      </w:r>
    </w:p>
    <w:p>
      <w:pPr>
        <w:jc w:val="both"/>
        <w:ind w:left="156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9.6 and any amendment thereto or similar agreements, transactions or arrangements which it may enter into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existence of, or the performance by the Borrower or any of its Restricted Subsidiaries of obligations under any future amendment or replacement agreement to any such existing agreement or under any similar agreement, transaction or arrangement entered into after the Closing Date shall only be permitted by this clause (n) to the extent that the terms of any such amendment or new agreement, transaction or arrangement are not otherwise materially disadvantageous to the Lenders when taken as a whole;</w:t>
      </w:r>
    </w:p>
    <w:p>
      <w:pPr>
        <w:spacing w:after="0" w:line="197" w:lineRule="exact"/>
        <w:rPr>
          <w:rFonts w:ascii="Arial" w:cs="Arial" w:eastAsia="Arial" w:hAnsi="Arial"/>
          <w:sz w:val="18"/>
          <w:szCs w:val="18"/>
          <w:color w:val="auto"/>
        </w:rPr>
      </w:pPr>
    </w:p>
    <w:p>
      <w:pPr>
        <w:ind w:left="1560" w:firstLine="607"/>
        <w:spacing w:after="0" w:line="263" w:lineRule="auto"/>
        <w:tabs>
          <w:tab w:leader="none" w:pos="29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non-recourse pledge of Equity Interests of an Unrestricted Subsidiary to support the Indebtedness of such Unrestricted Subsidiary;</w:t>
      </w:r>
    </w:p>
    <w:p>
      <w:pPr>
        <w:spacing w:after="0" w:line="185" w:lineRule="exact"/>
        <w:rPr>
          <w:rFonts w:ascii="Arial" w:cs="Arial" w:eastAsia="Arial" w:hAnsi="Arial"/>
          <w:sz w:val="18"/>
          <w:szCs w:val="18"/>
          <w:color w:val="auto"/>
        </w:rPr>
      </w:pPr>
    </w:p>
    <w:p>
      <w:pPr>
        <w:jc w:val="both"/>
        <w:ind w:left="1560" w:firstLine="607"/>
        <w:spacing w:after="0" w:line="255" w:lineRule="auto"/>
        <w:tabs>
          <w:tab w:leader="none" w:pos="295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(i)transactions with customers, clients, suppliers, or purchasers or sellers of goods or services, in each case in the ordinary course of business and otherwise permitted hereunder, which are fair to the Borrower and its Restricted Subsidiaries, in the reasonable determination of the board of directors of the Borrower or the senior management thereof, or are on terms at least as favorable as might reasonably have been obtained at such time from an unaffiliated party or (ii) payments to and from, and transactions with, joint venture partners or joint ventures (including pursuant to joint venture agreements), in each case, existing on the Closing Date, entered into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700"/>
          </w:cols>
          <w:pgMar w:left="360" w:top="1326" w:right="839" w:bottom="1440" w:gutter="0" w:footer="0" w:header="0"/>
        </w:sectPr>
      </w:pPr>
    </w:p>
    <w:bookmarkStart w:id="212" w:name="page213"/>
    <w:bookmarkEnd w:id="212"/>
    <w:p>
      <w:pPr>
        <w:ind w:left="1560"/>
        <w:spacing w:after="0"/>
        <w:rPr>
          <w:sz w:val="20"/>
          <w:szCs w:val="20"/>
          <w:color w:val="auto"/>
        </w:rPr>
      </w:pPr>
      <w:r>
        <w:rPr>
          <w:rFonts w:ascii="Arial" w:cs="Arial" w:eastAsia="Arial" w:hAnsi="Arial"/>
          <w:sz w:val="18"/>
          <w:szCs w:val="18"/>
          <w:color w:val="auto"/>
        </w:rPr>
        <w:t>the ordinary course of business (including, without limitation, any cash management activities related thereto);</w:t>
      </w:r>
    </w:p>
    <w:p>
      <w:pPr>
        <w:spacing w:after="0" w:line="232" w:lineRule="exact"/>
        <w:rPr>
          <w:sz w:val="20"/>
          <w:szCs w:val="20"/>
          <w:color w:val="auto"/>
        </w:rPr>
      </w:pPr>
    </w:p>
    <w:p>
      <w:pPr>
        <w:jc w:val="both"/>
        <w:ind w:left="1560" w:right="20" w:firstLine="606"/>
        <w:spacing w:after="0" w:line="258" w:lineRule="auto"/>
        <w:tabs>
          <w:tab w:leader="none" w:pos="295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payments, loans, advances or guarantees (or cancellation of payments, loans, advances or guarantees) to any future, present or former employees, officers, directors, managers or consultants of the Borrower, any of its direct or indirect parent companies or any of its Restricted Subsidiaries, and any employment agreements, stock option, benefit, incentive or retirement plans and other similar arrangements with such employees, officers, directors, managers or consultants which, in each case, are approved by the Borrower in good faith;</w:t>
      </w:r>
    </w:p>
    <w:p>
      <w:pPr>
        <w:spacing w:after="0" w:line="178" w:lineRule="exact"/>
        <w:rPr>
          <w:rFonts w:ascii="Arial" w:cs="Arial" w:eastAsia="Arial" w:hAnsi="Arial"/>
          <w:sz w:val="17"/>
          <w:szCs w:val="17"/>
          <w:color w:val="auto"/>
        </w:rPr>
      </w:pPr>
    </w:p>
    <w:p>
      <w:pPr>
        <w:jc w:val="both"/>
        <w:ind w:left="1560" w:right="20" w:firstLine="606"/>
        <w:spacing w:after="0" w:line="242" w:lineRule="auto"/>
        <w:tabs>
          <w:tab w:leader="none" w:pos="29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transactions with Affiliates solely in their capacity as holders of, or interests in, Indebtedness or Equity Interests of the Borrower or any of its Subsidiaries, so long as (i) such transaction is with all holders of such class (and there are such non-Affiliate holders) and (ii) such Affiliates are treated no more favorably than all other holders of such class generally;</w:t>
      </w:r>
    </w:p>
    <w:p>
      <w:pPr>
        <w:spacing w:after="0" w:line="206" w:lineRule="exact"/>
        <w:rPr>
          <w:sz w:val="20"/>
          <w:szCs w:val="20"/>
          <w:color w:val="auto"/>
        </w:rPr>
      </w:pPr>
    </w:p>
    <w:p>
      <w:pPr>
        <w:jc w:val="both"/>
        <w:ind w:left="1560" w:right="20" w:firstLine="602"/>
        <w:spacing w:after="0" w:line="263" w:lineRule="auto"/>
        <w:rPr>
          <w:sz w:val="20"/>
          <w:szCs w:val="20"/>
          <w:color w:val="auto"/>
        </w:rPr>
      </w:pPr>
      <w:r>
        <w:rPr>
          <w:rFonts w:ascii="Arial" w:cs="Arial" w:eastAsia="Arial" w:hAnsi="Arial"/>
          <w:sz w:val="18"/>
          <w:szCs w:val="18"/>
          <w:color w:val="auto"/>
        </w:rPr>
        <w:t>(r)any Guarantee by any parent company of the Borrower of Indebtedness of the Borrower or any Restricted Subsidiary;</w:t>
      </w:r>
    </w:p>
    <w:p>
      <w:pPr>
        <w:spacing w:after="0" w:line="186" w:lineRule="exact"/>
        <w:rPr>
          <w:sz w:val="20"/>
          <w:szCs w:val="20"/>
          <w:color w:val="auto"/>
        </w:rPr>
      </w:pPr>
    </w:p>
    <w:p>
      <w:pPr>
        <w:jc w:val="both"/>
        <w:ind w:left="1560" w:right="20" w:firstLine="601"/>
        <w:spacing w:after="0" w:line="242" w:lineRule="auto"/>
        <w:rPr>
          <w:sz w:val="20"/>
          <w:szCs w:val="20"/>
          <w:color w:val="auto"/>
        </w:rPr>
      </w:pPr>
      <w:r>
        <w:rPr>
          <w:rFonts w:ascii="Arial" w:cs="Arial" w:eastAsia="Arial" w:hAnsi="Arial"/>
          <w:sz w:val="18"/>
          <w:szCs w:val="18"/>
          <w:color w:val="auto"/>
        </w:rPr>
        <w:t>(s)the issuances of securities or other payments, awards or grants in cash, securities or otherwise pursuant to, or the funding of, employment arrangements, stock option and stock ownership plans or similar employee benefit plans approved by the Board of Directors of the Borrower or any direct or indirect parent of the Borrower or of a Restricted Subsidiary of the Borrower, as appropriate, in good faith;</w:t>
      </w:r>
    </w:p>
    <w:p>
      <w:pPr>
        <w:spacing w:after="0" w:line="193" w:lineRule="exact"/>
        <w:rPr>
          <w:sz w:val="20"/>
          <w:szCs w:val="20"/>
          <w:color w:val="auto"/>
        </w:rPr>
      </w:pPr>
    </w:p>
    <w:p>
      <w:pPr>
        <w:ind w:left="2760" w:hanging="594"/>
        <w:spacing w:after="0"/>
        <w:tabs>
          <w:tab w:leader="none" w:pos="27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transactions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and</w:t>
      </w:r>
    </w:p>
    <w:p>
      <w:pPr>
        <w:spacing w:after="0" w:line="294" w:lineRule="exact"/>
        <w:rPr>
          <w:rFonts w:ascii="Arial" w:cs="Arial" w:eastAsia="Arial" w:hAnsi="Arial"/>
          <w:sz w:val="18"/>
          <w:szCs w:val="18"/>
          <w:color w:val="auto"/>
        </w:rPr>
      </w:pPr>
    </w:p>
    <w:p>
      <w:pPr>
        <w:jc w:val="both"/>
        <w:ind w:left="1560" w:right="20" w:firstLine="606"/>
        <w:spacing w:after="0" w:line="274" w:lineRule="auto"/>
        <w:tabs>
          <w:tab w:leader="none" w:pos="295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 Investments by any Investor in securities of the Borrower or any Restricted Subsidiary (and payment of reasonable out-of-pocket expenses incurred by such Investor in connection therewith) so long as the Investment is being generally offered to other non-Affiliate investors in a bona fide offering on the same or more favorable terms, and (ii) payments to, and transactions with, Investors in respect of securities of the Borrower or any Restricted Subsidiary contemplated in the foregoing clause (i) or securities of the Borrower or any Restricted Subsidiary that were acquired from Persons other than the Borrower or its Restricted Subsidiaries, in each case, in compliance with the terms of such securities.</w:t>
      </w:r>
    </w:p>
    <w:p>
      <w:pPr>
        <w:spacing w:after="0" w:line="182" w:lineRule="exact"/>
        <w:rPr>
          <w:sz w:val="20"/>
          <w:szCs w:val="20"/>
          <w:color w:val="auto"/>
        </w:rPr>
      </w:pPr>
    </w:p>
    <w:p>
      <w:pPr>
        <w:jc w:val="both"/>
        <w:ind w:left="960" w:firstLine="602"/>
        <w:spacing w:after="0" w:line="252" w:lineRule="auto"/>
        <w:rPr>
          <w:sz w:val="20"/>
          <w:szCs w:val="20"/>
          <w:color w:val="auto"/>
        </w:rPr>
      </w:pPr>
      <w:r>
        <w:rPr>
          <w:rFonts w:ascii="Arial" w:cs="Arial" w:eastAsia="Arial" w:hAnsi="Arial"/>
          <w:sz w:val="17"/>
          <w:szCs w:val="17"/>
          <w:color w:val="auto"/>
        </w:rPr>
        <w:t xml:space="preserve">8.16. </w:t>
      </w:r>
      <w:r>
        <w:rPr>
          <w:rFonts w:ascii="Arial" w:cs="Arial" w:eastAsia="Arial" w:hAnsi="Arial"/>
          <w:sz w:val="17"/>
          <w:szCs w:val="17"/>
          <w:u w:val="single" w:color="auto"/>
          <w:color w:val="auto"/>
        </w:rPr>
        <w:t>Anti-Corruption</w:t>
      </w:r>
      <w:r>
        <w:rPr>
          <w:rFonts w:ascii="Arial" w:cs="Arial" w:eastAsia="Arial" w:hAnsi="Arial"/>
          <w:sz w:val="17"/>
          <w:szCs w:val="17"/>
          <w:color w:val="auto"/>
        </w:rPr>
        <w:t>. The Borrower will request each Borrowing and Letter of Credit, the Borrower shall use, and shall procure that its Restricted Subsidiaries and their respective directors, officers, and employees use, and shall use reasonable best efforts to procure that its agents, all to the extent acting on behalf of the Borrower or its Subsidiaries, use, the proceeds of each Borrowing and Letter of Credit directly, or to the knowledge of the Borrower, indirectly, except as follows: (A) in furtherance of an offer, payment, promise to pay, or authorization of the payment or giving of money, or anything else of value, to any Person in violation of the U.S. Foreign Corrupt Practices Act of 1977, as amended, or, to the knowledge of the Borrower, other applicable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720"/>
          </w:cols>
          <w:pgMar w:left="360" w:top="1326" w:right="819" w:bottom="1440" w:gutter="0" w:footer="0" w:header="0"/>
        </w:sectPr>
      </w:pPr>
    </w:p>
    <w:bookmarkStart w:id="213" w:name="page214"/>
    <w:bookmarkEnd w:id="213"/>
    <w:p>
      <w:pPr>
        <w:jc w:val="center"/>
        <w:ind w:right="-459"/>
        <w:spacing w:after="0"/>
        <w:rPr>
          <w:sz w:val="20"/>
          <w:szCs w:val="20"/>
          <w:color w:val="auto"/>
        </w:rPr>
      </w:pPr>
      <w:r>
        <w:rPr>
          <w:rFonts w:ascii="Arial" w:cs="Arial" w:eastAsia="Arial" w:hAnsi="Arial"/>
          <w:sz w:val="18"/>
          <w:szCs w:val="18"/>
          <w:color w:val="auto"/>
        </w:rPr>
        <w:t>SECTION 9.</w:t>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NEGATIVE COVENANTS</w:t>
      </w:r>
    </w:p>
    <w:p>
      <w:pPr>
        <w:spacing w:after="0" w:line="307" w:lineRule="exact"/>
        <w:rPr>
          <w:sz w:val="20"/>
          <w:szCs w:val="20"/>
          <w:color w:val="auto"/>
        </w:rPr>
      </w:pPr>
    </w:p>
    <w:p>
      <w:pPr>
        <w:jc w:val="both"/>
        <w:ind w:left="960" w:right="20" w:firstLine="602"/>
        <w:spacing w:after="0" w:line="238" w:lineRule="auto"/>
        <w:rPr>
          <w:sz w:val="20"/>
          <w:szCs w:val="20"/>
          <w:color w:val="auto"/>
        </w:rPr>
      </w:pPr>
      <w:r>
        <w:rPr>
          <w:rFonts w:ascii="Arial" w:cs="Arial" w:eastAsia="Arial" w:hAnsi="Arial"/>
          <w:sz w:val="18"/>
          <w:szCs w:val="18"/>
          <w:color w:val="auto"/>
        </w:rPr>
        <w:t xml:space="preserve">The Borrower hereby agrees that, until all Commitments have been terminated and the principal of and interest on each Loan, all fees and all other expenses or amounts payable under any Loan Document shall have been paid in full (other than (i) contingent indemnification and reimbursement obligations for which no claim has been made, (ii) Cash Management Obligations as to which arrangements reasonably satisfactory to the providers thereof have been made and (iii) obligations under Specified Swap Agreements to which arrangements reasonably satisfactory to the Qualified Counterparties have been made) and all Letters of Credit have been canceled, have expired or have been Collateralized, the Borrower shall, and the Borrower shall cause each of the Restricted Subsidiaries to, comply with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68"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Financial Covenant</w:t>
      </w:r>
      <w:r>
        <w:rPr>
          <w:rFonts w:ascii="Arial" w:cs="Arial" w:eastAsia="Arial" w:hAnsi="Arial"/>
          <w:sz w:val="18"/>
          <w:szCs w:val="18"/>
          <w:color w:val="auto"/>
        </w:rPr>
        <w:t>. Without the written consent of the Required Lenders, the Borrower shall not permit the Total Net First Lien Leverage Ratio, on a Pro Forma Basis, to exceed 4.50 to 1.00 as at the last day of any fiscal quarter of the Borrower (but only if the last day of such fiscal quarter constitutes a Compliance Date).</w:t>
      </w:r>
    </w:p>
    <w:p>
      <w:pPr>
        <w:spacing w:after="0" w:line="18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Limitations on Restricted Payments</w:t>
      </w:r>
      <w:r>
        <w:rPr>
          <w:rFonts w:ascii="Arial" w:cs="Arial" w:eastAsia="Arial" w:hAnsi="Arial"/>
          <w:sz w:val="16"/>
          <w:szCs w:val="16"/>
          <w:color w:val="auto"/>
        </w:rPr>
        <w:t>.</w:t>
      </w:r>
    </w:p>
    <w:p>
      <w:pPr>
        <w:spacing w:after="0" w:line="295" w:lineRule="exact"/>
        <w:rPr>
          <w:sz w:val="20"/>
          <w:szCs w:val="20"/>
          <w:color w:val="auto"/>
        </w:rPr>
      </w:pPr>
    </w:p>
    <w:p>
      <w:pPr>
        <w:ind w:left="2360" w:hanging="796"/>
        <w:spacing w:after="0"/>
        <w:tabs>
          <w:tab w:leader="none" w:pos="2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shall not, and shall not permit any of its Restricted Subsidiaries to, directly or indirectly:</w:t>
      </w:r>
    </w:p>
    <w:p>
      <w:pPr>
        <w:spacing w:after="0" w:line="231" w:lineRule="exact"/>
        <w:rPr>
          <w:rFonts w:ascii="Arial" w:cs="Arial" w:eastAsia="Arial" w:hAnsi="Arial"/>
          <w:sz w:val="18"/>
          <w:szCs w:val="18"/>
          <w:color w:val="auto"/>
        </w:rPr>
      </w:pPr>
    </w:p>
    <w:p>
      <w:pPr>
        <w:jc w:val="both"/>
        <w:ind w:left="1480" w:firstLine="664"/>
        <w:spacing w:after="0" w:line="248" w:lineRule="auto"/>
        <w:tabs>
          <w:tab w:leader="none" w:pos="237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declare or pay any dividend or make any payment or distribution on account of the Borrower’s or any of its Restricted Subsidiaries’ Equity Interests, including any dividend or distribution payable in connection with any merger or consolidation other than:</w:t>
      </w:r>
    </w:p>
    <w:p>
      <w:pPr>
        <w:spacing w:after="0" w:line="198" w:lineRule="exact"/>
        <w:rPr>
          <w:rFonts w:ascii="Arial" w:cs="Arial" w:eastAsia="Arial" w:hAnsi="Arial"/>
          <w:sz w:val="18"/>
          <w:szCs w:val="18"/>
          <w:color w:val="auto"/>
        </w:rPr>
      </w:pPr>
    </w:p>
    <w:p>
      <w:pPr>
        <w:ind w:left="2160" w:right="20" w:firstLine="608"/>
        <w:spacing w:after="0" w:line="263" w:lineRule="auto"/>
        <w:tabs>
          <w:tab w:leader="none" w:pos="3556" w:val="left"/>
        </w:tabs>
        <w:numPr>
          <w:ilvl w:val="2"/>
          <w:numId w:val="216"/>
        </w:numPr>
        <w:rPr>
          <w:rFonts w:ascii="Arial" w:cs="Arial" w:eastAsia="Arial" w:hAnsi="Arial"/>
          <w:sz w:val="18"/>
          <w:szCs w:val="18"/>
          <w:color w:val="auto"/>
        </w:rPr>
      </w:pPr>
      <w:r>
        <w:rPr>
          <w:rFonts w:ascii="Arial" w:cs="Arial" w:eastAsia="Arial" w:hAnsi="Arial"/>
          <w:sz w:val="18"/>
          <w:szCs w:val="18"/>
          <w:color w:val="auto"/>
        </w:rPr>
        <w:t>dividends, payments or distributions by the Borrower payable solely in Equity Interests (other than Disqualified Stock) of the Borrower; or</w:t>
      </w:r>
    </w:p>
    <w:p>
      <w:pPr>
        <w:spacing w:after="0" w:line="173" w:lineRule="exact"/>
        <w:rPr>
          <w:rFonts w:ascii="Arial" w:cs="Arial" w:eastAsia="Arial" w:hAnsi="Arial"/>
          <w:sz w:val="18"/>
          <w:szCs w:val="18"/>
          <w:color w:val="auto"/>
        </w:rPr>
      </w:pPr>
    </w:p>
    <w:p>
      <w:pPr>
        <w:jc w:val="both"/>
        <w:ind w:left="2160" w:right="20" w:firstLine="608"/>
        <w:spacing w:after="0"/>
        <w:tabs>
          <w:tab w:leader="none" w:pos="3558" w:val="left"/>
        </w:tabs>
        <w:numPr>
          <w:ilvl w:val="2"/>
          <w:numId w:val="216"/>
        </w:numPr>
        <w:rPr>
          <w:rFonts w:ascii="Arial" w:cs="Arial" w:eastAsia="Arial" w:hAnsi="Arial"/>
          <w:sz w:val="18"/>
          <w:szCs w:val="18"/>
          <w:color w:val="auto"/>
        </w:rPr>
      </w:pPr>
      <w:r>
        <w:rPr>
          <w:rFonts w:ascii="Arial" w:cs="Arial" w:eastAsia="Arial" w:hAnsi="Arial"/>
          <w:sz w:val="18"/>
          <w:szCs w:val="18"/>
          <w:color w:val="auto"/>
        </w:rPr>
        <w:t xml:space="preserve">dividends, payments or distributions by a Restricted Subsidiary of the Borrower so long as, in the case of any dividend, payment or distribution payable on or in respect of any class or series of securities issued by a Restricted Subsidiary that is not a Wholly Owned Subsidiary, the Borrower or a Restricted Subsidiary receives at least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dividend, payment or distribution in accordance with its Equity Interests in such class or series of securities;</w:t>
      </w:r>
    </w:p>
    <w:p>
      <w:pPr>
        <w:spacing w:after="0" w:line="206" w:lineRule="exact"/>
        <w:rPr>
          <w:rFonts w:ascii="Arial" w:cs="Arial" w:eastAsia="Arial" w:hAnsi="Arial"/>
          <w:sz w:val="18"/>
          <w:szCs w:val="18"/>
          <w:color w:val="auto"/>
        </w:rPr>
      </w:pPr>
    </w:p>
    <w:p>
      <w:pPr>
        <w:jc w:val="both"/>
        <w:ind w:left="1480" w:right="20" w:firstLine="612"/>
        <w:spacing w:after="0" w:line="293" w:lineRule="auto"/>
        <w:tabs>
          <w:tab w:leader="none" w:pos="2372" w:val="left"/>
        </w:tabs>
        <w:numPr>
          <w:ilvl w:val="1"/>
          <w:numId w:val="216"/>
        </w:numPr>
        <w:rPr>
          <w:rFonts w:ascii="Arial" w:cs="Arial" w:eastAsia="Arial" w:hAnsi="Arial"/>
          <w:sz w:val="17"/>
          <w:szCs w:val="17"/>
          <w:color w:val="auto"/>
        </w:rPr>
      </w:pPr>
      <w:r>
        <w:rPr>
          <w:rFonts w:ascii="Arial" w:cs="Arial" w:eastAsia="Arial" w:hAnsi="Arial"/>
          <w:sz w:val="17"/>
          <w:szCs w:val="17"/>
          <w:color w:val="auto"/>
        </w:rPr>
        <w:t>purchase, redeem, defease or otherwise acquire or retire for value any Equity Interests of the Borrower or any direct or indirect parent of the Borrower, including pursuant to a Division or in connection with any merger or consolidation;</w:t>
      </w:r>
    </w:p>
    <w:p>
      <w:pPr>
        <w:spacing w:after="0" w:line="162" w:lineRule="exact"/>
        <w:rPr>
          <w:rFonts w:ascii="Arial" w:cs="Arial" w:eastAsia="Arial" w:hAnsi="Arial"/>
          <w:sz w:val="17"/>
          <w:szCs w:val="17"/>
          <w:color w:val="auto"/>
        </w:rPr>
      </w:pPr>
    </w:p>
    <w:p>
      <w:pPr>
        <w:jc w:val="both"/>
        <w:ind w:left="1480" w:right="20" w:firstLine="561"/>
        <w:spacing w:after="0" w:line="248" w:lineRule="auto"/>
        <w:tabs>
          <w:tab w:leader="none" w:pos="237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make any principal payment on, or redeem, repurchase, defease or otherwise acquire or retire for value or give any irrevocable notice of redemption with respect thereto, in each case, prior to any scheduled repayment, sinking fund payment, mandatory payment or maturity, any Junior Indebtedness, other than:</w:t>
      </w:r>
    </w:p>
    <w:p>
      <w:pPr>
        <w:spacing w:after="0" w:line="185" w:lineRule="exact"/>
        <w:rPr>
          <w:rFonts w:ascii="Arial" w:cs="Arial" w:eastAsia="Arial" w:hAnsi="Arial"/>
          <w:sz w:val="18"/>
          <w:szCs w:val="18"/>
          <w:color w:val="auto"/>
        </w:rPr>
      </w:pPr>
    </w:p>
    <w:p>
      <w:pPr>
        <w:ind w:left="3360" w:hanging="593"/>
        <w:spacing w:after="0"/>
        <w:tabs>
          <w:tab w:leader="none" w:pos="336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 xml:space="preserve">Indebtedness permitted under </w:t>
      </w:r>
      <w:r>
        <w:rPr>
          <w:rFonts w:ascii="Arial" w:cs="Arial" w:eastAsia="Arial" w:hAnsi="Arial"/>
          <w:sz w:val="18"/>
          <w:szCs w:val="18"/>
          <w:u w:val="single" w:color="auto"/>
          <w:color w:val="auto"/>
        </w:rPr>
        <w:t>Sections 9.4(b)(x)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(xi)</w:t>
      </w:r>
      <w:r>
        <w:rPr>
          <w:rFonts w:ascii="Arial" w:cs="Arial" w:eastAsia="Arial" w:hAnsi="Arial"/>
          <w:sz w:val="18"/>
          <w:szCs w:val="18"/>
          <w:color w:val="auto"/>
        </w:rPr>
        <w:t>; or</w:t>
      </w:r>
    </w:p>
    <w:p>
      <w:pPr>
        <w:spacing w:after="0" w:line="294" w:lineRule="exact"/>
        <w:rPr>
          <w:rFonts w:ascii="Arial" w:cs="Arial" w:eastAsia="Arial" w:hAnsi="Arial"/>
          <w:sz w:val="18"/>
          <w:szCs w:val="18"/>
          <w:color w:val="auto"/>
        </w:rPr>
      </w:pPr>
    </w:p>
    <w:p>
      <w:pPr>
        <w:ind w:left="2160" w:right="60" w:firstLine="608"/>
        <w:spacing w:after="0" w:line="263" w:lineRule="auto"/>
        <w:tabs>
          <w:tab w:leader="none" w:pos="3558"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the purchase, repurchase or other acquisition of Junior Indebtedness purchased in anticipation of satisfying a sinking fund obligation, principal installment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720"/>
          </w:cols>
          <w:pgMar w:left="360" w:top="1326" w:right="819" w:bottom="1440" w:gutter="0" w:footer="0" w:header="0"/>
        </w:sectPr>
      </w:pPr>
    </w:p>
    <w:bookmarkStart w:id="214" w:name="page215"/>
    <w:bookmarkEnd w:id="214"/>
    <w:p>
      <w:pPr>
        <w:ind w:left="2160"/>
        <w:spacing w:after="0"/>
        <w:rPr>
          <w:sz w:val="20"/>
          <w:szCs w:val="20"/>
          <w:color w:val="auto"/>
        </w:rPr>
      </w:pPr>
      <w:r>
        <w:rPr>
          <w:rFonts w:ascii="Arial" w:cs="Arial" w:eastAsia="Arial" w:hAnsi="Arial"/>
          <w:sz w:val="18"/>
          <w:szCs w:val="18"/>
          <w:color w:val="auto"/>
        </w:rPr>
        <w:t>final maturity, in each case due within one year of the date of purchase, repurchase or acquisition; or</w:t>
      </w:r>
    </w:p>
    <w:p>
      <w:pPr>
        <w:spacing w:after="0" w:line="232" w:lineRule="exact"/>
        <w:rPr>
          <w:sz w:val="20"/>
          <w:szCs w:val="20"/>
          <w:color w:val="auto"/>
        </w:rPr>
      </w:pPr>
    </w:p>
    <w:p>
      <w:pPr>
        <w:ind w:left="2160" w:right="260" w:firstLine="608"/>
        <w:spacing w:after="0" w:line="263" w:lineRule="auto"/>
        <w:tabs>
          <w:tab w:leader="none" w:pos="355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the giving of an irrevocable notice of redemption with respect to the transactions described in </w:t>
      </w:r>
      <w:r>
        <w:rPr>
          <w:rFonts w:ascii="Arial" w:cs="Arial" w:eastAsia="Arial" w:hAnsi="Arial"/>
          <w:sz w:val="18"/>
          <w:szCs w:val="18"/>
          <w:u w:val="single" w:color="auto"/>
          <w:color w:val="auto"/>
        </w:rPr>
        <w:t>Sections 9.2(b)(ii)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or</w:t>
      </w:r>
    </w:p>
    <w:p>
      <w:pPr>
        <w:spacing w:after="0" w:line="248" w:lineRule="exact"/>
        <w:rPr>
          <w:rFonts w:ascii="Arial" w:cs="Arial" w:eastAsia="Arial" w:hAnsi="Arial"/>
          <w:sz w:val="18"/>
          <w:szCs w:val="18"/>
          <w:color w:val="auto"/>
        </w:rPr>
      </w:pPr>
    </w:p>
    <w:p>
      <w:pPr>
        <w:ind w:left="2660" w:hanging="608"/>
        <w:spacing w:after="0"/>
        <w:tabs>
          <w:tab w:leader="none" w:pos="2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19" w:lineRule="exact"/>
        <w:rPr>
          <w:rFonts w:ascii="Arial" w:cs="Arial" w:eastAsia="Arial" w:hAnsi="Arial"/>
          <w:sz w:val="18"/>
          <w:szCs w:val="18"/>
          <w:color w:val="auto"/>
        </w:rPr>
      </w:pPr>
    </w:p>
    <w:p>
      <w:pPr>
        <w:ind w:left="1480" w:right="160" w:firstLine="622"/>
        <w:spacing w:after="0" w:line="263" w:lineRule="auto"/>
        <w:tabs>
          <w:tab w:leader="none" w:pos="237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such payments and other actions set forth in clauses (i) through (iv) above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248" w:lineRule="exact"/>
        <w:rPr>
          <w:rFonts w:ascii="Arial" w:cs="Arial" w:eastAsia="Arial" w:hAnsi="Arial"/>
          <w:sz w:val="18"/>
          <w:szCs w:val="18"/>
          <w:color w:val="auto"/>
        </w:rPr>
      </w:pPr>
    </w:p>
    <w:p>
      <w:pPr>
        <w:ind w:left="2160" w:firstLine="608"/>
        <w:spacing w:after="0" w:line="263" w:lineRule="auto"/>
        <w:tabs>
          <w:tab w:leader="none" w:pos="355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 Significant Event of Default shall have occurred and be continuing or would occur as a consequence thereof;</w:t>
      </w:r>
    </w:p>
    <w:p>
      <w:pPr>
        <w:spacing w:after="0" w:line="185" w:lineRule="exact"/>
        <w:rPr>
          <w:rFonts w:ascii="Arial" w:cs="Arial" w:eastAsia="Arial" w:hAnsi="Arial"/>
          <w:sz w:val="18"/>
          <w:szCs w:val="18"/>
          <w:color w:val="auto"/>
        </w:rPr>
      </w:pPr>
    </w:p>
    <w:p>
      <w:pPr>
        <w:ind w:left="3360" w:hanging="593"/>
        <w:spacing w:after="0"/>
        <w:tabs>
          <w:tab w:leader="none" w:pos="33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31" w:lineRule="exact"/>
        <w:rPr>
          <w:rFonts w:ascii="Arial" w:cs="Arial" w:eastAsia="Arial" w:hAnsi="Arial"/>
          <w:sz w:val="18"/>
          <w:szCs w:val="18"/>
          <w:color w:val="auto"/>
        </w:rPr>
      </w:pPr>
    </w:p>
    <w:p>
      <w:pPr>
        <w:jc w:val="both"/>
        <w:ind w:left="2160" w:firstLine="608"/>
        <w:spacing w:after="0" w:line="252" w:lineRule="auto"/>
        <w:tabs>
          <w:tab w:leader="none" w:pos="3558" w:val="left"/>
        </w:tabs>
        <w:numPr>
          <w:ilvl w:val="1"/>
          <w:numId w:val="218"/>
        </w:numPr>
        <w:rPr>
          <w:rFonts w:ascii="Arial" w:cs="Arial" w:eastAsia="Arial" w:hAnsi="Arial"/>
          <w:sz w:val="17"/>
          <w:szCs w:val="17"/>
          <w:color w:val="auto"/>
        </w:rPr>
      </w:pPr>
      <w:r>
        <w:rPr>
          <w:rFonts w:ascii="Arial" w:cs="Arial" w:eastAsia="Arial" w:hAnsi="Arial"/>
          <w:sz w:val="17"/>
          <w:szCs w:val="17"/>
          <w:color w:val="auto"/>
        </w:rPr>
        <w:t xml:space="preserve">such Restricted Payment, together with the aggregate amount of all other Restricted Payments made by the Borrower and its Restricted Subsidiaries after the Closing Date (including Restricted Payments permitted by </w:t>
      </w:r>
      <w:r>
        <w:rPr>
          <w:rFonts w:ascii="Arial" w:cs="Arial" w:eastAsia="Arial" w:hAnsi="Arial"/>
          <w:sz w:val="17"/>
          <w:szCs w:val="17"/>
          <w:u w:val="single" w:color="auto"/>
          <w:color w:val="auto"/>
        </w:rPr>
        <w:t>Sections 9.2(b)(i)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(xx)(c)</w:t>
      </w:r>
      <w:r>
        <w:rPr>
          <w:rFonts w:ascii="Arial" w:cs="Arial" w:eastAsia="Arial" w:hAnsi="Arial"/>
          <w:sz w:val="17"/>
          <w:szCs w:val="17"/>
          <w:color w:val="auto"/>
        </w:rPr>
        <w:t xml:space="preserve">, but excluding all other Restricted Payments permitted by </w:t>
      </w:r>
      <w:r>
        <w:rPr>
          <w:rFonts w:ascii="Arial" w:cs="Arial" w:eastAsia="Arial" w:hAnsi="Arial"/>
          <w:sz w:val="17"/>
          <w:szCs w:val="17"/>
          <w:u w:val="single" w:color="auto"/>
          <w:color w:val="auto"/>
        </w:rPr>
        <w:t>Section</w:t>
      </w:r>
    </w:p>
    <w:p>
      <w:pPr>
        <w:spacing w:after="0" w:line="2"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8"/>
          <w:szCs w:val="18"/>
          <w:u w:val="single" w:color="auto"/>
          <w:color w:val="auto"/>
        </w:rPr>
        <w:t>9.2(b)</w:t>
      </w:r>
      <w:r>
        <w:rPr>
          <w:rFonts w:ascii="Arial" w:cs="Arial" w:eastAsia="Arial" w:hAnsi="Arial"/>
          <w:sz w:val="18"/>
          <w:szCs w:val="18"/>
          <w:color w:val="auto"/>
        </w:rPr>
        <w:t>), is less than the sum of (without duplication):</w:t>
      </w:r>
    </w:p>
    <w:p>
      <w:pPr>
        <w:spacing w:after="0" w:line="203" w:lineRule="exact"/>
        <w:rPr>
          <w:rFonts w:ascii="Arial" w:cs="Arial" w:eastAsia="Arial" w:hAnsi="Arial"/>
          <w:sz w:val="17"/>
          <w:szCs w:val="17"/>
          <w:color w:val="auto"/>
        </w:rPr>
      </w:pPr>
    </w:p>
    <w:p>
      <w:pPr>
        <w:jc w:val="both"/>
        <w:ind w:left="2760" w:firstLine="611"/>
        <w:spacing w:after="0" w:line="269" w:lineRule="auto"/>
        <w:tabs>
          <w:tab w:leader="none" w:pos="4153" w:val="left"/>
        </w:tabs>
        <w:numPr>
          <w:ilvl w:val="2"/>
          <w:numId w:val="218"/>
        </w:numPr>
        <w:rPr>
          <w:rFonts w:ascii="Arial" w:cs="Arial" w:eastAsia="Arial" w:hAnsi="Arial"/>
          <w:sz w:val="17"/>
          <w:szCs w:val="17"/>
          <w:color w:val="auto"/>
        </w:rPr>
      </w:pPr>
      <w:r>
        <w:rPr>
          <w:rFonts w:ascii="Arial" w:cs="Arial" w:eastAsia="Arial" w:hAnsi="Arial"/>
          <w:sz w:val="17"/>
          <w:szCs w:val="17"/>
          <w:color w:val="auto"/>
        </w:rPr>
        <w:t xml:space="preserve">50.0% of the Consolidated Net Income for the period (taken as one accounting period) beginning July 1, 2021 to the end of the Borrower’s most recently completed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cumulative amount under this </w:t>
      </w:r>
      <w:r>
        <w:rPr>
          <w:rFonts w:ascii="Arial" w:cs="Arial" w:eastAsia="Arial" w:hAnsi="Arial"/>
          <w:sz w:val="17"/>
          <w:szCs w:val="17"/>
          <w:u w:val="single" w:color="auto"/>
          <w:color w:val="auto"/>
        </w:rPr>
        <w:t>Section 9.2(a)(v)(C)(1)</w:t>
      </w:r>
      <w:r>
        <w:rPr>
          <w:rFonts w:ascii="Arial" w:cs="Arial" w:eastAsia="Arial" w:hAnsi="Arial"/>
          <w:sz w:val="17"/>
          <w:szCs w:val="17"/>
          <w:color w:val="auto"/>
        </w:rPr>
        <w:t xml:space="preserve"> shall not be less than zero; </w:t>
      </w:r>
      <w:r>
        <w:rPr>
          <w:rFonts w:ascii="Arial" w:cs="Arial" w:eastAsia="Arial" w:hAnsi="Arial"/>
          <w:sz w:val="17"/>
          <w:szCs w:val="17"/>
          <w:u w:val="single" w:color="auto"/>
          <w:color w:val="auto"/>
        </w:rPr>
        <w:t>plus</w:t>
      </w:r>
    </w:p>
    <w:p>
      <w:pPr>
        <w:spacing w:after="0" w:line="245" w:lineRule="exact"/>
        <w:rPr>
          <w:rFonts w:ascii="Arial" w:cs="Arial" w:eastAsia="Arial" w:hAnsi="Arial"/>
          <w:sz w:val="17"/>
          <w:szCs w:val="17"/>
          <w:color w:val="auto"/>
        </w:rPr>
      </w:pPr>
    </w:p>
    <w:p>
      <w:pPr>
        <w:jc w:val="both"/>
        <w:ind w:left="2760" w:firstLine="610"/>
        <w:spacing w:after="0" w:line="248" w:lineRule="auto"/>
        <w:tabs>
          <w:tab w:leader="none" w:pos="4153" w:val="left"/>
        </w:tabs>
        <w:numPr>
          <w:ilvl w:val="2"/>
          <w:numId w:val="218"/>
        </w:numPr>
        <w:rPr>
          <w:rFonts w:ascii="Arial" w:cs="Arial" w:eastAsia="Arial" w:hAnsi="Arial"/>
          <w:sz w:val="18"/>
          <w:szCs w:val="18"/>
          <w:color w:val="auto"/>
        </w:rPr>
      </w:pPr>
      <w:r>
        <w:rPr>
          <w:rFonts w:ascii="Arial" w:cs="Arial" w:eastAsia="Arial" w:hAnsi="Arial"/>
          <w:sz w:val="18"/>
          <w:szCs w:val="18"/>
          <w:color w:val="auto"/>
        </w:rPr>
        <w:t>100.0% of the aggregate Net Cash Proceeds and the fair market value of marketable securities or other property received by the Borrower since immediately after the Closing Date from the sale of:</w:t>
      </w:r>
    </w:p>
    <w:p>
      <w:pPr>
        <w:spacing w:after="0" w:line="198" w:lineRule="exact"/>
        <w:rPr>
          <w:sz w:val="20"/>
          <w:szCs w:val="20"/>
          <w:color w:val="auto"/>
        </w:rPr>
      </w:pPr>
    </w:p>
    <w:p>
      <w:pPr>
        <w:jc w:val="both"/>
        <w:ind w:left="3380" w:firstLine="3065"/>
        <w:spacing w:after="0" w:line="238" w:lineRule="auto"/>
        <w:rPr>
          <w:sz w:val="20"/>
          <w:szCs w:val="20"/>
          <w:color w:val="auto"/>
        </w:rPr>
      </w:pPr>
      <w:r>
        <w:rPr>
          <w:rFonts w:ascii="Arial" w:cs="Arial" w:eastAsia="Arial" w:hAnsi="Arial"/>
          <w:sz w:val="18"/>
          <w:szCs w:val="18"/>
          <w:color w:val="auto"/>
        </w:rPr>
        <w:t xml:space="preserve">(i) Qualified Equity Interests of the Borrower, including Treasury Capital Stock (as defined below), but excluding cash proceeds and the fair market value of marketable securities or other property received from the sale of Equity Interests to any future, present or former employees, directors or consultants of the Borrower, any direct or indirect parent company of the Borrower and the Borrower’s Subsidiaries after the Closing Date to the extent such amounts have been applied to Restricted Payments made in accordance with </w:t>
      </w:r>
      <w:r>
        <w:rPr>
          <w:rFonts w:ascii="Arial" w:cs="Arial" w:eastAsia="Arial" w:hAnsi="Arial"/>
          <w:sz w:val="18"/>
          <w:szCs w:val="18"/>
          <w:u w:val="single" w:color="auto"/>
          <w:color w:val="auto"/>
        </w:rPr>
        <w:t>Section 9.2(b)(iv)</w:t>
      </w:r>
      <w:r>
        <w:rPr>
          <w:rFonts w:ascii="Arial" w:cs="Arial" w:eastAsia="Arial" w:hAnsi="Arial"/>
          <w:sz w:val="18"/>
          <w:szCs w:val="18"/>
          <w:color w:val="auto"/>
        </w:rPr>
        <w:t>; or</w:t>
      </w:r>
    </w:p>
    <w:p>
      <w:pPr>
        <w:spacing w:after="0" w:line="268" w:lineRule="exact"/>
        <w:rPr>
          <w:sz w:val="20"/>
          <w:szCs w:val="20"/>
          <w:color w:val="auto"/>
        </w:rPr>
      </w:pPr>
    </w:p>
    <w:p>
      <w:pPr>
        <w:jc w:val="both"/>
        <w:ind w:left="3380" w:firstLine="3009"/>
        <w:spacing w:after="0" w:line="237" w:lineRule="auto"/>
        <w:rPr>
          <w:sz w:val="20"/>
          <w:szCs w:val="20"/>
          <w:color w:val="auto"/>
        </w:rPr>
      </w:pPr>
      <w:r>
        <w:rPr>
          <w:rFonts w:ascii="Arial" w:cs="Arial" w:eastAsia="Arial" w:hAnsi="Arial"/>
          <w:sz w:val="18"/>
          <w:szCs w:val="18"/>
          <w:color w:val="auto"/>
        </w:rPr>
        <w:t xml:space="preserve">(ii) Indebtedness or Disqualified Stock of the Borrower or a Restricted Subsidiary of the Borrower that has been converted into or exchanged for such Equity Interests of the Borrower or any other direct or indirect parent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(2) shall not include the proceeds (w) from Equity Interests or convertible debt securities of the Borrower sold to a Restricted Subsidiary, as the case may be, (x) from Disqualified Stock or Indebtedness that has been converted into Disqualified Stock, (y) from Excluded Contributions or (z) to the extent used to incur Indebtedness pursuant to </w:t>
      </w:r>
      <w:r>
        <w:rPr>
          <w:rFonts w:ascii="Arial" w:cs="Arial" w:eastAsia="Arial" w:hAnsi="Arial"/>
          <w:sz w:val="18"/>
          <w:szCs w:val="18"/>
          <w:u w:val="single" w:color="auto"/>
          <w:color w:val="auto"/>
        </w:rPr>
        <w:t>Section 9.4(b)</w:t>
      </w:r>
      <w:r>
        <w:rPr>
          <w:rFonts w:ascii="Arial" w:cs="Arial" w:eastAsia="Arial" w:hAnsi="Arial"/>
          <w:sz w:val="18"/>
          <w:szCs w:val="18"/>
          <w:color w:val="auto"/>
        </w:rPr>
        <w:t xml:space="preserve"> </w:t>
      </w:r>
      <w:r>
        <w:rPr>
          <w:rFonts w:ascii="Arial" w:cs="Arial" w:eastAsia="Arial" w:hAnsi="Arial"/>
          <w:sz w:val="18"/>
          <w:szCs w:val="18"/>
          <w:u w:val="single" w:color="auto"/>
          <w:color w:val="auto"/>
        </w:rPr>
        <w:t>(xxv)</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349885</wp:posOffset>
            </wp:positionV>
            <wp:extent cx="326390" cy="182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700"/>
          </w:cols>
          <w:pgMar w:left="360" w:top="1326" w:right="839" w:bottom="1440" w:gutter="0" w:footer="0" w:header="0"/>
        </w:sectPr>
      </w:pPr>
    </w:p>
    <w:bookmarkStart w:id="215" w:name="page216"/>
    <w:bookmarkEnd w:id="215"/>
    <w:p>
      <w:pPr>
        <w:jc w:val="both"/>
        <w:ind w:left="2760" w:right="20" w:firstLine="610"/>
        <w:spacing w:after="0" w:line="262" w:lineRule="auto"/>
        <w:tabs>
          <w:tab w:leader="none" w:pos="415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100.0% of the aggregate amount of cash and the fair market value of marketable securities or other property or assets contributed to the capital of the Borrower following the Closing Date (other than (i) by a Restricted Subsidiary, (ii) any Excluded Contribution, (iii) any Specified Equity Contribution and (iv) to the extent used to incur Indebtedness pursuant to </w:t>
      </w:r>
      <w:r>
        <w:rPr>
          <w:rFonts w:ascii="Arial" w:cs="Arial" w:eastAsia="Arial" w:hAnsi="Arial"/>
          <w:sz w:val="17"/>
          <w:szCs w:val="17"/>
          <w:u w:val="single" w:color="auto"/>
          <w:color w:val="auto"/>
        </w:rPr>
        <w:t>Section 9.4(b)(xxv)</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262" w:lineRule="exact"/>
        <w:rPr>
          <w:rFonts w:ascii="Arial" w:cs="Arial" w:eastAsia="Arial" w:hAnsi="Arial"/>
          <w:sz w:val="17"/>
          <w:szCs w:val="17"/>
          <w:color w:val="auto"/>
        </w:rPr>
      </w:pPr>
    </w:p>
    <w:p>
      <w:pPr>
        <w:ind w:left="2760" w:right="860" w:firstLine="610"/>
        <w:spacing w:after="0" w:line="263" w:lineRule="auto"/>
        <w:tabs>
          <w:tab w:leader="none" w:pos="415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100.0% of the aggregate amount received in cash and the fair market value of marketable securities or other property received by means of:</w:t>
      </w:r>
    </w:p>
    <w:p>
      <w:pPr>
        <w:spacing w:after="0" w:line="173" w:lineRule="exact"/>
        <w:rPr>
          <w:rFonts w:ascii="Arial" w:cs="Arial" w:eastAsia="Arial" w:hAnsi="Arial"/>
          <w:sz w:val="18"/>
          <w:szCs w:val="18"/>
          <w:color w:val="auto"/>
        </w:rPr>
      </w:pPr>
    </w:p>
    <w:p>
      <w:pPr>
        <w:jc w:val="both"/>
        <w:ind w:left="3380" w:right="20" w:firstLine="3069"/>
        <w:spacing w:after="0" w:line="274" w:lineRule="auto"/>
        <w:tabs>
          <w:tab w:leader="none" w:pos="718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sale or other disposition (other than to the Borrower or a Restricted Subsidiary) of, or other returns on Investments from, Restricted Investments made by the Borrower or its Restricted Subsidiaries and repurchases and redemptions of such Restricted Investments from the Borrower or its Restricted Subsidiaries and repayments of loans or advances, and releases of guarantees, which constitute Restricted Investments by the Borrower or its Restricted Subsidiaries, in each case after the Closing Date; or</w:t>
      </w:r>
    </w:p>
    <w:p>
      <w:pPr>
        <w:spacing w:after="0" w:line="181" w:lineRule="exact"/>
        <w:rPr>
          <w:rFonts w:ascii="Arial" w:cs="Arial" w:eastAsia="Arial" w:hAnsi="Arial"/>
          <w:sz w:val="16"/>
          <w:szCs w:val="16"/>
          <w:color w:val="auto"/>
        </w:rPr>
      </w:pPr>
    </w:p>
    <w:p>
      <w:pPr>
        <w:jc w:val="both"/>
        <w:ind w:left="3380" w:right="20" w:firstLine="3013"/>
        <w:spacing w:after="0" w:line="242" w:lineRule="auto"/>
        <w:tabs>
          <w:tab w:leader="none" w:pos="719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the sale (other than to the Borrower or a Restricted Subsidiary) of the stock of an Unrestricted Subsidiary (other than to the extent the Investment in such Unrestricted Subsidiary constituted a Permitted Investment) or a dividend or distribution from an Unrestricted Subsidiary after the Closing Date; </w:t>
      </w:r>
      <w:r>
        <w:rPr>
          <w:rFonts w:ascii="Arial" w:cs="Arial" w:eastAsia="Arial" w:hAnsi="Arial"/>
          <w:sz w:val="18"/>
          <w:szCs w:val="18"/>
          <w:u w:val="single" w:color="auto"/>
          <w:color w:val="auto"/>
        </w:rPr>
        <w:t>plus</w:t>
      </w:r>
    </w:p>
    <w:p>
      <w:pPr>
        <w:spacing w:after="0" w:line="268" w:lineRule="exact"/>
        <w:rPr>
          <w:rFonts w:ascii="Arial" w:cs="Arial" w:eastAsia="Arial" w:hAnsi="Arial"/>
          <w:sz w:val="18"/>
          <w:szCs w:val="18"/>
          <w:color w:val="auto"/>
        </w:rPr>
      </w:pPr>
    </w:p>
    <w:p>
      <w:pPr>
        <w:jc w:val="both"/>
        <w:ind w:left="2760" w:firstLine="610"/>
        <w:spacing w:after="0" w:line="238" w:lineRule="auto"/>
        <w:tabs>
          <w:tab w:leader="none" w:pos="415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in the case of the redesignation of an Unrestricted Subsidiary as a Restricted Subsidiary or a merger or consolidation or transfer of all or substantially all of the assets of an Unrestricted Subsidiary with or into the Borrower or one of its Restricted Subsidiaries after the Closing Date, the fair market value of the Investment in such Unrestricted Subsidiary (or the assets transferred) at the time of the redesignation of such Unrestricted Subsidiary as a Restricted Subsidiary, merger, consolidation or transfer, other than an Unrestricted Subsidiary to the extent the Investment in such Unrestricted Subsidiary constituted a Permitted Investment; </w:t>
      </w:r>
      <w:r>
        <w:rPr>
          <w:rFonts w:ascii="Arial" w:cs="Arial" w:eastAsia="Arial" w:hAnsi="Arial"/>
          <w:sz w:val="18"/>
          <w:szCs w:val="18"/>
          <w:u w:val="single" w:color="auto"/>
          <w:color w:val="auto"/>
        </w:rPr>
        <w:t>plus</w:t>
      </w:r>
    </w:p>
    <w:p>
      <w:pPr>
        <w:spacing w:after="0" w:line="281" w:lineRule="exact"/>
        <w:rPr>
          <w:rFonts w:ascii="Arial" w:cs="Arial" w:eastAsia="Arial" w:hAnsi="Arial"/>
          <w:sz w:val="18"/>
          <w:szCs w:val="18"/>
          <w:color w:val="auto"/>
        </w:rPr>
      </w:pPr>
    </w:p>
    <w:p>
      <w:pPr>
        <w:ind w:left="2760" w:right="460" w:firstLine="610"/>
        <w:spacing w:after="0" w:line="263" w:lineRule="auto"/>
        <w:tabs>
          <w:tab w:leader="none" w:pos="415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the greater of $40,000,000 and 35.0% of LTM CEBITDA (calculated at the time of determination), </w:t>
      </w:r>
      <w:r>
        <w:rPr>
          <w:rFonts w:ascii="Arial" w:cs="Arial" w:eastAsia="Arial" w:hAnsi="Arial"/>
          <w:sz w:val="18"/>
          <w:szCs w:val="18"/>
          <w:u w:val="single" w:color="auto"/>
          <w:color w:val="auto"/>
        </w:rPr>
        <w:t>minus</w:t>
      </w:r>
    </w:p>
    <w:p>
      <w:pPr>
        <w:spacing w:after="0" w:line="248" w:lineRule="exact"/>
        <w:rPr>
          <w:rFonts w:ascii="Arial" w:cs="Arial" w:eastAsia="Arial" w:hAnsi="Arial"/>
          <w:sz w:val="18"/>
          <w:szCs w:val="18"/>
          <w:color w:val="auto"/>
        </w:rPr>
      </w:pPr>
    </w:p>
    <w:p>
      <w:pPr>
        <w:ind w:left="2760" w:right="20" w:firstLine="611"/>
        <w:spacing w:after="0" w:line="293" w:lineRule="auto"/>
        <w:tabs>
          <w:tab w:leader="none" w:pos="4153"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(x) the aggregate amount of all Restricted Payments made in reliance on this clause (v) and (y) the aggregate principal amount of Indebtedness incurred pursuant to Section 9.4(b)(xxiv),</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Available Amount.</w:t>
      </w:r>
      <w:r>
        <w:rPr>
          <w:rFonts w:ascii="Arial" w:cs="Arial" w:eastAsia="Arial" w:hAnsi="Arial"/>
          <w:sz w:val="18"/>
          <w:szCs w:val="18"/>
          <w:color w:val="auto"/>
        </w:rPr>
        <w:t>”</w:t>
      </w:r>
    </w:p>
    <w:p>
      <w:pPr>
        <w:spacing w:after="0" w:line="295" w:lineRule="exact"/>
        <w:rPr>
          <w:sz w:val="20"/>
          <w:szCs w:val="20"/>
          <w:color w:val="auto"/>
        </w:rPr>
      </w:pPr>
    </w:p>
    <w:p>
      <w:pPr>
        <w:ind w:left="2160" w:hanging="595"/>
        <w:spacing w:after="0"/>
        <w:tabs>
          <w:tab w:leader="none" w:pos="2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foregoing provisions shall not prohibit:</w:t>
      </w:r>
    </w:p>
    <w:p>
      <w:pPr>
        <w:spacing w:after="0" w:line="231" w:lineRule="exact"/>
        <w:rPr>
          <w:rFonts w:ascii="Arial" w:cs="Arial" w:eastAsia="Arial" w:hAnsi="Arial"/>
          <w:sz w:val="18"/>
          <w:szCs w:val="18"/>
          <w:color w:val="auto"/>
        </w:rPr>
      </w:pPr>
    </w:p>
    <w:p>
      <w:pPr>
        <w:jc w:val="both"/>
        <w:ind w:left="1480" w:right="20" w:firstLine="664"/>
        <w:spacing w:after="0" w:line="248" w:lineRule="auto"/>
        <w:tabs>
          <w:tab w:leader="none" w:pos="237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redemption within sixty (60) days after the date of declaration thereof or the giving of the redemption notice, as applicable, if at the date of declaration or notice such payment would have complied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720"/>
          </w:cols>
          <w:pgMar w:left="360" w:top="1326" w:right="819" w:bottom="1440" w:gutter="0" w:footer="0" w:header="0"/>
        </w:sectPr>
      </w:pPr>
    </w:p>
    <w:bookmarkStart w:id="216" w:name="page217"/>
    <w:bookmarkEnd w:id="216"/>
    <w:p>
      <w:pPr>
        <w:jc w:val="both"/>
        <w:ind w:left="1480" w:right="20" w:firstLine="612"/>
        <w:spacing w:after="0" w:line="251" w:lineRule="auto"/>
        <w:tabs>
          <w:tab w:leader="none" w:pos="237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 the redemption, repurchase, retirement or other acquisition of any Equity Interests of the Borrower or any Equity Interests of any of its direct or indirect parent companies (“</w:t>
      </w:r>
      <w:r>
        <w:rPr>
          <w:rFonts w:ascii="Arial" w:cs="Arial" w:eastAsia="Arial" w:hAnsi="Arial"/>
          <w:sz w:val="17"/>
          <w:szCs w:val="17"/>
          <w:u w:val="single" w:color="auto"/>
          <w:color w:val="auto"/>
        </w:rPr>
        <w:t>Treasury Capital Stock</w:t>
      </w:r>
      <w:r>
        <w:rPr>
          <w:rFonts w:ascii="Arial" w:cs="Arial" w:eastAsia="Arial" w:hAnsi="Arial"/>
          <w:sz w:val="17"/>
          <w:szCs w:val="17"/>
          <w:color w:val="auto"/>
        </w:rPr>
        <w:t>”) or Junior Indebtedness of a Loan Party in exchange for, or out of the proceeds of a sale (other than to a Restricted Subsidiary) within sixty (60) days thereof of, Equity Interests of the Borrower or any direct or indirect parent of the Borrower to the extent contributed to the Borrower (in each case, other than any Disqualified Stock)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proceeds that are utilized for any such redemption, repurchase, retirement or other acquisition shall be excluded from clauses (2) and (3) of the preceding paragraph and shall not increase the amount available for Restricted Payments pursuant to </w:t>
      </w:r>
      <w:r>
        <w:rPr>
          <w:rFonts w:ascii="Arial" w:cs="Arial" w:eastAsia="Arial" w:hAnsi="Arial"/>
          <w:sz w:val="17"/>
          <w:szCs w:val="17"/>
          <w:u w:val="single" w:color="auto"/>
          <w:color w:val="auto"/>
        </w:rPr>
        <w:t>Section 9.2(b)(xii)</w:t>
      </w:r>
      <w:r>
        <w:rPr>
          <w:rFonts w:ascii="Arial" w:cs="Arial" w:eastAsia="Arial" w:hAnsi="Arial"/>
          <w:sz w:val="17"/>
          <w:szCs w:val="17"/>
          <w:color w:val="auto"/>
        </w:rPr>
        <w:t xml:space="preserve"> or the amount of Indebtedness permitted pursuant to </w:t>
      </w:r>
      <w:r>
        <w:rPr>
          <w:rFonts w:ascii="Arial" w:cs="Arial" w:eastAsia="Arial" w:hAnsi="Arial"/>
          <w:sz w:val="17"/>
          <w:szCs w:val="17"/>
          <w:u w:val="single" w:color="auto"/>
          <w:color w:val="auto"/>
        </w:rPr>
        <w:t>Section 9.4(b)(xxv)</w:t>
      </w:r>
      <w:r>
        <w:rPr>
          <w:rFonts w:ascii="Arial" w:cs="Arial" w:eastAsia="Arial" w:hAnsi="Arial"/>
          <w:sz w:val="17"/>
          <w:szCs w:val="17"/>
          <w:color w:val="auto"/>
        </w:rPr>
        <w:t xml:space="preserve"> and (B) the declaration and payment of dividends on Treasury Capital Stock out of the proceeds of the substantially concurrent sale or issuance (other than to a Restricted Subsidiary or to an employee stock ownership plan or any trust established by the Borrower or any of its Restricted Subsidiaries) of Refunding Capital Stock;</w:t>
      </w:r>
    </w:p>
    <w:p>
      <w:pPr>
        <w:spacing w:after="0" w:line="196" w:lineRule="exact"/>
        <w:rPr>
          <w:rFonts w:ascii="Arial" w:cs="Arial" w:eastAsia="Arial" w:hAnsi="Arial"/>
          <w:sz w:val="17"/>
          <w:szCs w:val="17"/>
          <w:color w:val="auto"/>
        </w:rPr>
      </w:pPr>
    </w:p>
    <w:p>
      <w:pPr>
        <w:jc w:val="both"/>
        <w:ind w:left="1480" w:right="20" w:firstLine="561"/>
        <w:spacing w:after="0"/>
        <w:tabs>
          <w:tab w:leader="none" w:pos="23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redemption, repurchase, retirement, defeasance or other acquisition of (A) Junior Indebtedness of a Loan Party made in exchange for, or out of the proceeds of, a sale within sixty (60) days thereof of, new Indebtedness of a Loan Party or Disqualified Stock of a Loan Party, or (B) Disqualified Stock of a Loan Party made in exchange for, or out of the proceeds of a sale within sixty (60) days thereof of Disqualified Stock of a Loan Party, in each case, which is incurred in compliance with </w:t>
      </w:r>
      <w:r>
        <w:rPr>
          <w:rFonts w:ascii="Arial" w:cs="Arial" w:eastAsia="Arial" w:hAnsi="Arial"/>
          <w:sz w:val="18"/>
          <w:szCs w:val="18"/>
          <w:u w:val="single" w:color="auto"/>
          <w:color w:val="auto"/>
        </w:rPr>
        <w:t>Section 9.4</w:t>
      </w:r>
      <w:r>
        <w:rPr>
          <w:rFonts w:ascii="Arial" w:cs="Arial" w:eastAsia="Arial" w:hAnsi="Arial"/>
          <w:sz w:val="18"/>
          <w:szCs w:val="18"/>
          <w:color w:val="auto"/>
        </w:rPr>
        <w:t>, so long as:</w:t>
      </w:r>
    </w:p>
    <w:p>
      <w:pPr>
        <w:spacing w:after="0" w:line="269" w:lineRule="exact"/>
        <w:rPr>
          <w:rFonts w:ascii="Arial" w:cs="Arial" w:eastAsia="Arial" w:hAnsi="Arial"/>
          <w:sz w:val="18"/>
          <w:szCs w:val="18"/>
          <w:color w:val="auto"/>
        </w:rPr>
      </w:pPr>
    </w:p>
    <w:p>
      <w:pPr>
        <w:jc w:val="both"/>
        <w:ind w:left="2160" w:firstLine="608"/>
        <w:spacing w:after="0" w:line="238" w:lineRule="auto"/>
        <w:tabs>
          <w:tab w:leader="none" w:pos="3556" w:val="left"/>
        </w:tabs>
        <w:numPr>
          <w:ilvl w:val="2"/>
          <w:numId w:val="22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new Indebtedness or the liquidation preference of such new Disqualified Stock does not exceed the principal amount of (or accreted value, if applicable), plus any accrued and unpaid interest on, the Junior Indebtedness or the liquidation preference of, plus any accrued and unpaid dividends on, the Disqualified Stock being so redeemed, repurchased, acquired or retired for value, plus the amount of any reasonable premium paid (including reasonable tender premiums) and any reasonable fees and expenses incurred in connection with the issuance of such new Indebtedness or Disqualified Stock;</w:t>
      </w:r>
    </w:p>
    <w:p>
      <w:pPr>
        <w:spacing w:after="0" w:line="193" w:lineRule="exact"/>
        <w:rPr>
          <w:rFonts w:ascii="Arial" w:cs="Arial" w:eastAsia="Arial" w:hAnsi="Arial"/>
          <w:sz w:val="18"/>
          <w:szCs w:val="18"/>
          <w:color w:val="auto"/>
        </w:rPr>
      </w:pPr>
    </w:p>
    <w:p>
      <w:pPr>
        <w:jc w:val="both"/>
        <w:ind w:left="2160" w:right="20" w:firstLine="608"/>
        <w:spacing w:after="0" w:line="248" w:lineRule="auto"/>
        <w:tabs>
          <w:tab w:leader="none" w:pos="3558" w:val="left"/>
        </w:tabs>
        <w:numPr>
          <w:ilvl w:val="2"/>
          <w:numId w:val="221"/>
        </w:numPr>
        <w:rPr>
          <w:rFonts w:ascii="Arial" w:cs="Arial" w:eastAsia="Arial" w:hAnsi="Arial"/>
          <w:sz w:val="18"/>
          <w:szCs w:val="18"/>
          <w:color w:val="auto"/>
        </w:rPr>
      </w:pPr>
      <w:r>
        <w:rPr>
          <w:rFonts w:ascii="Arial" w:cs="Arial" w:eastAsia="Arial" w:hAnsi="Arial"/>
          <w:sz w:val="18"/>
          <w:szCs w:val="18"/>
          <w:color w:val="auto"/>
        </w:rPr>
        <w:t>such new Indebtedness is subordinated to Loans or the applicable Guarantee at least substantially to the same extent as such Junior Indebtedness so purchased, exchanged, redeemed, repurchased, acquired or retired for value;</w:t>
      </w:r>
    </w:p>
    <w:p>
      <w:pPr>
        <w:spacing w:after="0" w:line="198" w:lineRule="exact"/>
        <w:rPr>
          <w:rFonts w:ascii="Arial" w:cs="Arial" w:eastAsia="Arial" w:hAnsi="Arial"/>
          <w:sz w:val="18"/>
          <w:szCs w:val="18"/>
          <w:color w:val="auto"/>
        </w:rPr>
      </w:pPr>
    </w:p>
    <w:p>
      <w:pPr>
        <w:jc w:val="both"/>
        <w:ind w:left="2160" w:right="20" w:firstLine="608"/>
        <w:spacing w:after="0" w:line="269" w:lineRule="auto"/>
        <w:tabs>
          <w:tab w:leader="none" w:pos="3558" w:val="left"/>
        </w:tabs>
        <w:numPr>
          <w:ilvl w:val="2"/>
          <w:numId w:val="221"/>
        </w:numPr>
        <w:rPr>
          <w:rFonts w:ascii="Arial" w:cs="Arial" w:eastAsia="Arial" w:hAnsi="Arial"/>
          <w:sz w:val="17"/>
          <w:szCs w:val="17"/>
          <w:color w:val="auto"/>
        </w:rPr>
      </w:pPr>
      <w:r>
        <w:rPr>
          <w:rFonts w:ascii="Arial" w:cs="Arial" w:eastAsia="Arial" w:hAnsi="Arial"/>
          <w:sz w:val="17"/>
          <w:szCs w:val="17"/>
          <w:color w:val="auto"/>
        </w:rPr>
        <w:t>such new Indebtedness or Disqualified Stock has a final scheduled maturity date equal to or later than the earlier of (i) the final scheduled maturity date of the Junior Indebtedness being so redeemed, repurchased, acquired or retired or (ii) the date that is 91 days after the Latest Maturity Date of the Loans;</w:t>
      </w:r>
    </w:p>
    <w:p>
      <w:pPr>
        <w:spacing w:after="0" w:line="182" w:lineRule="exact"/>
        <w:rPr>
          <w:rFonts w:ascii="Arial" w:cs="Arial" w:eastAsia="Arial" w:hAnsi="Arial"/>
          <w:sz w:val="17"/>
          <w:szCs w:val="17"/>
          <w:color w:val="auto"/>
        </w:rPr>
      </w:pPr>
    </w:p>
    <w:p>
      <w:pPr>
        <w:jc w:val="both"/>
        <w:ind w:left="2160" w:right="20" w:firstLine="608"/>
        <w:spacing w:after="0" w:line="248" w:lineRule="auto"/>
        <w:tabs>
          <w:tab w:leader="none" w:pos="3556" w:val="left"/>
        </w:tabs>
        <w:numPr>
          <w:ilvl w:val="2"/>
          <w:numId w:val="221"/>
        </w:numPr>
        <w:rPr>
          <w:rFonts w:ascii="Arial" w:cs="Arial" w:eastAsia="Arial" w:hAnsi="Arial"/>
          <w:sz w:val="18"/>
          <w:szCs w:val="18"/>
          <w:color w:val="auto"/>
        </w:rPr>
      </w:pPr>
      <w:r>
        <w:rPr>
          <w:rFonts w:ascii="Arial" w:cs="Arial" w:eastAsia="Arial" w:hAnsi="Arial"/>
          <w:sz w:val="18"/>
          <w:szCs w:val="18"/>
          <w:color w:val="auto"/>
        </w:rPr>
        <w:t>such new Indebtedness or Disqualified Stock has a Weighted Average Life to Maturity equal to or greater than the remaining Weighted Average Life to Maturity of the Junior Indebtedness being so redeemed, repurchased, acquired or retired; and</w:t>
      </w:r>
    </w:p>
    <w:p>
      <w:pPr>
        <w:spacing w:after="0" w:line="185" w:lineRule="exact"/>
        <w:rPr>
          <w:rFonts w:ascii="Arial" w:cs="Arial" w:eastAsia="Arial" w:hAnsi="Arial"/>
          <w:sz w:val="18"/>
          <w:szCs w:val="18"/>
          <w:color w:val="auto"/>
        </w:rPr>
      </w:pPr>
    </w:p>
    <w:p>
      <w:pPr>
        <w:jc w:val="both"/>
        <w:ind w:left="2160" w:right="20" w:firstLine="608"/>
        <w:spacing w:after="0" w:line="272" w:lineRule="auto"/>
        <w:tabs>
          <w:tab w:leader="none" w:pos="3561" w:val="left"/>
        </w:tabs>
        <w:numPr>
          <w:ilvl w:val="2"/>
          <w:numId w:val="221"/>
        </w:numPr>
        <w:rPr>
          <w:rFonts w:ascii="Arial" w:cs="Arial" w:eastAsia="Arial" w:hAnsi="Arial"/>
          <w:sz w:val="16"/>
          <w:szCs w:val="16"/>
          <w:color w:val="auto"/>
        </w:rPr>
      </w:pPr>
      <w:r>
        <w:rPr>
          <w:rFonts w:ascii="Arial" w:cs="Arial" w:eastAsia="Arial" w:hAnsi="Arial"/>
          <w:sz w:val="16"/>
          <w:szCs w:val="16"/>
          <w:color w:val="auto"/>
        </w:rPr>
        <w:t>the terms and conditions of such Indebtedness (excluding pricing, fees, rate floors and optional prepayment or redemption terms) are either (i) not materially less favorable (taken as a whole) to the Borrower than</w:t>
      </w:r>
    </w:p>
    <w:p>
      <w:pPr>
        <w:jc w:val="both"/>
        <w:ind w:left="2160" w:right="20" w:firstLine="6"/>
        <w:spacing w:after="0" w:line="239" w:lineRule="auto"/>
        <w:tabs>
          <w:tab w:leader="none" w:pos="247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terms and conditions of this Agreement (taken as a whole) or (y) the terms and conditions of the Indebtedness being refinanced (taken as a whole) or (ii) customary for the issuance of high yield debt securities (it being agreed that such Indebtedness may be in the form of notes or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720"/>
          </w:cols>
          <w:pgMar w:left="360" w:top="1326" w:right="819" w:bottom="1440" w:gutter="0" w:footer="0" w:header="0"/>
        </w:sectPr>
      </w:pPr>
    </w:p>
    <w:bookmarkStart w:id="217" w:name="page218"/>
    <w:bookmarkEnd w:id="217"/>
    <w:p>
      <w:pPr>
        <w:jc w:val="both"/>
        <w:ind w:left="1480" w:firstLine="571"/>
        <w:spacing w:after="0" w:line="253" w:lineRule="auto"/>
        <w:tabs>
          <w:tab w:leader="none" w:pos="237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a Restricted Payment to pay for the repurchase, retirement or other acquisition of Equity Interests of the Borrower (or any of its direct or indirect parent companies) held by any future, present or former employee, officer, director, manager or consultant of the Borrower, any of its Subsidiaries or any of its direct or indirect parent companies (or any of their Affiliates) or their estates or the beneficiaries of their respective estates, heirs, spouses or former spouses;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Restricted Payments made in any fiscal year under this clause (b)(iv) do not exceed the greater of $55,000,000 and 47.5% of LTM CEBITDA (calculated at the time of determination);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(x) unused amounts in any fiscal year may be carried over and used in subsequent fiscal years and (y) such amount may be increased by an amount not to exceed the sum of the following items:</w:t>
      </w:r>
    </w:p>
    <w:p>
      <w:pPr>
        <w:spacing w:after="0" w:line="194" w:lineRule="exact"/>
        <w:rPr>
          <w:rFonts w:ascii="Arial" w:cs="Arial" w:eastAsia="Arial" w:hAnsi="Arial"/>
          <w:sz w:val="17"/>
          <w:szCs w:val="17"/>
          <w:color w:val="auto"/>
        </w:rPr>
      </w:pPr>
    </w:p>
    <w:p>
      <w:pPr>
        <w:jc w:val="both"/>
        <w:ind w:left="2160" w:right="20" w:firstLine="608"/>
        <w:spacing w:after="0" w:line="249" w:lineRule="auto"/>
        <w:tabs>
          <w:tab w:leader="none" w:pos="3556" w:val="left"/>
        </w:tabs>
        <w:numPr>
          <w:ilvl w:val="2"/>
          <w:numId w:val="222"/>
        </w:numPr>
        <w:rPr>
          <w:rFonts w:ascii="Arial" w:cs="Arial" w:eastAsia="Arial" w:hAnsi="Arial"/>
          <w:sz w:val="17"/>
          <w:szCs w:val="17"/>
          <w:color w:val="auto"/>
        </w:rPr>
      </w:pPr>
      <w:r>
        <w:rPr>
          <w:rFonts w:ascii="Arial" w:cs="Arial" w:eastAsia="Arial" w:hAnsi="Arial"/>
          <w:sz w:val="17"/>
          <w:szCs w:val="17"/>
          <w:color w:val="auto"/>
        </w:rPr>
        <w:t xml:space="preserve">the cash proceeds from the sale of Equity Interests (other than Disqualified Stock or Specified Equity Contributions) of the Borrower or, to the extent contributed to the Borrower, any of its direct or indirect parent companies to any future, present or former employees, officers, directors, managers or consultants of the Borrower, any of its direct or indirect parent companies or any of its Subsidiaries that occurs after the Closing Date, to the extent the cash proceeds from the sale of such Equity Interests have not otherwise been applied to the payment of Restricted Payments by virtue of </w:t>
      </w:r>
      <w:r>
        <w:rPr>
          <w:rFonts w:ascii="Arial" w:cs="Arial" w:eastAsia="Arial" w:hAnsi="Arial"/>
          <w:sz w:val="17"/>
          <w:szCs w:val="17"/>
          <w:u w:val="single" w:color="auto"/>
          <w:color w:val="auto"/>
        </w:rPr>
        <w:t>Section 9.2(a)(v)</w:t>
      </w:r>
      <w:r>
        <w:rPr>
          <w:rFonts w:ascii="Arial" w:cs="Arial" w:eastAsia="Arial" w:hAnsi="Arial"/>
          <w:sz w:val="17"/>
          <w:szCs w:val="17"/>
          <w:color w:val="auto"/>
        </w:rPr>
        <w:t xml:space="preserve"> or clause</w:t>
      </w:r>
    </w:p>
    <w:p>
      <w:pPr>
        <w:spacing w:after="0" w:line="2" w:lineRule="exact"/>
        <w:rPr>
          <w:rFonts w:ascii="Arial" w:cs="Arial" w:eastAsia="Arial" w:hAnsi="Arial"/>
          <w:sz w:val="17"/>
          <w:szCs w:val="17"/>
          <w:color w:val="auto"/>
        </w:rPr>
      </w:pPr>
    </w:p>
    <w:p>
      <w:pPr>
        <w:ind w:left="2160" w:right="20" w:firstLine="7"/>
        <w:spacing w:after="0" w:line="245" w:lineRule="auto"/>
        <w:tabs>
          <w:tab w:leader="none" w:pos="238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of the definition of “Permitted Investments” and have not been designated as Excluded Contributions or used to incur Indebtedness pursuant to </w:t>
      </w:r>
      <w:r>
        <w:rPr>
          <w:rFonts w:ascii="Arial" w:cs="Arial" w:eastAsia="Arial" w:hAnsi="Arial"/>
          <w:sz w:val="18"/>
          <w:szCs w:val="18"/>
          <w:u w:val="single" w:color="auto"/>
          <w:color w:val="auto"/>
        </w:rPr>
        <w:t>Section 9.4(b)(xxv)</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63" w:lineRule="exact"/>
        <w:rPr>
          <w:rFonts w:ascii="Arial" w:cs="Arial" w:eastAsia="Arial" w:hAnsi="Arial"/>
          <w:sz w:val="18"/>
          <w:szCs w:val="18"/>
          <w:color w:val="auto"/>
        </w:rPr>
      </w:pPr>
    </w:p>
    <w:p>
      <w:pPr>
        <w:jc w:val="both"/>
        <w:ind w:left="2160" w:right="20" w:firstLine="608"/>
        <w:spacing w:after="0" w:line="248" w:lineRule="auto"/>
        <w:tabs>
          <w:tab w:leader="none" w:pos="3558" w:val="left"/>
        </w:tabs>
        <w:numPr>
          <w:ilvl w:val="2"/>
          <w:numId w:val="223"/>
        </w:numPr>
        <w:rPr>
          <w:rFonts w:ascii="Arial" w:cs="Arial" w:eastAsia="Arial" w:hAnsi="Arial"/>
          <w:sz w:val="18"/>
          <w:szCs w:val="18"/>
          <w:color w:val="auto"/>
        </w:rPr>
      </w:pPr>
      <w:r>
        <w:rPr>
          <w:rFonts w:ascii="Arial" w:cs="Arial" w:eastAsia="Arial" w:hAnsi="Arial"/>
          <w:sz w:val="18"/>
          <w:szCs w:val="18"/>
          <w:color w:val="auto"/>
        </w:rPr>
        <w:t xml:space="preserve">the cash proceeds of key man life insurance policies received by the Borrower, any of its direct or indirect parent companies (to the extent contributed to the Borrower) or its Restricted Subsidiaries after the Closing Date; </w:t>
      </w:r>
      <w:r>
        <w:rPr>
          <w:rFonts w:ascii="Arial" w:cs="Arial" w:eastAsia="Arial" w:hAnsi="Arial"/>
          <w:sz w:val="18"/>
          <w:szCs w:val="18"/>
          <w:u w:val="single" w:color="auto"/>
          <w:color w:val="auto"/>
        </w:rPr>
        <w:t>less</w:t>
      </w:r>
    </w:p>
    <w:p>
      <w:pPr>
        <w:spacing w:after="0" w:line="261" w:lineRule="exact"/>
        <w:rPr>
          <w:rFonts w:ascii="Arial" w:cs="Arial" w:eastAsia="Arial" w:hAnsi="Arial"/>
          <w:sz w:val="18"/>
          <w:szCs w:val="18"/>
          <w:color w:val="auto"/>
        </w:rPr>
      </w:pPr>
    </w:p>
    <w:p>
      <w:pPr>
        <w:ind w:left="3360" w:hanging="592"/>
        <w:spacing w:after="0"/>
        <w:tabs>
          <w:tab w:leader="none" w:pos="336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 xml:space="preserve">the amount of prior Restricted Payments made pursuant to </w:t>
      </w:r>
      <w:r>
        <w:rPr>
          <w:rFonts w:ascii="Arial" w:cs="Arial" w:eastAsia="Arial" w:hAnsi="Arial"/>
          <w:sz w:val="18"/>
          <w:szCs w:val="18"/>
          <w:u w:val="single" w:color="auto"/>
          <w:color w:val="auto"/>
        </w:rPr>
        <w:t>clause (A) and</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(b)(iv);</w:t>
      </w:r>
    </w:p>
    <w:p>
      <w:pPr>
        <w:spacing w:after="0" w:line="291" w:lineRule="exact"/>
        <w:rPr>
          <w:sz w:val="20"/>
          <w:szCs w:val="20"/>
          <w:color w:val="auto"/>
        </w:rPr>
      </w:pPr>
    </w:p>
    <w:p>
      <w:pPr>
        <w:jc w:val="both"/>
        <w:ind w:left="1560" w:right="20"/>
        <w:spacing w:after="0" w:line="23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cancellation of Indebtedness owing to the Borrower or any Restricted Subsidiary from any future, present or former employees, officers, directors, managers or consultants and employees of the Borrower or any of its direct or indirect parent companies or any Restricted Subsidiary (or any of their Affiliates), or their estates or the beneficiaries of such estates, in connection with a repurchase of Equity Interests of the Borrower or any of its direct or indirect parent companies from such Persons will not be deemed to constitute a Restricted Payment for purposes of this covenant or any other provision of this Agreement;</w:t>
      </w:r>
    </w:p>
    <w:p>
      <w:pPr>
        <w:spacing w:after="0" w:line="205" w:lineRule="exact"/>
        <w:rPr>
          <w:sz w:val="20"/>
          <w:szCs w:val="20"/>
          <w:color w:val="auto"/>
        </w:rPr>
      </w:pPr>
    </w:p>
    <w:p>
      <w:pPr>
        <w:jc w:val="both"/>
        <w:ind w:left="1480" w:right="20" w:firstLine="623"/>
        <w:spacing w:after="0" w:line="242" w:lineRule="auto"/>
        <w:tabs>
          <w:tab w:leader="none" w:pos="23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declaration and payment of dividends to holders of any class or series of Disqualified Stock of the Borrower or any of its Restricted Subsidiaries or any class or series of Preferred Stock of any Restricted Subsidiary, in each case, issued in accordance with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to the extent such dividends are included in the definition of “Consolidated Interest Expense”;</w:t>
      </w:r>
    </w:p>
    <w:p>
      <w:pPr>
        <w:spacing w:after="0" w:line="193" w:lineRule="exact"/>
        <w:rPr>
          <w:rFonts w:ascii="Arial" w:cs="Arial" w:eastAsia="Arial" w:hAnsi="Arial"/>
          <w:sz w:val="18"/>
          <w:szCs w:val="18"/>
          <w:color w:val="auto"/>
        </w:rPr>
      </w:pPr>
    </w:p>
    <w:p>
      <w:pPr>
        <w:jc w:val="both"/>
        <w:ind w:left="1480" w:right="20" w:firstLine="571"/>
        <w:spacing w:after="0"/>
        <w:tabs>
          <w:tab w:leader="none" w:pos="23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repurchases of Equity Interests deemed to occur upon exercise or vesting of stock options, warrants or similar rights, settlement of restricted stock units or vesting of restricted Capital Stock if such Equity Interests (A) represent all or a portion of the exercise price of such options or warrants or (B) are surrendered in connection with satisfying any federal, state or local income tax obligation (including any withholding in respect thereof) incurred in connection with such exercise, vesting or settlement;</w:t>
      </w:r>
    </w:p>
    <w:p>
      <w:pPr>
        <w:spacing w:after="0" w:line="206" w:lineRule="exact"/>
        <w:rPr>
          <w:rFonts w:ascii="Arial" w:cs="Arial" w:eastAsia="Arial" w:hAnsi="Arial"/>
          <w:sz w:val="18"/>
          <w:szCs w:val="18"/>
          <w:color w:val="auto"/>
        </w:rPr>
      </w:pPr>
    </w:p>
    <w:p>
      <w:pPr>
        <w:jc w:val="both"/>
        <w:ind w:left="1480" w:right="20" w:firstLine="519"/>
        <w:spacing w:after="0" w:line="248" w:lineRule="auto"/>
        <w:tabs>
          <w:tab w:leader="none" w:pos="23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repurchase, redemption or other acquisition for value of Equity Interests of the Borrower or any direct or indirect parent of the Borrower representing fractional shares of such Equity Interests in connection with a stock dividend, split or combination or any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720"/>
          </w:cols>
          <w:pgMar w:left="360" w:top="1326" w:right="819" w:bottom="1440" w:gutter="0" w:footer="0" w:header="0"/>
        </w:sectPr>
      </w:pPr>
    </w:p>
    <w:bookmarkStart w:id="218" w:name="page219"/>
    <w:bookmarkEnd w:id="218"/>
    <w:p>
      <w:pPr>
        <w:ind w:left="1480"/>
        <w:spacing w:after="0"/>
        <w:rPr>
          <w:sz w:val="20"/>
          <w:szCs w:val="20"/>
          <w:color w:val="auto"/>
        </w:rPr>
      </w:pPr>
      <w:r>
        <w:rPr>
          <w:rFonts w:ascii="Arial" w:cs="Arial" w:eastAsia="Arial" w:hAnsi="Arial"/>
          <w:sz w:val="17"/>
          <w:szCs w:val="17"/>
          <w:color w:val="auto"/>
        </w:rPr>
        <w:t>consolidation, amalgamation or other combination involving the Borrower or any direct or indirect parent of the Borrower;</w:t>
      </w:r>
    </w:p>
    <w:p>
      <w:pPr>
        <w:spacing w:after="0" w:line="243" w:lineRule="exact"/>
        <w:rPr>
          <w:sz w:val="20"/>
          <w:szCs w:val="20"/>
          <w:color w:val="auto"/>
        </w:rPr>
      </w:pPr>
    </w:p>
    <w:p>
      <w:pPr>
        <w:jc w:val="both"/>
        <w:ind w:left="1480" w:right="20" w:firstLine="468"/>
        <w:spacing w:after="0" w:line="262" w:lineRule="auto"/>
        <w:tabs>
          <w:tab w:leader="none" w:pos="237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the redemption, repurchase, retirement or other acquisition, in each case for nominal value per right, of any rights granted to all holders of Equity Interests of the Borrower pursuant to any stockholders’ rights plan adopted for the purpose of protecting stockholders from unfair takeover tactics;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redemption, repurchase, retirement or other acquisition of such rights shall not be for the purpose of evading the limitations described under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ind w:left="1480" w:right="20" w:firstLine="571"/>
        <w:spacing w:after="0" w:line="293" w:lineRule="auto"/>
        <w:tabs>
          <w:tab w:leader="none" w:pos="237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payments or distributions to dissenting stockholders pursuant to applicable law in connection with a merger, consolidation or transfer of all or substantially all of the Borrower’s property or assets that complies with this Agreement;</w:t>
      </w:r>
    </w:p>
    <w:p>
      <w:pPr>
        <w:spacing w:after="0" w:line="149" w:lineRule="exact"/>
        <w:rPr>
          <w:rFonts w:ascii="Arial" w:cs="Arial" w:eastAsia="Arial" w:hAnsi="Arial"/>
          <w:sz w:val="17"/>
          <w:szCs w:val="17"/>
          <w:color w:val="auto"/>
        </w:rPr>
      </w:pPr>
    </w:p>
    <w:p>
      <w:pPr>
        <w:jc w:val="both"/>
        <w:ind w:left="1480" w:right="20" w:firstLine="622"/>
        <w:spacing w:after="0" w:line="239" w:lineRule="auto"/>
        <w:tabs>
          <w:tab w:leader="none" w:pos="23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declaration and payment of dividends on the Borrower’s common stock following the Qualified Public Offering (or the payment of dividends to any direct or indirect parent of the Borrower to fund a payment of dividends on such parent’s common stock) of up to the sum of 7.0%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of the market capitalization of the Borrower or its direct or indirect parent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6.0%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of the net proceeds received by or contributed to Borrower in or from the Qualified Public Offering on the Closing Date and subsequent Qualified Public Offerings, in each case, other than any public sale constituting an Excluded Contribution;</w:t>
      </w:r>
    </w:p>
    <w:p>
      <w:pPr>
        <w:spacing w:after="0" w:line="205" w:lineRule="exact"/>
        <w:rPr>
          <w:rFonts w:ascii="Arial" w:cs="Arial" w:eastAsia="Arial" w:hAnsi="Arial"/>
          <w:sz w:val="18"/>
          <w:szCs w:val="18"/>
          <w:color w:val="auto"/>
        </w:rPr>
      </w:pPr>
    </w:p>
    <w:p>
      <w:pPr>
        <w:jc w:val="both"/>
        <w:ind w:left="1480" w:firstLine="572"/>
        <w:spacing w:after="0" w:line="248" w:lineRule="auto"/>
        <w:tabs>
          <w:tab w:leader="none" w:pos="23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declaration and payment of dividends or distributions by the Borrower, or the making of loans to, its direct parent company or any indirect parent of the Borrower, in amounts sufficient for any direct or indirect parent company of the Borrower to pay:</w:t>
      </w:r>
    </w:p>
    <w:p>
      <w:pPr>
        <w:spacing w:after="0" w:line="198" w:lineRule="exact"/>
        <w:rPr>
          <w:rFonts w:ascii="Arial" w:cs="Arial" w:eastAsia="Arial" w:hAnsi="Arial"/>
          <w:sz w:val="18"/>
          <w:szCs w:val="18"/>
          <w:color w:val="auto"/>
        </w:rPr>
      </w:pPr>
    </w:p>
    <w:p>
      <w:pPr>
        <w:jc w:val="both"/>
        <w:ind w:left="2160" w:firstLine="608"/>
        <w:spacing w:after="0" w:line="254" w:lineRule="auto"/>
        <w:tabs>
          <w:tab w:leader="none" w:pos="3556"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U.S. federal, state, local or foreign income or similar Taxes imposed on such direct or indirect parent entity to enable it to pay income tax liabilities attributable to the income of the Borrower or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amount paid or distributed pursuant to this clause (A) to enable such direct or indirect parent to pay income Taxes at any time shall not exceed the income tax liability that would have been payable by the Borrower and its Subsidiaries, as applicable, on a stand-alone basis and (ii) dividends or other distributions in respect of an Unrestricted Subsidiary shall be permitted only to the extent payments were made by such Unrestricted Subsidiary to the Borrower or any Restricted Subsidiary for such purpose;</w:t>
      </w:r>
    </w:p>
    <w:p>
      <w:pPr>
        <w:spacing w:after="0" w:line="181" w:lineRule="exact"/>
        <w:rPr>
          <w:rFonts w:ascii="Arial" w:cs="Arial" w:eastAsia="Arial" w:hAnsi="Arial"/>
          <w:sz w:val="17"/>
          <w:szCs w:val="17"/>
          <w:color w:val="auto"/>
        </w:rPr>
      </w:pPr>
    </w:p>
    <w:p>
      <w:pPr>
        <w:jc w:val="both"/>
        <w:ind w:left="2160" w:right="20" w:firstLine="608"/>
        <w:spacing w:after="0" w:line="242" w:lineRule="auto"/>
        <w:tabs>
          <w:tab w:leader="none" w:pos="355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without duplication of clause (A) above, the Borrower may make Restricted Payments to any of its direct or indirect parents the proceeds of which shall be used to pay franchise and similar Taxes, and other fees and expenses, required to maintain the corporate existence of any direct or indirect parent of the Borrower, within thirty (30) days of the receipt thereof;</w:t>
      </w:r>
    </w:p>
    <w:p>
      <w:pPr>
        <w:spacing w:after="0" w:line="193" w:lineRule="exact"/>
        <w:rPr>
          <w:rFonts w:ascii="Arial" w:cs="Arial" w:eastAsia="Arial" w:hAnsi="Arial"/>
          <w:sz w:val="18"/>
          <w:szCs w:val="18"/>
          <w:color w:val="auto"/>
        </w:rPr>
      </w:pPr>
    </w:p>
    <w:p>
      <w:pPr>
        <w:jc w:val="both"/>
        <w:ind w:left="2160" w:right="20" w:firstLine="608"/>
        <w:spacing w:after="0" w:line="242" w:lineRule="auto"/>
        <w:tabs>
          <w:tab w:leader="none" w:pos="355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obligations in respect of withholding or similar Taxes payable by any future, present or former employee, director, manager or consultant (or any spouses, former spouses, successors, executors, administrators, heirs, legatees or distributes of any of the foregoing) relating to their acquisition of, or exercise of options relating to, Capital Stock of the Borrower;</w:t>
      </w:r>
    </w:p>
    <w:p>
      <w:pPr>
        <w:spacing w:after="0" w:line="205" w:lineRule="exact"/>
        <w:rPr>
          <w:rFonts w:ascii="Arial" w:cs="Arial" w:eastAsia="Arial" w:hAnsi="Arial"/>
          <w:sz w:val="18"/>
          <w:szCs w:val="18"/>
          <w:color w:val="auto"/>
        </w:rPr>
      </w:pPr>
    </w:p>
    <w:p>
      <w:pPr>
        <w:jc w:val="both"/>
        <w:ind w:left="2160" w:right="20" w:firstLine="608"/>
        <w:spacing w:after="0" w:line="248" w:lineRule="auto"/>
        <w:tabs>
          <w:tab w:leader="none" w:pos="355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customary salary, bonus, severance and other benefits payable to employees, officers, directors, managers or consultants of any direct or indirect parent company of the Borrower to the extent such salaries, bonuses, severances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720"/>
          </w:cols>
          <w:pgMar w:left="360" w:top="1326" w:right="819" w:bottom="1440" w:gutter="0" w:footer="0" w:header="0"/>
        </w:sectPr>
      </w:pPr>
    </w:p>
    <w:bookmarkStart w:id="219" w:name="page220"/>
    <w:bookmarkEnd w:id="219"/>
    <w:p>
      <w:pPr>
        <w:ind w:left="2160"/>
        <w:spacing w:after="0"/>
        <w:rPr>
          <w:sz w:val="20"/>
          <w:szCs w:val="20"/>
          <w:color w:val="auto"/>
        </w:rPr>
      </w:pPr>
      <w:r>
        <w:rPr>
          <w:rFonts w:ascii="Arial" w:cs="Arial" w:eastAsia="Arial" w:hAnsi="Arial"/>
          <w:sz w:val="17"/>
          <w:szCs w:val="17"/>
          <w:color w:val="auto"/>
        </w:rPr>
        <w:t>are attributable to the direct or indirect ownership or operation of the Borrower and the Restricted Subsidiaries;</w:t>
      </w:r>
    </w:p>
    <w:p>
      <w:pPr>
        <w:spacing w:after="0" w:line="243" w:lineRule="exact"/>
        <w:rPr>
          <w:sz w:val="20"/>
          <w:szCs w:val="20"/>
          <w:color w:val="auto"/>
        </w:rPr>
      </w:pPr>
    </w:p>
    <w:p>
      <w:pPr>
        <w:jc w:val="both"/>
        <w:ind w:left="2160" w:firstLine="608"/>
        <w:spacing w:after="0" w:line="239" w:lineRule="auto"/>
        <w:tabs>
          <w:tab w:leader="none" w:pos="356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general corporate operating overhead, legal, accounting, and other professional fees and expenses of any direct or indirect parent company of the Borrower (including indemnification claims made by directors or officers of any direct or indirect parent company of the Borrower) and, following the first Public Offering of any direct or indirect parent company of the Borrower, listing fees and other costs and expenses attributable to being a publicly traded company, to the extent such expenses are attributable to the direct or indirect ownership or operation of the Borrower and the Restricted Subsidiaries;</w:t>
      </w:r>
    </w:p>
    <w:p>
      <w:pPr>
        <w:spacing w:after="0" w:line="192" w:lineRule="exact"/>
        <w:rPr>
          <w:rFonts w:ascii="Arial" w:cs="Arial" w:eastAsia="Arial" w:hAnsi="Arial"/>
          <w:sz w:val="18"/>
          <w:szCs w:val="18"/>
          <w:color w:val="auto"/>
        </w:rPr>
      </w:pPr>
    </w:p>
    <w:p>
      <w:pPr>
        <w:jc w:val="both"/>
        <w:ind w:left="2160" w:right="20" w:firstLine="608"/>
        <w:spacing w:after="0" w:line="242" w:lineRule="auto"/>
        <w:tabs>
          <w:tab w:leader="none" w:pos="356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reasonable fees and expenses incurred by such direct or indirect parent company of the Borrower in connection with any debt or equity offering by such parent company, the Borrower or a Restricted Subsidiary of the Borrower or any acquisition, disposition or other non-ordinary course transaction by the Borrower or a Restricted Subsidiary in each case, whether or not successful;</w:t>
      </w:r>
    </w:p>
    <w:p>
      <w:pPr>
        <w:spacing w:after="0" w:line="205" w:lineRule="exact"/>
        <w:rPr>
          <w:rFonts w:ascii="Arial" w:cs="Arial" w:eastAsia="Arial" w:hAnsi="Arial"/>
          <w:sz w:val="18"/>
          <w:szCs w:val="18"/>
          <w:color w:val="auto"/>
        </w:rPr>
      </w:pPr>
    </w:p>
    <w:p>
      <w:pPr>
        <w:jc w:val="both"/>
        <w:ind w:left="2160" w:right="20" w:firstLine="608"/>
        <w:spacing w:after="0" w:line="248" w:lineRule="auto"/>
        <w:tabs>
          <w:tab w:leader="none" w:pos="355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cash payments in lieu of issuing fractional shares in connection with the exercise of warrants, options or other securities convertible into or exchangeable for Equity Interests of any direct or indirect parent company of the Borrower;</w:t>
      </w:r>
    </w:p>
    <w:p>
      <w:pPr>
        <w:spacing w:after="0" w:line="198" w:lineRule="exact"/>
        <w:rPr>
          <w:rFonts w:ascii="Arial" w:cs="Arial" w:eastAsia="Arial" w:hAnsi="Arial"/>
          <w:sz w:val="18"/>
          <w:szCs w:val="18"/>
          <w:color w:val="auto"/>
        </w:rPr>
      </w:pPr>
    </w:p>
    <w:p>
      <w:pPr>
        <w:jc w:val="both"/>
        <w:ind w:left="2160" w:firstLine="608"/>
        <w:spacing w:after="0"/>
        <w:tabs>
          <w:tab w:leader="none" w:pos="355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interest or principal on Indebtedness the proceeds of which have been contributed to the Borrower or any of its Restricted Subsidiaries and that has been guaranteed by, or is otherwise considered Indebtedness of, the Borrower or any of its Restricted Subsidiaries incurred in accordance with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shall be deemed to be Consolidated Total Debt for all purposes under this Agreement; and</w:t>
      </w:r>
    </w:p>
    <w:p>
      <w:pPr>
        <w:spacing w:after="0" w:line="194" w:lineRule="exact"/>
        <w:rPr>
          <w:sz w:val="20"/>
          <w:szCs w:val="20"/>
          <w:color w:val="auto"/>
        </w:rPr>
      </w:pPr>
    </w:p>
    <w:p>
      <w:pPr>
        <w:ind w:left="2160" w:right="20" w:firstLine="602"/>
        <w:spacing w:after="0" w:line="241" w:lineRule="auto"/>
        <w:rPr>
          <w:sz w:val="20"/>
          <w:szCs w:val="20"/>
          <w:color w:val="auto"/>
        </w:rPr>
      </w:pPr>
      <w:r>
        <w:rPr>
          <w:rFonts w:ascii="Arial" w:cs="Arial" w:eastAsia="Arial" w:hAnsi="Arial"/>
          <w:sz w:val="18"/>
          <w:szCs w:val="18"/>
          <w:color w:val="auto"/>
        </w:rPr>
        <w:t xml:space="preserve">(I)amounts which are applied to finance Investments that would otherwise be permitted to be made pursuant to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if made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 w:lineRule="exact"/>
        <w:rPr>
          <w:sz w:val="20"/>
          <w:szCs w:val="20"/>
          <w:color w:val="auto"/>
        </w:rPr>
      </w:pPr>
    </w:p>
    <w:p>
      <w:pPr>
        <w:ind w:left="2960" w:hanging="794"/>
        <w:spacing w:after="0"/>
        <w:tabs>
          <w:tab w:leader="none" w:pos="296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such Restricted Payment shall be made substantially concurrently with the closing of such Investment,</w:t>
      </w:r>
    </w:p>
    <w:p>
      <w:pPr>
        <w:spacing w:after="0" w:line="5" w:lineRule="exact"/>
        <w:rPr>
          <w:rFonts w:ascii="Arial" w:cs="Arial" w:eastAsia="Arial" w:hAnsi="Arial"/>
          <w:sz w:val="17"/>
          <w:szCs w:val="17"/>
          <w:color w:val="auto"/>
        </w:rPr>
      </w:pPr>
    </w:p>
    <w:p>
      <w:pPr>
        <w:jc w:val="both"/>
        <w:ind w:left="2160" w:firstLine="6"/>
        <w:spacing w:after="0" w:line="234" w:lineRule="auto"/>
        <w:tabs>
          <w:tab w:leader="none" w:pos="246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such direct or indirect parent company shall, immediately following the closing thereof, cause (1) all property acquired (whether assets or Equity Interests) to be contributed to the capital of the Borrower or one of its Restricted Subsidiaries or (2) the merger or amalgamation of the Person formed or acquired into the Borrower or one of its Restricted Subsidiaries (to the extent not prohibited by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in order to consummate such Investment, (C) such direct or indirect parent company and its Affiliates (other than the Borrower or a Restricted Subsidiary) receives no consideration or other payment in connection with such transaction except to the extent the Borrower or a Restricted Subsidiary could have given such consideration or made such payment in compliance with this Agreement, (D) any property received by the Borrower shall not increase amounts available for Restricted Payments pursuant to </w:t>
      </w:r>
      <w:r>
        <w:rPr>
          <w:rFonts w:ascii="Arial" w:cs="Arial" w:eastAsia="Arial" w:hAnsi="Arial"/>
          <w:sz w:val="18"/>
          <w:szCs w:val="18"/>
          <w:u w:val="single" w:color="auto"/>
          <w:color w:val="auto"/>
        </w:rPr>
        <w:t>Section 9.2(a)(iii)(C)</w:t>
      </w:r>
      <w:r>
        <w:rPr>
          <w:rFonts w:ascii="Arial" w:cs="Arial" w:eastAsia="Arial" w:hAnsi="Arial"/>
          <w:sz w:val="18"/>
          <w:szCs w:val="18"/>
          <w:color w:val="auto"/>
        </w:rPr>
        <w:t xml:space="preserve"> or any other basket hereunder and (E) such Investment shall be deemed to be made by the Borrower or such Restricted Subsidiary pursuant to another provision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9.2(b)(xii)</w:t>
      </w:r>
      <w:r>
        <w:rPr>
          <w:rFonts w:ascii="Arial" w:cs="Arial" w:eastAsia="Arial" w:hAnsi="Arial"/>
          <w:sz w:val="18"/>
          <w:szCs w:val="18"/>
          <w:color w:val="auto"/>
        </w:rPr>
        <w:t>) or pursuant to the definition of “Permitted Investments” (other than clause (i) thereof);</w:t>
      </w:r>
    </w:p>
    <w:p>
      <w:pPr>
        <w:spacing w:after="0" w:line="207" w:lineRule="exact"/>
        <w:rPr>
          <w:rFonts w:ascii="Arial" w:cs="Arial" w:eastAsia="Arial" w:hAnsi="Arial"/>
          <w:sz w:val="18"/>
          <w:szCs w:val="18"/>
          <w:color w:val="auto"/>
        </w:rPr>
      </w:pPr>
    </w:p>
    <w:p>
      <w:pPr>
        <w:ind w:left="1480" w:right="460" w:firstLine="519"/>
        <w:spacing w:after="0" w:line="263" w:lineRule="auto"/>
        <w:tabs>
          <w:tab w:leader="none" w:pos="237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Restricted Payments that are made in an amount equal to the amount of Excluded Contributions (other than Specified Equity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720"/>
          </w:cols>
          <w:pgMar w:left="360" w:top="1326" w:right="819" w:bottom="1440" w:gutter="0" w:footer="0" w:header="0"/>
        </w:sectPr>
      </w:pPr>
    </w:p>
    <w:bookmarkStart w:id="220" w:name="page221"/>
    <w:bookmarkEnd w:id="220"/>
    <w:p>
      <w:pPr>
        <w:jc w:val="both"/>
        <w:ind w:left="1480" w:firstLine="468"/>
        <w:spacing w:after="0" w:line="267" w:lineRule="auto"/>
        <w:tabs>
          <w:tab w:leader="none" w:pos="237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shall have occurred and be continuing or would otherwise result therefrom, (A) the Borrower and its Restricted Subsidiaries may pay reasonable management, consulting, administrative and similar fees (including for any other financial, advisory financing, underwriting or placement services or in respect of other investment banking activities, including, without limitation, in connection with acquisitions or divestitures), in each case, to the extent permitted under </w:t>
      </w:r>
      <w:r>
        <w:rPr>
          <w:rFonts w:ascii="Arial" w:cs="Arial" w:eastAsia="Arial" w:hAnsi="Arial"/>
          <w:sz w:val="16"/>
          <w:szCs w:val="16"/>
          <w:u w:val="single" w:color="auto"/>
          <w:color w:val="auto"/>
        </w:rPr>
        <w:t>Section 8.15(h)</w:t>
      </w:r>
      <w:r>
        <w:rPr>
          <w:rFonts w:ascii="Arial" w:cs="Arial" w:eastAsia="Arial" w:hAnsi="Arial"/>
          <w:sz w:val="16"/>
          <w:szCs w:val="16"/>
          <w:color w:val="auto"/>
        </w:rPr>
        <w:t xml:space="preserve"> to the Sponsors;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of management and monitoring fees shall be in an amount not to exceed the greater of $7,500,000 and 7.50% of LTM CEBITDA (calculated at the time of determination) in any fiscal year; (B) the Borrower or any of its Restricted Subsidiaries may reimburse the Sponsors for the out-of-pocket costs and expenses incurred by the Sponsors and their Affiliates on or prior to the Closing Date in connection with the Transactions; and (C) the Borrower and its Restricted Subsidiaries may pay the out-of-pocket costs and expenses incurred by the Sponsors and their Affiliates in respect of management, consulting, advisory and similar services that are performed for the benefit of the Borrower and its Restricted Subsidiaries by third-party Persons that are not Affiliates of the Sponsor, the Borrower or its Subsidiaries to such third-party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payments described in clauses (B) and (C) above shall accrue and may be paid once the Default or Event of Default is no longer continuing;</w:t>
      </w:r>
    </w:p>
    <w:p>
      <w:pPr>
        <w:spacing w:after="0" w:line="185" w:lineRule="exact"/>
        <w:rPr>
          <w:rFonts w:ascii="Arial" w:cs="Arial" w:eastAsia="Arial" w:hAnsi="Arial"/>
          <w:sz w:val="16"/>
          <w:szCs w:val="16"/>
          <w:color w:val="auto"/>
        </w:rPr>
      </w:pPr>
    </w:p>
    <w:p>
      <w:pPr>
        <w:jc w:val="both"/>
        <w:ind w:left="1480" w:right="20" w:firstLine="480"/>
        <w:spacing w:after="0" w:line="248" w:lineRule="auto"/>
        <w:tabs>
          <w:tab w:leader="none" w:pos="23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so long as no Significant Event of Default shall have occurred and be continuing, Restricted Payments in an aggregate amount taken together with all other Restricted Payments made pursuant to this clause (b)(xiv) not to exceed the greater of $52,500,000 and 45.0% of LTM EBITDA (calculated at the time of determination);</w:t>
      </w:r>
    </w:p>
    <w:p>
      <w:pPr>
        <w:spacing w:after="0" w:line="185" w:lineRule="exact"/>
        <w:rPr>
          <w:rFonts w:ascii="Arial" w:cs="Arial" w:eastAsia="Arial" w:hAnsi="Arial"/>
          <w:sz w:val="18"/>
          <w:szCs w:val="18"/>
          <w:color w:val="auto"/>
        </w:rPr>
      </w:pPr>
    </w:p>
    <w:p>
      <w:pPr>
        <w:jc w:val="both"/>
        <w:ind w:left="1480" w:right="20" w:firstLine="531"/>
        <w:spacing w:after="0" w:line="242" w:lineRule="auto"/>
        <w:tabs>
          <w:tab w:leader="none" w:pos="23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so long as no Significant Event of Default shall have occurred and be continuing, payments, redemptions, repurchases, defeasances or other acquisitions or retirements for value in respect of Junior Indebtedness such that the Total Net Leverage Ratio at the time of determination based on the most recently completed Test Period on a Pro Forma Basis, would be less than 4.00 to 1.00;</w:t>
      </w:r>
    </w:p>
    <w:p>
      <w:pPr>
        <w:spacing w:after="0" w:line="206" w:lineRule="exact"/>
        <w:rPr>
          <w:sz w:val="20"/>
          <w:szCs w:val="20"/>
          <w:color w:val="auto"/>
        </w:rPr>
      </w:pPr>
    </w:p>
    <w:p>
      <w:pPr>
        <w:ind w:left="1880"/>
        <w:spacing w:after="0"/>
        <w:tabs>
          <w:tab w:leader="none" w:pos="4580" w:val="left"/>
        </w:tabs>
        <w:rPr>
          <w:sz w:val="20"/>
          <w:szCs w:val="20"/>
          <w:color w:val="auto"/>
        </w:rPr>
      </w:pPr>
      <w:r>
        <w:rPr>
          <w:rFonts w:ascii="Arial" w:cs="Arial" w:eastAsia="Arial" w:hAnsi="Arial"/>
          <w:sz w:val="18"/>
          <w:szCs w:val="18"/>
          <w:color w:val="auto"/>
        </w:rPr>
        <w:t>(xvi)</w:t>
      </w:r>
      <w:r>
        <w:rPr>
          <w:sz w:val="20"/>
          <w:szCs w:val="20"/>
          <w:color w:val="auto"/>
        </w:rPr>
        <w:tab/>
      </w:r>
      <w:r>
        <w:rPr>
          <w:rFonts w:ascii="Arial" w:cs="Arial" w:eastAsia="Arial" w:hAnsi="Arial"/>
          <w:sz w:val="18"/>
          <w:szCs w:val="18"/>
          <w:color w:val="auto"/>
        </w:rPr>
        <w:t>[Reserved];</w:t>
      </w:r>
    </w:p>
    <w:p>
      <w:pPr>
        <w:spacing w:after="0" w:line="232" w:lineRule="exact"/>
        <w:rPr>
          <w:sz w:val="20"/>
          <w:szCs w:val="20"/>
          <w:color w:val="auto"/>
        </w:rPr>
      </w:pPr>
    </w:p>
    <w:p>
      <w:pPr>
        <w:jc w:val="both"/>
        <w:ind w:left="1480" w:right="20" w:firstLine="429"/>
        <w:spacing w:after="0" w:line="248" w:lineRule="auto"/>
        <w:tabs>
          <w:tab w:leader="none" w:pos="23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so long as no Significant Event of Default shall have occurred and be continuing, Restricted Payments such that the Total Net Leverage Ratio at the time of determination based on the most recently completed Test Period on a Pro Forma Basis, would be less than 3.75 to 1.00;</w:t>
      </w:r>
    </w:p>
    <w:p>
      <w:pPr>
        <w:sectPr>
          <w:pgSz w:w="11900" w:h="16838" w:orient="portrait"/>
          <w:cols w:equalWidth="0" w:num="1">
            <w:col w:w="10720"/>
          </w:cols>
          <w:pgMar w:left="360" w:top="1326" w:right="819" w:bottom="1440" w:gutter="0" w:footer="0" w:header="0"/>
        </w:sectPr>
      </w:pPr>
    </w:p>
    <w:p>
      <w:pPr>
        <w:spacing w:after="0" w:line="18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(xviii)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[Reserved];</w:t>
      </w:r>
    </w:p>
    <w:p>
      <w:pPr>
        <w:spacing w:after="0" w:line="222" w:lineRule="exact"/>
        <w:rPr>
          <w:sz w:val="20"/>
          <w:szCs w:val="20"/>
          <w:color w:val="auto"/>
        </w:rPr>
      </w:pPr>
    </w:p>
    <w:p>
      <w:pPr>
        <w:sectPr>
          <w:pgSz w:w="11900" w:h="16838" w:orient="portrait"/>
          <w:cols w:equalWidth="0" w:num="2">
            <w:col w:w="3880" w:space="720"/>
            <w:col w:w="6120"/>
          </w:cols>
          <w:pgMar w:left="360" w:top="1326" w:right="819" w:bottom="1440" w:gutter="0" w:footer="0" w:header="0"/>
          <w:type w:val="continuous"/>
        </w:sectPr>
      </w:pP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(xix)</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[Reserved];</w:t>
      </w:r>
    </w:p>
    <w:p>
      <w:pPr>
        <w:spacing w:after="0" w:line="222" w:lineRule="exact"/>
        <w:rPr>
          <w:sz w:val="20"/>
          <w:szCs w:val="20"/>
          <w:color w:val="auto"/>
        </w:rPr>
      </w:pPr>
    </w:p>
    <w:p>
      <w:pPr>
        <w:sectPr>
          <w:pgSz w:w="11900" w:h="16838" w:orient="portrait"/>
          <w:cols w:equalWidth="0" w:num="2">
            <w:col w:w="3880" w:space="720"/>
            <w:col w:w="6120"/>
          </w:cols>
          <w:pgMar w:left="360" w:top="1326" w:right="819" w:bottom="1440" w:gutter="0" w:footer="0" w:header="0"/>
          <w:type w:val="continuous"/>
        </w:sectPr>
      </w:pPr>
    </w:p>
    <w:p>
      <w:pPr>
        <w:spacing w:after="0" w:line="32" w:lineRule="exact"/>
        <w:rPr>
          <w:sz w:val="20"/>
          <w:szCs w:val="20"/>
          <w:color w:val="auto"/>
        </w:rPr>
      </w:pPr>
    </w:p>
    <w:p>
      <w:pPr>
        <w:jc w:val="both"/>
        <w:ind w:left="1480" w:firstLine="531"/>
        <w:spacing w:after="0" w:line="251" w:lineRule="auto"/>
        <w:tabs>
          <w:tab w:leader="none" w:pos="237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(a) the declaration and payment of dividends to holders of any class or series of Designated Preferred Stock (other than Disqualified Stock or any Specified Equity Contribution) issued by the Borrower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dividends paid pursuant to this clause (a) shall not exceed the aggregate amount of cash actually contributed to the Borrower from the sale of such Designated Preferred Stock, (b) the declaration and payment of dividends to any direct or indirect parent company of the Borrower, the proceeds of which will be used to fund the payment of dividends to holders of any class or series of Designated Preferred Stock (other than Disqualified Stock) issued by such parent company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dividends paid pursuant to this clause (b) shall not exceed the aggregate amount of cash actually contributed to the Borrower from the sale of such Designated Preferred Stock (and such contributions shall not have been applied to increase any other applicable basket hereunder); or (c) the declaration and payment of dividends on Refunding Capital Stock that is Preferred Stock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344805</wp:posOffset>
            </wp:positionV>
            <wp:extent cx="326390" cy="182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720"/>
          </w:cols>
          <w:pgMar w:left="360" w:top="1326" w:right="819" w:bottom="1440" w:gutter="0" w:footer="0" w:header="0"/>
          <w:type w:val="continuous"/>
        </w:sectPr>
      </w:pPr>
    </w:p>
    <w:bookmarkStart w:id="221" w:name="page222"/>
    <w:bookmarkEnd w:id="221"/>
    <w:p>
      <w:pPr>
        <w:jc w:val="both"/>
        <w:ind w:left="1480"/>
        <w:spacing w:after="0" w:line="239" w:lineRule="auto"/>
        <w:rPr>
          <w:sz w:val="20"/>
          <w:szCs w:val="20"/>
          <w:color w:val="auto"/>
        </w:rPr>
      </w:pPr>
      <w:r>
        <w:rPr>
          <w:rFonts w:ascii="Arial" w:cs="Arial" w:eastAsia="Arial" w:hAnsi="Arial"/>
          <w:sz w:val="18"/>
          <w:szCs w:val="18"/>
          <w:color w:val="auto"/>
        </w:rPr>
        <w:t xml:space="preserve">excess of the dividends declarable and payable thereon pursuant to </w:t>
      </w:r>
      <w:r>
        <w:rPr>
          <w:rFonts w:ascii="Arial" w:cs="Arial" w:eastAsia="Arial" w:hAnsi="Arial"/>
          <w:sz w:val="18"/>
          <w:szCs w:val="18"/>
          <w:u w:val="single" w:color="auto"/>
          <w:color w:val="auto"/>
        </w:rPr>
        <w:t>Section 9.2(b)(ii)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each of clauses (a), (b) and (c) of this clause (xx), at the time of determination based on the most recently completed Test Period immediately preceding the date of issuance of such Designated Preferred Stock or the declaration of such dividends on Refunding Capital Stock that is Preferred Stock, after giving effect to such issuance or declaration on a Pro Forma Basis, the Borrower and its Restricted Subsidiaries on a consolidated basis would have been in compliance with the Financial Covenant (whether or not then tested);</w:t>
      </w:r>
    </w:p>
    <w:p>
      <w:pPr>
        <w:spacing w:after="0" w:line="205" w:lineRule="exact"/>
        <w:rPr>
          <w:sz w:val="20"/>
          <w:szCs w:val="20"/>
          <w:color w:val="auto"/>
        </w:rPr>
      </w:pPr>
    </w:p>
    <w:p>
      <w:pPr>
        <w:jc w:val="both"/>
        <w:ind w:left="1480" w:firstLine="480"/>
        <w:spacing w:after="0" w:line="262" w:lineRule="auto"/>
        <w:tabs>
          <w:tab w:leader="none" w:pos="237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any Restricted Payment made in connection with the Transactions and the fees, payments and expenses related thereto or used to fund amounts owed to Investors in connection therewith (including dividends to any direct or indirect parent of the Borrower to permit payment by such parent of such amount), in each case to the extent permitted by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and disclosed in the Borrower’s Form S-1/A filed with the SEC on June 25, 2021; and</w:t>
      </w:r>
    </w:p>
    <w:p>
      <w:pPr>
        <w:spacing w:after="0" w:line="174" w:lineRule="exact"/>
        <w:rPr>
          <w:rFonts w:ascii="Arial" w:cs="Arial" w:eastAsia="Arial" w:hAnsi="Arial"/>
          <w:sz w:val="17"/>
          <w:szCs w:val="17"/>
          <w:color w:val="auto"/>
        </w:rPr>
      </w:pPr>
    </w:p>
    <w:p>
      <w:pPr>
        <w:jc w:val="both"/>
        <w:ind w:left="1480" w:firstLine="428"/>
        <w:spacing w:after="0" w:line="248" w:lineRule="auto"/>
        <w:tabs>
          <w:tab w:leader="none" w:pos="23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distribution, by dividend or otherwise, of shares of Capital Stock of, or Indebtedness owed to the Borrower or a Restricted Subsidiary by Unrestricted Subsidiaries (other than Unrestricted Subsidiaries the primary assets of which are cash or Cash Equivalents).</w:t>
      </w:r>
    </w:p>
    <w:p>
      <w:pPr>
        <w:spacing w:after="0" w:line="198"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Dividend and Other Payment Restrictions Affecting Restricted Subsidiaries</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48" w:lineRule="auto"/>
        <w:tabs>
          <w:tab w:leader="none" w:pos="23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directly or indirectly, create or otherwise cause to become effective any consensual encumbrance or consensual restriction on the ability of any such Restricted Subsidiary to:</w:t>
      </w:r>
    </w:p>
    <w:p>
      <w:pPr>
        <w:spacing w:after="0" w:line="198" w:lineRule="exact"/>
        <w:rPr>
          <w:rFonts w:ascii="Arial" w:cs="Arial" w:eastAsia="Arial" w:hAnsi="Arial"/>
          <w:sz w:val="18"/>
          <w:szCs w:val="18"/>
          <w:color w:val="auto"/>
        </w:rPr>
      </w:pPr>
    </w:p>
    <w:p>
      <w:pPr>
        <w:jc w:val="both"/>
        <w:ind w:left="1480" w:firstLine="663"/>
        <w:spacing w:after="0" w:line="248" w:lineRule="auto"/>
        <w:tabs>
          <w:tab w:leader="none" w:pos="237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Borrower or any of the Restricted Subsidiaries on its Capital Stock or with respect to any other interest or participation in, or measured by, its profits, or (B) pay any Indebtedness owed to the Borrower or any of the Restricted Subsidiaries;</w:t>
      </w:r>
    </w:p>
    <w:p>
      <w:pPr>
        <w:spacing w:after="0" w:line="185" w:lineRule="exact"/>
        <w:rPr>
          <w:rFonts w:ascii="Arial" w:cs="Arial" w:eastAsia="Arial" w:hAnsi="Arial"/>
          <w:sz w:val="18"/>
          <w:szCs w:val="18"/>
          <w:color w:val="auto"/>
        </w:rPr>
      </w:pPr>
    </w:p>
    <w:p>
      <w:pPr>
        <w:ind w:left="2660" w:hanging="568"/>
        <w:spacing w:after="0"/>
        <w:tabs>
          <w:tab w:leader="none" w:pos="26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make loans or advances to the Borrower or any of the Restricted Subsidiaries; or</w:t>
      </w:r>
    </w:p>
    <w:p>
      <w:pPr>
        <w:spacing w:after="0" w:line="219" w:lineRule="exact"/>
        <w:rPr>
          <w:rFonts w:ascii="Arial" w:cs="Arial" w:eastAsia="Arial" w:hAnsi="Arial"/>
          <w:sz w:val="18"/>
          <w:szCs w:val="18"/>
          <w:color w:val="auto"/>
        </w:rPr>
      </w:pPr>
    </w:p>
    <w:p>
      <w:pPr>
        <w:ind w:left="2360" w:hanging="319"/>
        <w:spacing w:after="0"/>
        <w:tabs>
          <w:tab w:leader="none" w:pos="236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sell, lease or transfer any of its properties or assets to the Borrower or any of the Restricted Subsidiaries;</w:t>
      </w:r>
    </w:p>
    <w:p>
      <w:pPr>
        <w:spacing w:after="0" w:line="243" w:lineRule="exact"/>
        <w:rPr>
          <w:rFonts w:ascii="Arial" w:cs="Arial" w:eastAsia="Arial" w:hAnsi="Arial"/>
          <w:sz w:val="17"/>
          <w:szCs w:val="17"/>
          <w:color w:val="auto"/>
        </w:rPr>
      </w:pPr>
    </w:p>
    <w:p>
      <w:pPr>
        <w:ind w:left="2160" w:hanging="596"/>
        <w:spacing w:after="0"/>
        <w:tabs>
          <w:tab w:leader="none" w:pos="2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except (in each case) for such encumbrances or restrictions existing under or by reason of:</w:t>
      </w:r>
    </w:p>
    <w:p>
      <w:pPr>
        <w:spacing w:after="0" w:line="231" w:lineRule="exact"/>
        <w:rPr>
          <w:rFonts w:ascii="Arial" w:cs="Arial" w:eastAsia="Arial" w:hAnsi="Arial"/>
          <w:sz w:val="18"/>
          <w:szCs w:val="18"/>
          <w:color w:val="auto"/>
        </w:rPr>
      </w:pPr>
    </w:p>
    <w:p>
      <w:pPr>
        <w:ind w:left="2660" w:hanging="517"/>
        <w:spacing w:after="0"/>
        <w:tabs>
          <w:tab w:leader="none" w:pos="26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Closing Date;</w:t>
      </w:r>
    </w:p>
    <w:p>
      <w:pPr>
        <w:spacing w:after="0" w:line="219" w:lineRule="exact"/>
        <w:rPr>
          <w:rFonts w:ascii="Arial" w:cs="Arial" w:eastAsia="Arial" w:hAnsi="Arial"/>
          <w:sz w:val="18"/>
          <w:szCs w:val="18"/>
          <w:color w:val="auto"/>
        </w:rPr>
      </w:pPr>
    </w:p>
    <w:p>
      <w:pPr>
        <w:ind w:left="2660" w:hanging="568"/>
        <w:spacing w:after="0"/>
        <w:tabs>
          <w:tab w:leader="none" w:pos="26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1480" w:firstLine="561"/>
        <w:spacing w:after="0" w:line="293" w:lineRule="auto"/>
        <w:tabs>
          <w:tab w:leader="none" w:pos="237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 xml:space="preserve">purchase money obligations for property acquired in the ordinary course of business and capital leases or operating leases that impose restrictions of the nature discussed in this </w:t>
      </w:r>
      <w:r>
        <w:rPr>
          <w:rFonts w:ascii="Arial" w:cs="Arial" w:eastAsia="Arial" w:hAnsi="Arial"/>
          <w:sz w:val="17"/>
          <w:szCs w:val="17"/>
          <w:u w:val="single" w:color="auto"/>
          <w:color w:val="auto"/>
        </w:rPr>
        <w:t>Section 9.3(b)(iii)</w:t>
      </w:r>
      <w:r>
        <w:rPr>
          <w:rFonts w:ascii="Arial" w:cs="Arial" w:eastAsia="Arial" w:hAnsi="Arial"/>
          <w:sz w:val="17"/>
          <w:szCs w:val="17"/>
          <w:color w:val="auto"/>
        </w:rPr>
        <w:t xml:space="preserve"> on the property so acquired;</w:t>
      </w:r>
    </w:p>
    <w:p>
      <w:pPr>
        <w:spacing w:after="0" w:line="224" w:lineRule="exact"/>
        <w:rPr>
          <w:rFonts w:ascii="Arial" w:cs="Arial" w:eastAsia="Arial" w:hAnsi="Arial"/>
          <w:sz w:val="17"/>
          <w:szCs w:val="17"/>
          <w:color w:val="auto"/>
        </w:rPr>
      </w:pPr>
    </w:p>
    <w:p>
      <w:pPr>
        <w:ind w:left="2660" w:hanging="608"/>
        <w:spacing w:after="0"/>
        <w:tabs>
          <w:tab w:leader="none" w:pos="26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219" w:lineRule="exact"/>
        <w:rPr>
          <w:rFonts w:ascii="Arial" w:cs="Arial" w:eastAsia="Arial" w:hAnsi="Arial"/>
          <w:sz w:val="18"/>
          <w:szCs w:val="18"/>
          <w:color w:val="auto"/>
        </w:rPr>
      </w:pPr>
    </w:p>
    <w:p>
      <w:pPr>
        <w:jc w:val="both"/>
        <w:ind w:left="1480" w:firstLine="622"/>
        <w:spacing w:after="0" w:line="283" w:lineRule="auto"/>
        <w:tabs>
          <w:tab w:leader="none" w:pos="237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any agreement or other instrument of a Person acquired by or merged or consolidated with or into the Borrower or any of its Restricted Subsidiaries, or of an Unrestricted Subsidiary that is designated as a Restricted Subsidiary, or assumed in connection with an acquisition of assets from such Person, in each case, that is in existence at the time of such acquisition, merger or consolidation (but not created in contemplation thereof), which encumbrance or restriction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327660</wp:posOffset>
            </wp:positionV>
            <wp:extent cx="326390" cy="182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700"/>
          </w:cols>
          <w:pgMar w:left="360" w:top="1326" w:right="839" w:bottom="1440" w:gutter="0" w:footer="0" w:header="0"/>
        </w:sectPr>
      </w:pPr>
    </w:p>
    <w:bookmarkStart w:id="222" w:name="page223"/>
    <w:bookmarkEnd w:id="222"/>
    <w:p>
      <w:pPr>
        <w:ind w:left="1480"/>
        <w:spacing w:after="0" w:line="263" w:lineRule="auto"/>
        <w:rPr>
          <w:sz w:val="20"/>
          <w:szCs w:val="20"/>
          <w:color w:val="auto"/>
        </w:rPr>
      </w:pPr>
      <w:r>
        <w:rPr>
          <w:rFonts w:ascii="Arial" w:cs="Arial" w:eastAsia="Arial" w:hAnsi="Arial"/>
          <w:sz w:val="18"/>
          <w:szCs w:val="18"/>
          <w:color w:val="auto"/>
        </w:rPr>
        <w:t>applicable to any Person, or the properties or assets of any Person, other than the Person and its Subsidiaries, or the property or assets of the Person and its Subsidiaries, so acquired or designated;</w:t>
      </w:r>
    </w:p>
    <w:p>
      <w:pPr>
        <w:spacing w:after="0" w:line="186" w:lineRule="exact"/>
        <w:rPr>
          <w:sz w:val="20"/>
          <w:szCs w:val="20"/>
          <w:color w:val="auto"/>
        </w:rPr>
      </w:pPr>
    </w:p>
    <w:p>
      <w:pPr>
        <w:jc w:val="both"/>
        <w:ind w:left="1480" w:right="100" w:firstLine="571"/>
        <w:spacing w:after="0" w:line="248" w:lineRule="auto"/>
        <w:tabs>
          <w:tab w:leader="none" w:pos="237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pursuant to an agreement that has been entered into for the sale or disposition of some or all of the Capital Stock or assets of such Subsidiary, such as restrictions on distributions by that Subsidiary pending its sale or other Disposition;</w:t>
      </w:r>
    </w:p>
    <w:p>
      <w:pPr>
        <w:spacing w:after="0" w:line="185" w:lineRule="exact"/>
        <w:rPr>
          <w:rFonts w:ascii="Arial" w:cs="Arial" w:eastAsia="Arial" w:hAnsi="Arial"/>
          <w:sz w:val="18"/>
          <w:szCs w:val="18"/>
          <w:color w:val="auto"/>
        </w:rPr>
      </w:pPr>
    </w:p>
    <w:p>
      <w:pPr>
        <w:jc w:val="both"/>
        <w:ind w:left="1480" w:right="100" w:firstLine="519"/>
        <w:spacing w:after="0" w:line="248" w:lineRule="auto"/>
        <w:tabs>
          <w:tab w:leader="none" w:pos="23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Indebtedness secured by a Lien otherwise permitted to be incurred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that limit the right of the debtor to dispose of the assets securing such Indebtedness or place any restriction on the Borrower’s or its Restricted Subsidiaries’ use of the assets securing such Indebtedness;</w:t>
      </w:r>
    </w:p>
    <w:p>
      <w:pPr>
        <w:spacing w:after="0" w:line="198" w:lineRule="exact"/>
        <w:rPr>
          <w:rFonts w:ascii="Arial" w:cs="Arial" w:eastAsia="Arial" w:hAnsi="Arial"/>
          <w:sz w:val="18"/>
          <w:szCs w:val="18"/>
          <w:color w:val="auto"/>
        </w:rPr>
      </w:pPr>
    </w:p>
    <w:p>
      <w:pPr>
        <w:ind w:left="1480" w:right="100" w:firstLine="468"/>
        <w:spacing w:after="0" w:line="263" w:lineRule="auto"/>
        <w:tabs>
          <w:tab w:leader="none" w:pos="23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under contracts entered into in the ordinary course of business or arising in connection with any Permitted Lien;</w:t>
      </w:r>
    </w:p>
    <w:p>
      <w:pPr>
        <w:spacing w:after="0" w:line="185" w:lineRule="exact"/>
        <w:rPr>
          <w:rFonts w:ascii="Arial" w:cs="Arial" w:eastAsia="Arial" w:hAnsi="Arial"/>
          <w:sz w:val="18"/>
          <w:szCs w:val="18"/>
          <w:color w:val="auto"/>
        </w:rPr>
      </w:pPr>
    </w:p>
    <w:p>
      <w:pPr>
        <w:jc w:val="both"/>
        <w:ind w:left="1480" w:right="100" w:firstLine="571"/>
        <w:spacing w:after="0" w:line="294" w:lineRule="auto"/>
        <w:tabs>
          <w:tab w:leader="none" w:pos="237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existing under, by reason of or with respect to customary provisions in joint venture agreements or arrangements, limited liability company agreements, partnership agreements, shareholder agreements, operating agreements, asset sale agreements, stock sale agreements, Sale Leaseback Transactions and other similar agreements or arrangements;</w:t>
      </w:r>
    </w:p>
    <w:p>
      <w:pPr>
        <w:spacing w:after="0" w:line="151" w:lineRule="exact"/>
        <w:rPr>
          <w:rFonts w:ascii="Arial" w:cs="Arial" w:eastAsia="Arial" w:hAnsi="Arial"/>
          <w:sz w:val="16"/>
          <w:szCs w:val="16"/>
          <w:color w:val="auto"/>
        </w:rPr>
      </w:pPr>
    </w:p>
    <w:p>
      <w:pPr>
        <w:jc w:val="both"/>
        <w:ind w:left="1480" w:right="100" w:firstLine="622"/>
        <w:spacing w:after="0" w:line="248" w:lineRule="auto"/>
        <w:tabs>
          <w:tab w:leader="none" w:pos="237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grants, sub-licenses or similar agreements, including with respect to Intellectual Property, or provisions that restrict the assignment of such agreements or any rights thereunder, in each case, entered into in the ordinary course of business;</w:t>
      </w:r>
    </w:p>
    <w:p>
      <w:pPr>
        <w:spacing w:after="0" w:line="198" w:lineRule="exact"/>
        <w:rPr>
          <w:rFonts w:ascii="Arial" w:cs="Arial" w:eastAsia="Arial" w:hAnsi="Arial"/>
          <w:sz w:val="18"/>
          <w:szCs w:val="18"/>
          <w:color w:val="auto"/>
        </w:rPr>
      </w:pPr>
    </w:p>
    <w:p>
      <w:pPr>
        <w:ind w:left="2660" w:hanging="610"/>
        <w:spacing w:after="0"/>
        <w:tabs>
          <w:tab w:leader="none" w:pos="2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2360" w:hanging="360"/>
        <w:spacing w:after="0"/>
        <w:tabs>
          <w:tab w:leader="none" w:pos="23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protective Liens filed in connection with a Sale Leaseback Transaction permitted under this Agreement;</w:t>
      </w:r>
    </w:p>
    <w:p>
      <w:pPr>
        <w:spacing w:after="0" w:line="219" w:lineRule="exact"/>
        <w:rPr>
          <w:rFonts w:ascii="Arial" w:cs="Arial" w:eastAsia="Arial" w:hAnsi="Arial"/>
          <w:sz w:val="18"/>
          <w:szCs w:val="18"/>
          <w:color w:val="auto"/>
        </w:rPr>
      </w:pPr>
    </w:p>
    <w:p>
      <w:pPr>
        <w:jc w:val="both"/>
        <w:ind w:left="1480" w:right="80" w:firstLine="469"/>
        <w:spacing w:after="0" w:line="258" w:lineRule="auto"/>
        <w:tabs>
          <w:tab w:leader="none" w:pos="237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other agreement governing Indebtedness, Disqualified Stock or Preferred Stock entered into after the Closing Date that contains encumbrances and restrictions that are either (A) not materially more restrictive taken as a whole with respect to the Borrower or any Restricted Subsidiary than those in effect on the Closing Date or (B) ordinary and customary in light of the type of Indebtedness being incurred and the jurisdiction of the obligor and will not materially affect the Borrower’s or any Guarantor’s obligations hereunder or under the other Loan Documents;</w:t>
      </w:r>
    </w:p>
    <w:p>
      <w:pPr>
        <w:spacing w:after="0" w:line="190" w:lineRule="exact"/>
        <w:rPr>
          <w:rFonts w:ascii="Arial" w:cs="Arial" w:eastAsia="Arial" w:hAnsi="Arial"/>
          <w:sz w:val="17"/>
          <w:szCs w:val="17"/>
          <w:color w:val="auto"/>
        </w:rPr>
      </w:pPr>
    </w:p>
    <w:p>
      <w:pPr>
        <w:ind w:left="2660" w:hanging="701"/>
        <w:spacing w:after="0"/>
        <w:tabs>
          <w:tab w:leader="none" w:pos="2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1480" w:right="100" w:firstLine="531"/>
        <w:spacing w:after="0" w:line="248" w:lineRule="auto"/>
        <w:tabs>
          <w:tab w:leader="none" w:pos="237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arising or agreed to in the ordinary course of business, not relating to any Indebtedness, and that do not, individually or in the aggregate, detract from the value of property or assets of the Borrower or any Restricted Subsidiary thereof in any manner material to the Borrower or any Restricted Subsidiary thereof;</w:t>
      </w:r>
    </w:p>
    <w:p>
      <w:pPr>
        <w:spacing w:after="0" w:line="198" w:lineRule="exact"/>
        <w:rPr>
          <w:rFonts w:ascii="Arial" w:cs="Arial" w:eastAsia="Arial" w:hAnsi="Arial"/>
          <w:sz w:val="18"/>
          <w:szCs w:val="18"/>
          <w:color w:val="auto"/>
        </w:rPr>
      </w:pPr>
    </w:p>
    <w:p>
      <w:pPr>
        <w:jc w:val="both"/>
        <w:ind w:left="1480" w:right="100" w:firstLine="480"/>
        <w:spacing w:after="0" w:line="283" w:lineRule="auto"/>
        <w:tabs>
          <w:tab w:leader="none" w:pos="237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existing under, by reason of or with respect to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encumbrances and restrictions contained in the agreements governing such Refinancing Indebtedness either (A) are not materially more restrictive, taken as a whole, than those contained in the agreements governing the Indebtedness being refinanced or (B) are ordinary and customary in light of the type of Refinancing Indebtedness being incurred and the jurisdiction of the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327660</wp:posOffset>
            </wp:positionV>
            <wp:extent cx="326390" cy="182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800"/>
          </w:cols>
          <w:pgMar w:left="360" w:top="1326" w:right="739" w:bottom="1440" w:gutter="0" w:footer="0" w:header="0"/>
        </w:sectPr>
      </w:pPr>
    </w:p>
    <w:bookmarkStart w:id="223" w:name="page224"/>
    <w:bookmarkEnd w:id="223"/>
    <w:p>
      <w:pPr>
        <w:ind w:left="1480"/>
        <w:spacing w:after="0"/>
        <w:rPr>
          <w:sz w:val="20"/>
          <w:szCs w:val="20"/>
          <w:color w:val="auto"/>
        </w:rPr>
      </w:pPr>
      <w:r>
        <w:rPr>
          <w:rFonts w:ascii="Arial" w:cs="Arial" w:eastAsia="Arial" w:hAnsi="Arial"/>
          <w:sz w:val="17"/>
          <w:szCs w:val="17"/>
          <w:color w:val="auto"/>
        </w:rPr>
        <w:t>and will not materially affect the Borrower’s or any Guarantor’s obligations hereunder or under the other Loan Documents;</w:t>
      </w:r>
    </w:p>
    <w:p>
      <w:pPr>
        <w:spacing w:after="0" w:line="243" w:lineRule="exact"/>
        <w:rPr>
          <w:sz w:val="20"/>
          <w:szCs w:val="20"/>
          <w:color w:val="auto"/>
        </w:rPr>
      </w:pPr>
    </w:p>
    <w:p>
      <w:pPr>
        <w:jc w:val="both"/>
        <w:ind w:left="1480" w:firstLine="429"/>
        <w:spacing w:after="0" w:line="248" w:lineRule="auto"/>
        <w:tabs>
          <w:tab w:leader="none" w:pos="23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in the case of the provision described in clause (ii) of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hereof: that restrict in a customary manner the subletting, assignment or transfer of any property or asset that is a lease, license, conveyance or contract or similar property or asset;</w:t>
      </w:r>
    </w:p>
    <w:p>
      <w:pPr>
        <w:spacing w:after="0" w:line="185" w:lineRule="exact"/>
        <w:rPr>
          <w:rFonts w:ascii="Arial" w:cs="Arial" w:eastAsia="Arial" w:hAnsi="Arial"/>
          <w:sz w:val="18"/>
          <w:szCs w:val="18"/>
          <w:color w:val="auto"/>
        </w:rPr>
      </w:pPr>
    </w:p>
    <w:p>
      <w:pPr>
        <w:jc w:val="both"/>
        <w:ind w:left="1480" w:firstLine="377"/>
        <w:spacing w:after="0" w:line="239" w:lineRule="auto"/>
        <w:tabs>
          <w:tab w:leader="none" w:pos="23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restrictions or conditions contained in any trading, netting, operating, construction, service, supply, purchase, sale or other agreement to which the Borrower or any of its Restricted Subsidiaries is a party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any other Restricted Subsidiary; and</w:t>
      </w:r>
    </w:p>
    <w:p>
      <w:pPr>
        <w:spacing w:after="0" w:line="205" w:lineRule="exact"/>
        <w:rPr>
          <w:rFonts w:ascii="Arial" w:cs="Arial" w:eastAsia="Arial" w:hAnsi="Arial"/>
          <w:sz w:val="18"/>
          <w:szCs w:val="18"/>
          <w:color w:val="auto"/>
        </w:rPr>
      </w:pPr>
    </w:p>
    <w:p>
      <w:pPr>
        <w:ind w:left="2660" w:hanging="700"/>
        <w:spacing w:after="0"/>
        <w:tabs>
          <w:tab w:leader="none" w:pos="2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w:t>
      </w:r>
      <w:r>
        <w:rPr>
          <w:rFonts w:ascii="Arial" w:cs="Arial" w:eastAsia="Arial" w:hAnsi="Arial"/>
          <w:sz w:val="18"/>
          <w:szCs w:val="18"/>
          <w:u w:val="single" w:color="auto"/>
          <w:color w:val="auto"/>
        </w:rPr>
        <w:t>Section 9.3(a)(i)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w:t>
      </w:r>
    </w:p>
    <w:p>
      <w:pPr>
        <w:spacing w:after="0" w:line="10" w:lineRule="exact"/>
        <w:rPr>
          <w:sz w:val="20"/>
          <w:szCs w:val="20"/>
          <w:color w:val="auto"/>
        </w:rPr>
      </w:pPr>
    </w:p>
    <w:p>
      <w:pPr>
        <w:jc w:val="both"/>
        <w:ind w:left="1480"/>
        <w:spacing w:after="0" w:line="249" w:lineRule="auto"/>
        <w:rPr>
          <w:sz w:val="20"/>
          <w:szCs w:val="20"/>
          <w:color w:val="auto"/>
        </w:rPr>
      </w:pPr>
      <w:r>
        <w:rPr>
          <w:rFonts w:ascii="Arial" w:cs="Arial" w:eastAsia="Arial" w:hAnsi="Arial"/>
          <w:sz w:val="17"/>
          <w:szCs w:val="17"/>
          <w:color w:val="auto"/>
        </w:rPr>
        <w:t xml:space="preserve">(iii)imposed by any amendments, modifications, restatements, renewals, increases, supplements, refundings, replacements or refinancings of the contracts, instruments or obligations referred to in clauses (i) through (xviii) of this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either (A) such amendments, modifications, restatements, renewals, increases, supplements, refundings, replacements or refinancings are, in the good faith judgment of the Borrower, not materially more restrictive with respect to such encumbrance and other restrictions taken as a whole than those prior to such amendment, modification, restatement, renewal, increase, supplement, refunding, replacement or refinancing or (B) such encumbrance and other restrictions are customary in light of the type of amendments, modifications, restatements, renewals, increases, supplements, refundings, replacements or refinancings and the jurisdiction of the obligor and will not materially affect the Borrower’s or any Guarantor’s obligations hereunder or under the other Loan Documents.</w:t>
      </w:r>
    </w:p>
    <w:p>
      <w:pPr>
        <w:spacing w:after="0" w:line="203" w:lineRule="exact"/>
        <w:rPr>
          <w:sz w:val="20"/>
          <w:szCs w:val="20"/>
          <w:color w:val="auto"/>
        </w:rPr>
      </w:pPr>
    </w:p>
    <w:p>
      <w:pPr>
        <w:jc w:val="both"/>
        <w:ind w:left="960" w:firstLine="602"/>
        <w:spacing w:after="0"/>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9.3</w:t>
      </w:r>
      <w:r>
        <w:rPr>
          <w:rFonts w:ascii="Arial" w:cs="Arial" w:eastAsia="Arial" w:hAnsi="Arial"/>
          <w:sz w:val="18"/>
          <w:szCs w:val="18"/>
          <w:color w:val="auto"/>
        </w:rPr>
        <w:t>, (i) the priority of any Preferred Stock in receiving dividends or liquidating distributions prior to dividends or liquidating distributions being paid on common stock shall not be deemed an encumbrance or restriction on the ability to make distributions on Capital Stock and (ii) the subordination of loans or advances made to the Borrower or a Restricted Subsidiary to other Indebtedness incurred by the Borrower or any such Restricted Subsidiary shall not be deemed an encumbrance or restriction on the ability to make loans or advances.</w:t>
      </w:r>
    </w:p>
    <w:p>
      <w:pPr>
        <w:spacing w:after="0" w:line="194"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Limitations on the Incurrence of Indebtedness and Issuance of Disqualified Stock or Preferred Stock</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62" w:lineRule="auto"/>
        <w:tabs>
          <w:tab w:leader="none" w:pos="235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Borrower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7"/>
          <w:szCs w:val="17"/>
          <w:u w:val="single" w:color="auto"/>
          <w:color w:val="auto"/>
        </w:rPr>
        <w:t>Incur</w:t>
      </w:r>
      <w:r>
        <w:rPr>
          <w:rFonts w:ascii="Arial" w:cs="Arial" w:eastAsia="Arial" w:hAnsi="Arial"/>
          <w:sz w:val="17"/>
          <w:szCs w:val="17"/>
          <w:color w:val="auto"/>
        </w:rPr>
        <w:t>” and collectively, an “</w:t>
      </w:r>
      <w:r>
        <w:rPr>
          <w:rFonts w:ascii="Arial" w:cs="Arial" w:eastAsia="Arial" w:hAnsi="Arial"/>
          <w:sz w:val="17"/>
          <w:szCs w:val="17"/>
          <w:u w:val="single" w:color="auto"/>
          <w:color w:val="auto"/>
        </w:rPr>
        <w:t>Incurrence</w:t>
      </w:r>
      <w:r>
        <w:rPr>
          <w:rFonts w:ascii="Arial" w:cs="Arial" w:eastAsia="Arial" w:hAnsi="Arial"/>
          <w:sz w:val="17"/>
          <w:szCs w:val="17"/>
          <w:color w:val="auto"/>
        </w:rPr>
        <w:t>”) with respect to any Indebtedness and the Borrower shall not issue any shares of Disqualified Stock and shall not permit any Restricted Subsidiary to issue any shares of Disqualified Stock or Preferred Stock.</w:t>
      </w:r>
    </w:p>
    <w:p>
      <w:pPr>
        <w:spacing w:after="0" w:line="187" w:lineRule="exact"/>
        <w:rPr>
          <w:rFonts w:ascii="Arial" w:cs="Arial" w:eastAsia="Arial" w:hAnsi="Arial"/>
          <w:sz w:val="17"/>
          <w:szCs w:val="17"/>
          <w:color w:val="auto"/>
        </w:rPr>
      </w:pPr>
    </w:p>
    <w:p>
      <w:pPr>
        <w:ind w:left="2160" w:hanging="595"/>
        <w:spacing w:after="0"/>
        <w:tabs>
          <w:tab w:leader="none" w:pos="2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limitations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 xml:space="preserve"> shall not apply to:</w:t>
      </w:r>
    </w:p>
    <w:p>
      <w:pPr>
        <w:spacing w:after="0" w:line="294" w:lineRule="exact"/>
        <w:rPr>
          <w:rFonts w:ascii="Arial" w:cs="Arial" w:eastAsia="Arial" w:hAnsi="Arial"/>
          <w:sz w:val="18"/>
          <w:szCs w:val="18"/>
          <w:color w:val="auto"/>
        </w:rPr>
      </w:pPr>
    </w:p>
    <w:p>
      <w:pPr>
        <w:ind w:left="2660" w:hanging="516"/>
        <w:spacing w:after="0"/>
        <w:tabs>
          <w:tab w:leader="none" w:pos="2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Indebtedness Incurred pursuant to this Agreement or any other Loan Document;</w:t>
      </w:r>
    </w:p>
    <w:p>
      <w:pPr>
        <w:spacing w:after="0" w:line="231" w:lineRule="exact"/>
        <w:rPr>
          <w:rFonts w:ascii="Arial" w:cs="Arial" w:eastAsia="Arial" w:hAnsi="Arial"/>
          <w:sz w:val="18"/>
          <w:szCs w:val="18"/>
          <w:color w:val="auto"/>
        </w:rPr>
      </w:pPr>
    </w:p>
    <w:p>
      <w:pPr>
        <w:ind w:left="2660" w:hanging="567"/>
        <w:spacing w:after="0"/>
        <w:tabs>
          <w:tab w:leader="none" w:pos="2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700"/>
          </w:cols>
          <w:pgMar w:left="360" w:top="1326" w:right="839" w:bottom="1440" w:gutter="0" w:footer="0" w:header="0"/>
        </w:sectPr>
      </w:pPr>
    </w:p>
    <w:bookmarkStart w:id="224" w:name="page225"/>
    <w:bookmarkEnd w:id="224"/>
    <w:p>
      <w:pPr>
        <w:jc w:val="both"/>
        <w:ind w:left="1480" w:firstLine="562"/>
        <w:spacing w:after="0" w:line="269" w:lineRule="auto"/>
        <w:tabs>
          <w:tab w:leader="none" w:pos="237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Indebtedness of the Borrower and its Restricted Subsidiaries in existence on the Closing Date and set forth on </w:t>
      </w:r>
      <w:r>
        <w:rPr>
          <w:rFonts w:ascii="Arial" w:cs="Arial" w:eastAsia="Arial" w:hAnsi="Arial"/>
          <w:sz w:val="17"/>
          <w:szCs w:val="17"/>
          <w:u w:val="single" w:color="auto"/>
          <w:color w:val="auto"/>
        </w:rPr>
        <w:t>Schedule 9.4</w:t>
      </w:r>
      <w:r>
        <w:rPr>
          <w:rFonts w:ascii="Arial" w:cs="Arial" w:eastAsia="Arial" w:hAnsi="Arial"/>
          <w:sz w:val="17"/>
          <w:szCs w:val="17"/>
          <w:color w:val="auto"/>
        </w:rPr>
        <w:t xml:space="preserve"> (other than Indebtedness described in clause (i) of this </w:t>
      </w:r>
      <w:r>
        <w:rPr>
          <w:rFonts w:ascii="Arial" w:cs="Arial" w:eastAsia="Arial" w:hAnsi="Arial"/>
          <w:sz w:val="17"/>
          <w:szCs w:val="17"/>
          <w:u w:val="single" w:color="auto"/>
          <w:color w:val="auto"/>
        </w:rPr>
        <w:t>Section 9.4(b)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Indebtedness shall be required to be described on Schedule 9.4(b) only to the extent that such Indebtedness exceeds $5,000,000;</w:t>
      </w:r>
    </w:p>
    <w:p>
      <w:pPr>
        <w:spacing w:after="0" w:line="182" w:lineRule="exact"/>
        <w:rPr>
          <w:rFonts w:ascii="Arial" w:cs="Arial" w:eastAsia="Arial" w:hAnsi="Arial"/>
          <w:sz w:val="17"/>
          <w:szCs w:val="17"/>
          <w:color w:val="auto"/>
        </w:rPr>
      </w:pPr>
    </w:p>
    <w:p>
      <w:pPr>
        <w:ind w:left="2660" w:hanging="610"/>
        <w:spacing w:after="0"/>
        <w:tabs>
          <w:tab w:leader="none" w:pos="2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First Priority Credit Agreement Refinancing Debt;</w:t>
      </w:r>
    </w:p>
    <w:p>
      <w:pPr>
        <w:spacing w:after="0" w:line="219" w:lineRule="exact"/>
        <w:rPr>
          <w:rFonts w:ascii="Arial" w:cs="Arial" w:eastAsia="Arial" w:hAnsi="Arial"/>
          <w:sz w:val="18"/>
          <w:szCs w:val="18"/>
          <w:color w:val="auto"/>
        </w:rPr>
      </w:pPr>
    </w:p>
    <w:p>
      <w:pPr>
        <w:jc w:val="both"/>
        <w:ind w:left="1480" w:firstLine="622"/>
        <w:spacing w:after="0" w:line="238" w:lineRule="auto"/>
        <w:tabs>
          <w:tab w:leader="none" w:pos="237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Indebtedness Incurred in respect of joint ventures in an aggregate principal amount, not to exceed at any time outstanding (together with any Refinancing Indebtedness in respect thereof) the greater of (x) $15,000,000 and (y) 12.5% of LTM CEBITDA (calculated at the time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Indebtedness Incurred or Disqualified Stock or Preferred Stock issued pursuant to </w:t>
      </w:r>
      <w:r>
        <w:rPr>
          <w:rFonts w:ascii="Arial" w:cs="Arial" w:eastAsia="Arial" w:hAnsi="Arial"/>
          <w:sz w:val="18"/>
          <w:szCs w:val="18"/>
          <w:u w:val="single" w:color="auto"/>
          <w:color w:val="auto"/>
        </w:rPr>
        <w:t>Sections 9.4(b)(vi)</w:t>
      </w:r>
      <w:r>
        <w:rPr>
          <w:rFonts w:ascii="Arial" w:cs="Arial" w:eastAsia="Arial" w:hAnsi="Arial"/>
          <w:sz w:val="18"/>
          <w:szCs w:val="18"/>
          <w:color w:val="auto"/>
        </w:rPr>
        <w:t xml:space="preserve"> (solely to the extent Incurred or issued by Restricted Subsidiaries that are not Loan Parties), </w:t>
      </w:r>
      <w:r>
        <w:rPr>
          <w:rFonts w:ascii="Arial" w:cs="Arial" w:eastAsia="Arial" w:hAnsi="Arial"/>
          <w:sz w:val="18"/>
          <w:szCs w:val="18"/>
          <w:u w:val="single" w:color="auto"/>
          <w:color w:val="auto"/>
        </w:rPr>
        <w:t>9.4(b)(v)</w:t>
      </w:r>
      <w:r>
        <w:rPr>
          <w:rFonts w:ascii="Arial" w:cs="Arial" w:eastAsia="Arial" w:hAnsi="Arial"/>
          <w:sz w:val="18"/>
          <w:szCs w:val="18"/>
          <w:color w:val="auto"/>
        </w:rPr>
        <w:t xml:space="preserve">, </w:t>
      </w:r>
      <w:r>
        <w:rPr>
          <w:rFonts w:ascii="Arial" w:cs="Arial" w:eastAsia="Arial" w:hAnsi="Arial"/>
          <w:sz w:val="18"/>
          <w:szCs w:val="18"/>
          <w:u w:val="single" w:color="auto"/>
          <w:color w:val="auto"/>
        </w:rPr>
        <w:t>9.4(b)(xxi)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9.4(b)(xxii)</w:t>
      </w:r>
      <w:r>
        <w:rPr>
          <w:rFonts w:ascii="Arial" w:cs="Arial" w:eastAsia="Arial" w:hAnsi="Arial"/>
          <w:sz w:val="18"/>
          <w:szCs w:val="18"/>
          <w:color w:val="auto"/>
        </w:rPr>
        <w:t>) (and any Refinancing Indebtedness in respect thereof)) shall not exceed the greater of $35,000,000 and 30.0% of LTM CEBITDA (calculated at the time of determination);</w:t>
      </w:r>
    </w:p>
    <w:p>
      <w:pPr>
        <w:spacing w:after="0" w:line="205" w:lineRule="exact"/>
        <w:rPr>
          <w:rFonts w:ascii="Arial" w:cs="Arial" w:eastAsia="Arial" w:hAnsi="Arial"/>
          <w:sz w:val="18"/>
          <w:szCs w:val="18"/>
          <w:color w:val="auto"/>
        </w:rPr>
      </w:pPr>
    </w:p>
    <w:p>
      <w:pPr>
        <w:jc w:val="both"/>
        <w:ind w:left="1480" w:firstLine="571"/>
        <w:spacing w:after="0"/>
        <w:tabs>
          <w:tab w:leader="none" w:pos="237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that complies with the Applicable Requirements;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Indebtedness that may be Incurred or any Disqualified Stock or Preferred Stock that may be issued by Restricted Subsidiaries that are not Loan Parties pursuant to this clause (vi) shall not exceed the Non-Guarantor Debt Cap;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aggregate principal amount of such Indebtedness, Disqualified Stock or Preferred Stock shall not exceed, at any date of determination, the sum of:</w:t>
      </w:r>
    </w:p>
    <w:p>
      <w:pPr>
        <w:spacing w:after="0" w:line="206" w:lineRule="exact"/>
        <w:rPr>
          <w:rFonts w:ascii="Arial" w:cs="Arial" w:eastAsia="Arial" w:hAnsi="Arial"/>
          <w:sz w:val="18"/>
          <w:szCs w:val="18"/>
          <w:color w:val="auto"/>
        </w:rPr>
      </w:pPr>
    </w:p>
    <w:p>
      <w:pPr>
        <w:jc w:val="both"/>
        <w:ind w:left="2160" w:firstLine="608"/>
        <w:spacing w:after="0" w:line="237" w:lineRule="auto"/>
        <w:tabs>
          <w:tab w:leader="none" w:pos="3556"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an unlimited amount if, after giving effect to the incurrence of such additional amount (assuming any Incremental Revolving Loan Commitments are fully borrowed and outstanding throughout the relevant period and with all applicable Indebtedness being deemed to constitute First Lien Debt in accordance with Section 1.5(i)), the Borrower is in compliance with the Financial Covenant (whether or not then tested), determined on a Pro Forma Basis at the time of determination based on the most recently completed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Net Cash Proceeds actually received (or contemplated to be received) in respect of any such Incremental Facility shall not be included as cash or Cash Equivalents for purposes of determining the Total Net First Lien Leverage Ratio as used in this definition, </w:t>
      </w:r>
      <w:r>
        <w:rPr>
          <w:rFonts w:ascii="Arial" w:cs="Arial" w:eastAsia="Arial" w:hAnsi="Arial"/>
          <w:sz w:val="18"/>
          <w:szCs w:val="18"/>
          <w:u w:val="single" w:color="auto"/>
          <w:color w:val="auto"/>
        </w:rPr>
        <w:t>plus</w:t>
      </w:r>
    </w:p>
    <w:p>
      <w:pPr>
        <w:spacing w:after="0" w:line="270" w:lineRule="exact"/>
        <w:rPr>
          <w:rFonts w:ascii="Arial" w:cs="Arial" w:eastAsia="Arial" w:hAnsi="Arial"/>
          <w:sz w:val="18"/>
          <w:szCs w:val="18"/>
          <w:color w:val="auto"/>
        </w:rPr>
      </w:pPr>
    </w:p>
    <w:p>
      <w:pPr>
        <w:jc w:val="both"/>
        <w:ind w:left="2160" w:firstLine="608"/>
        <w:spacing w:after="0" w:line="237" w:lineRule="auto"/>
        <w:tabs>
          <w:tab w:leader="none" w:pos="3558"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in the case of an Incremental Facility that serves to effectively extend the maturity or effect the repricing of any Class under any Term Facility, any Revolving Facility or any Indebtedness Incurred pursuant to </w:t>
      </w:r>
      <w:r>
        <w:rPr>
          <w:rFonts w:ascii="Arial" w:cs="Arial" w:eastAsia="Arial" w:hAnsi="Arial"/>
          <w:sz w:val="18"/>
          <w:szCs w:val="18"/>
          <w:u w:val="single" w:color="auto"/>
          <w:color w:val="auto"/>
        </w:rPr>
        <w:t>Section 9.4(b)(vi)</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Specified Indebtedness</w:t>
      </w:r>
      <w:r>
        <w:rPr>
          <w:rFonts w:ascii="Arial" w:cs="Arial" w:eastAsia="Arial" w:hAnsi="Arial"/>
          <w:sz w:val="18"/>
          <w:szCs w:val="18"/>
          <w:color w:val="auto"/>
        </w:rPr>
        <w:t xml:space="preserve">”), an amount equal to the portion of the Specified Indebtedness that will be replaced by such Incremental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related fees, costs and expenses, including OID and upfront fees and prepayment penalties and premium;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secured by a lien on the Collateral that is junior to the lien securing the Obligations or is unsecured, such Incremental Facility shall be secured by a lien on the Collateral that is junior to the lien securing the Obligations or unsecured, as applicable, </w:t>
      </w:r>
      <w:r>
        <w:rPr>
          <w:rFonts w:ascii="Arial" w:cs="Arial" w:eastAsia="Arial" w:hAnsi="Arial"/>
          <w:sz w:val="18"/>
          <w:szCs w:val="18"/>
          <w:u w:val="single" w:color="auto"/>
          <w:color w:val="auto"/>
        </w:rPr>
        <w:t>plus</w:t>
      </w:r>
    </w:p>
    <w:p>
      <w:pPr>
        <w:spacing w:after="0" w:line="270" w:lineRule="exact"/>
        <w:rPr>
          <w:rFonts w:ascii="Arial" w:cs="Arial" w:eastAsia="Arial" w:hAnsi="Arial"/>
          <w:sz w:val="18"/>
          <w:szCs w:val="18"/>
          <w:color w:val="auto"/>
        </w:rPr>
      </w:pPr>
    </w:p>
    <w:p>
      <w:pPr>
        <w:jc w:val="both"/>
        <w:ind w:left="2160" w:firstLine="608"/>
        <w:spacing w:after="0" w:line="252" w:lineRule="auto"/>
        <w:tabs>
          <w:tab w:leader="none" w:pos="3558" w:val="left"/>
        </w:tabs>
        <w:numPr>
          <w:ilvl w:val="2"/>
          <w:numId w:val="237"/>
        </w:numPr>
        <w:rPr>
          <w:rFonts w:ascii="Arial" w:cs="Arial" w:eastAsia="Arial" w:hAnsi="Arial"/>
          <w:sz w:val="17"/>
          <w:szCs w:val="17"/>
          <w:color w:val="auto"/>
        </w:rPr>
      </w:pPr>
      <w:r>
        <w:rPr>
          <w:rFonts w:ascii="Arial" w:cs="Arial" w:eastAsia="Arial" w:hAnsi="Arial"/>
          <w:sz w:val="17"/>
          <w:szCs w:val="17"/>
          <w:color w:val="auto"/>
        </w:rPr>
        <w:t>all voluntary prepayments and debt buybacks (which shall include, for the avoidance of doubt, any redemption, open market purchase and offer to purchase including pursuant to any “yank-a-bank” provision), without duplication (including with respect to the determination of the Maximum Incremental Facilities Amount)</w:t>
      </w:r>
    </w:p>
    <w:p>
      <w:pPr>
        <w:spacing w:after="0" w:line="2" w:lineRule="exact"/>
        <w:rPr>
          <w:rFonts w:ascii="Arial" w:cs="Arial" w:eastAsia="Arial" w:hAnsi="Arial"/>
          <w:sz w:val="17"/>
          <w:szCs w:val="17"/>
          <w:color w:val="auto"/>
        </w:rPr>
      </w:pPr>
    </w:p>
    <w:p>
      <w:pPr>
        <w:ind w:left="2160" w:firstLine="6"/>
        <w:spacing w:after="0" w:line="245" w:lineRule="auto"/>
        <w:tabs>
          <w:tab w:leader="none" w:pos="238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with respect to Incremental Facilities that are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Obligations, within any Class of Specified Indebtedness secured by a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345440</wp:posOffset>
            </wp:positionV>
            <wp:extent cx="326390" cy="182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700"/>
          </w:cols>
          <w:pgMar w:left="360" w:top="1326" w:right="839" w:bottom="1440" w:gutter="0" w:footer="0" w:header="0"/>
        </w:sectPr>
      </w:pPr>
    </w:p>
    <w:bookmarkStart w:id="225" w:name="page226"/>
    <w:bookmarkEnd w:id="225"/>
    <w:p>
      <w:pPr>
        <w:jc w:val="both"/>
        <w:ind w:left="2160" w:right="20"/>
        <w:spacing w:after="0" w:line="237" w:lineRule="auto"/>
        <w:rPr>
          <w:sz w:val="20"/>
          <w:szCs w:val="20"/>
          <w:color w:val="auto"/>
        </w:rPr>
      </w:pPr>
      <w:r>
        <w:rPr>
          <w:rFonts w:ascii="Arial" w:cs="Arial" w:eastAsia="Arial" w:hAnsi="Arial"/>
          <w:sz w:val="18"/>
          <w:szCs w:val="18"/>
          <w:color w:val="auto"/>
        </w:rPr>
        <w:t>on the Collateral that is pari passu with the lien securing the Obligations, (ii) with respect to Incremental Facilities that are secured by a lien on the Collateral that is junior to the lien securing the Obligations, within any class of Specified Indebtedness secured by a lien on the Collateral that is pari passu with or junior to the lien securing the Obligations, and</w:t>
      </w:r>
    </w:p>
    <w:p>
      <w:pPr>
        <w:spacing w:after="0" w:line="1" w:lineRule="exact"/>
        <w:rPr>
          <w:sz w:val="20"/>
          <w:szCs w:val="20"/>
          <w:color w:val="auto"/>
        </w:rPr>
      </w:pPr>
    </w:p>
    <w:p>
      <w:pPr>
        <w:jc w:val="both"/>
        <w:ind w:left="2160" w:right="20" w:firstLine="6"/>
        <w:spacing w:after="0" w:line="251" w:lineRule="auto"/>
        <w:tabs>
          <w:tab w:leader="none" w:pos="248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with respect to Incremental Facilities that are unsecured, within any Class of Specified Indebtedness secured by a lien on the Collateral that is pari passu with or junior to the lien securing the Obligations or unsecured (with, in the case of any Revolving Facilities, a corresponding reduction of commitments thereunder), in each case made prior to the date of any such incurrence, with credit given to the par value of such buybacks, and voluntary commitment reductions of any Revolving Facilities made prior to the date of any such incurrence, in each case except to the extent financed with proceeds of long-term Indebtedness (other than a revolving facility), </w:t>
      </w:r>
      <w:r>
        <w:rPr>
          <w:rFonts w:ascii="Arial" w:cs="Arial" w:eastAsia="Arial" w:hAnsi="Arial"/>
          <w:sz w:val="17"/>
          <w:szCs w:val="17"/>
          <w:u w:val="single" w:color="auto"/>
          <w:color w:val="auto"/>
        </w:rPr>
        <w:t>plus</w:t>
      </w:r>
      <w:r>
        <w:rPr>
          <w:rFonts w:ascii="Arial" w:cs="Arial" w:eastAsia="Arial" w:hAnsi="Arial"/>
          <w:sz w:val="17"/>
          <w:szCs w:val="17"/>
          <w:color w:val="auto"/>
        </w:rPr>
        <w:t>,</w:t>
      </w:r>
    </w:p>
    <w:p>
      <w:pPr>
        <w:spacing w:after="0" w:line="262" w:lineRule="exact"/>
        <w:rPr>
          <w:rFonts w:ascii="Arial" w:cs="Arial" w:eastAsia="Arial" w:hAnsi="Arial"/>
          <w:sz w:val="17"/>
          <w:szCs w:val="17"/>
          <w:color w:val="auto"/>
        </w:rPr>
      </w:pPr>
    </w:p>
    <w:p>
      <w:pPr>
        <w:jc w:val="both"/>
        <w:ind w:left="2160" w:right="20" w:firstLine="608"/>
        <w:spacing w:after="0" w:line="238" w:lineRule="auto"/>
        <w:tabs>
          <w:tab w:leader="none" w:pos="355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(x) the greater of $90,000,000 and 75.0% of LTM CEBITDA (calculated at the time of determination) determined on a Pro Forma Basis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amounts available under </w:t>
      </w:r>
      <w:r>
        <w:rPr>
          <w:rFonts w:ascii="Arial" w:cs="Arial" w:eastAsia="Arial" w:hAnsi="Arial"/>
          <w:sz w:val="18"/>
          <w:szCs w:val="18"/>
          <w:u w:val="single" w:color="auto"/>
          <w:color w:val="auto"/>
        </w:rPr>
        <w:t>Section 9.4(b)(xv)</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sum of (x) the aggregate principal amount of Incremental Term Loans or Incremental Revolving Loan Commitments Incurred under clause (d) of the definition of Maximum Incremental Facilities Amount pursuant to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prior to such date and (y) the aggregate principal amount of Indebtedness, Disqualified Stock and Preferred Stock issued or Incurred pursuant to this clause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prior to such date (in each case, without duplication)), which shall be available at all times and not subject to any ratio test;</w:t>
      </w:r>
    </w:p>
    <w:p>
      <w:pPr>
        <w:spacing w:after="0" w:line="206" w:lineRule="exact"/>
        <w:rPr>
          <w:sz w:val="20"/>
          <w:szCs w:val="20"/>
          <w:color w:val="auto"/>
        </w:rPr>
      </w:pPr>
    </w:p>
    <w:p>
      <w:pPr>
        <w:jc w:val="both"/>
        <w:ind w:left="1500" w:firstLine="843"/>
        <w:spacing w:after="0" w:line="26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may Incur such Indebtedness under any of clauses (a), (b), (c), (d)(x) or (d)(y) above in such order as it may elect in its sole discretion, (y) if the Borrower intends to Incur Incremental Facilities under clause (a) above, on the one hand, and under clauses (b), (c), (d)(x) or (d)(y) above, on the other hand, in a single transaction or series of substantially simultaneous and related transactions, (I) the Incurrence of the portion of such Incremental Facilities to be incurred under clause (a) above shall first be calculated without giving effect to any portion of such Incremental Facilities to be incurred under clauses (b), (c), (d)(x) or (d)(y) above (but giving pro forma effect to the use of proceeds of all such Incremental Facilities to be Incurred in connection with such transaction or series of substantially simultaneous and related transactions and (II) thereafter, the Incurrence of the portion of such Incremental Facilities to be incurred under clauses (b), (c), (d)(x) or (d)(y) above shall be calculated and (z) any portion of any Incremental Facilities incurred under clauses (b), (c), (d)(x) or (d)(y) above shall be automatically reclassified as Incurred under the applicable ratio test set forth in clause (a) above if at such time such ratio test set forth in clause (a) above would be satisfied on a Pro Forma Basis (after giving effect to such reclassification) on the last day of the most recently ended Test Period.</w:t>
      </w:r>
    </w:p>
    <w:p>
      <w:pPr>
        <w:spacing w:after="0" w:line="177" w:lineRule="exact"/>
        <w:rPr>
          <w:sz w:val="20"/>
          <w:szCs w:val="20"/>
          <w:color w:val="auto"/>
        </w:rPr>
      </w:pPr>
    </w:p>
    <w:p>
      <w:pPr>
        <w:jc w:val="both"/>
        <w:ind w:left="1480" w:right="20" w:firstLine="520"/>
        <w:spacing w:after="0" w:line="254" w:lineRule="auto"/>
        <w:tabs>
          <w:tab w:leader="none" w:pos="237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Indebtedness (including Capital Lease Obligations) incurred or Disqualified Stock and Preferred Stock issued by the Borrower or any of its Restricted Subsidiaries to finance or refinance the acquisition, purchase, lease, rental, construction, installation, development, design, repair, replacement or improvement of property (real or personal), plant or equipment (including software) or other assets that are used or useful in a Similar Business, whether through the direct purchase of assets or the Capital Stock of any Person owning such assets in an aggregate principal amount not to exceed at any time outstanding the greater of (x) $35,000,000 and (y) 30.0% of LTM CEBITDA (calculated at the time of determination) (together with any Refinancing Indebtedness in respect thereof);</w:t>
      </w:r>
    </w:p>
    <w:p>
      <w:pPr>
        <w:spacing w:after="0" w:line="194" w:lineRule="exact"/>
        <w:rPr>
          <w:rFonts w:ascii="Arial" w:cs="Arial" w:eastAsia="Arial" w:hAnsi="Arial"/>
          <w:sz w:val="17"/>
          <w:szCs w:val="17"/>
          <w:color w:val="auto"/>
        </w:rPr>
      </w:pPr>
    </w:p>
    <w:p>
      <w:pPr>
        <w:ind w:left="1480" w:right="20" w:firstLine="469"/>
        <w:spacing w:after="0" w:line="263" w:lineRule="auto"/>
        <w:tabs>
          <w:tab w:leader="none" w:pos="237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Indebtedness Incurred by the Borrower or any of its Restricted Subsidiaries constituting reimbursement obligations with respect to letters of credit or similar instruments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720"/>
          </w:cols>
          <w:pgMar w:left="360" w:top="1326" w:right="819" w:bottom="1440" w:gutter="0" w:footer="0" w:header="0"/>
        </w:sectPr>
      </w:pPr>
    </w:p>
    <w:bookmarkStart w:id="226" w:name="page227"/>
    <w:bookmarkEnd w:id="226"/>
    <w:p>
      <w:pPr>
        <w:jc w:val="both"/>
        <w:ind w:left="1480"/>
        <w:spacing w:after="0" w:line="262" w:lineRule="auto"/>
        <w:rPr>
          <w:sz w:val="20"/>
          <w:szCs w:val="20"/>
          <w:color w:val="auto"/>
        </w:rPr>
      </w:pPr>
      <w:r>
        <w:rPr>
          <w:rFonts w:ascii="Arial" w:cs="Arial" w:eastAsia="Arial" w:hAnsi="Arial"/>
          <w:sz w:val="17"/>
          <w:szCs w:val="17"/>
          <w:color w:val="auto"/>
        </w:rPr>
        <w:t xml:space="preserve">or created in the ordinary course of business, including letters of credit in respect of workers’ compensation claims, unemployment insurance and other types of social security or property, casualty or liability insurance or self-insurance, or other Indebtedness with respect to reimbursement type obligations regarding workers’ compensation claims;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drawing of such letters of credit, such obligations are reimbursed within thirty (30) days following such drawing;</w:t>
      </w:r>
    </w:p>
    <w:p>
      <w:pPr>
        <w:spacing w:after="0" w:line="187" w:lineRule="exact"/>
        <w:rPr>
          <w:sz w:val="20"/>
          <w:szCs w:val="20"/>
          <w:color w:val="auto"/>
        </w:rPr>
      </w:pPr>
    </w:p>
    <w:p>
      <w:pPr>
        <w:jc w:val="both"/>
        <w:ind w:left="1480" w:firstLine="571"/>
        <w:spacing w:after="0" w:line="262" w:lineRule="auto"/>
        <w:tabs>
          <w:tab w:leader="none" w:pos="237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Indebtedness arising from agreements of the Borrower or its Restricted Subsidiaries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w:t>
      </w:r>
    </w:p>
    <w:p>
      <w:pPr>
        <w:spacing w:after="0" w:line="174" w:lineRule="exact"/>
        <w:rPr>
          <w:rFonts w:ascii="Arial" w:cs="Arial" w:eastAsia="Arial" w:hAnsi="Arial"/>
          <w:sz w:val="17"/>
          <w:szCs w:val="17"/>
          <w:color w:val="auto"/>
        </w:rPr>
      </w:pPr>
    </w:p>
    <w:p>
      <w:pPr>
        <w:jc w:val="both"/>
        <w:ind w:left="1480" w:firstLine="622"/>
        <w:spacing w:after="0" w:line="238" w:lineRule="auto"/>
        <w:tabs>
          <w:tab w:leader="none" w:pos="23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a Guarantor is expressly subordinated in right of payment to the Guarantee of the Obligations by the Borrower on the terms set forth in </w:t>
      </w:r>
      <w:r>
        <w:rPr>
          <w:rFonts w:ascii="Arial" w:cs="Arial" w:eastAsia="Arial" w:hAnsi="Arial"/>
          <w:sz w:val="18"/>
          <w:szCs w:val="18"/>
          <w:u w:val="single" w:color="auto"/>
          <w:color w:val="auto"/>
        </w:rPr>
        <w:t>Exhibit C-3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subsequent issuance or transfer of any Capital Stock or any other event which results in any such other Restricted Subsidiary ceasing to be a Restricted Subsidiary or any other subsequent transfer of any such Indebtedness (except to the Borrower or another Restricted Subsidiary or any pledge of such Indebtedness constituting a Permitted Lien) shall be deemed, in each case, to be an Incurrence of such Indebtedness not permitted by this clause (b)(x);</w:t>
      </w:r>
    </w:p>
    <w:p>
      <w:pPr>
        <w:spacing w:after="0" w:line="205" w:lineRule="exact"/>
        <w:rPr>
          <w:rFonts w:ascii="Arial" w:cs="Arial" w:eastAsia="Arial" w:hAnsi="Arial"/>
          <w:sz w:val="18"/>
          <w:szCs w:val="18"/>
          <w:color w:val="auto"/>
        </w:rPr>
      </w:pPr>
    </w:p>
    <w:p>
      <w:pPr>
        <w:jc w:val="both"/>
        <w:ind w:left="1480" w:firstLine="571"/>
        <w:spacing w:after="0" w:line="237" w:lineRule="auto"/>
        <w:tabs>
          <w:tab w:leader="none" w:pos="23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to the Borrower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Loan Party incurs such Indebtedness to a Restricted Subsidiary that is not a Loan Party, such Indebtedness is expressly subordinated in right of payment to the Loans or Commitments hereunder or the Guarantee of the Obligations of any Guarantor on the terms set forth in </w:t>
      </w:r>
      <w:r>
        <w:rPr>
          <w:rFonts w:ascii="Arial" w:cs="Arial" w:eastAsia="Arial" w:hAnsi="Arial"/>
          <w:sz w:val="18"/>
          <w:szCs w:val="18"/>
          <w:u w:val="single" w:color="auto"/>
          <w:color w:val="auto"/>
        </w:rPr>
        <w:t>Exhibit C-3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subsequent issuance or transfer of any Capital Stock or any other event which results in any such other Restricted Subsidiary ceasing to be a Restricted Subsidiary or any subsequent transfer of any such Indebtedness (except to the Borrower or another Restricted Subsidiary or any pledge of such Indebtedness constituting a Permitted Lien) shall be deemed, in each case, to be an Incurrence of such Indebtedness not permitted by this clause (b)(xi);</w:t>
      </w:r>
    </w:p>
    <w:p>
      <w:pPr>
        <w:spacing w:after="0" w:line="208" w:lineRule="exact"/>
        <w:rPr>
          <w:rFonts w:ascii="Arial" w:cs="Arial" w:eastAsia="Arial" w:hAnsi="Arial"/>
          <w:sz w:val="18"/>
          <w:szCs w:val="18"/>
          <w:color w:val="auto"/>
        </w:rPr>
      </w:pPr>
    </w:p>
    <w:p>
      <w:pPr>
        <w:jc w:val="both"/>
        <w:ind w:left="1480" w:firstLine="519"/>
        <w:spacing w:after="0"/>
        <w:tabs>
          <w:tab w:leader="none" w:pos="23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the Borrower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which results in any such other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 (b)(xii);</w:t>
      </w:r>
    </w:p>
    <w:p>
      <w:pPr>
        <w:spacing w:after="0" w:line="193" w:lineRule="exact"/>
        <w:rPr>
          <w:rFonts w:ascii="Arial" w:cs="Arial" w:eastAsia="Arial" w:hAnsi="Arial"/>
          <w:sz w:val="18"/>
          <w:szCs w:val="18"/>
          <w:color w:val="auto"/>
        </w:rPr>
      </w:pPr>
    </w:p>
    <w:p>
      <w:pPr>
        <w:jc w:val="both"/>
        <w:ind w:left="1480" w:firstLine="468"/>
        <w:spacing w:after="0" w:line="248" w:lineRule="auto"/>
        <w:tabs>
          <w:tab w:leader="none" w:pos="23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Indebtedness in respect of Swap Agreements that are entered into to hedge or manage risks to which the Borrower or any Restricted Subsidiary has exposure and, at the time such Swap Agreements are entered into, are not for speculative purposes;</w:t>
      </w:r>
    </w:p>
    <w:p>
      <w:pPr>
        <w:spacing w:after="0" w:line="198" w:lineRule="exact"/>
        <w:rPr>
          <w:rFonts w:ascii="Arial" w:cs="Arial" w:eastAsia="Arial" w:hAnsi="Arial"/>
          <w:sz w:val="18"/>
          <w:szCs w:val="18"/>
          <w:color w:val="auto"/>
        </w:rPr>
      </w:pPr>
    </w:p>
    <w:p>
      <w:pPr>
        <w:jc w:val="both"/>
        <w:ind w:left="1480" w:firstLine="480"/>
        <w:spacing w:after="0" w:line="242" w:lineRule="auto"/>
        <w:tabs>
          <w:tab w:leader="none" w:pos="23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performance and completion guarantees, import and export custom and duty guaranties and similar obligations, or obligations in respect of letters of credit, bank guarantees, bank acceptances, warehouse receipts or similar instruments and reinvestment obligations related thereto, in each case provided in the ordinary course of business;</w:t>
      </w:r>
    </w:p>
    <w:p>
      <w:pPr>
        <w:spacing w:after="0" w:line="205" w:lineRule="exact"/>
        <w:rPr>
          <w:rFonts w:ascii="Arial" w:cs="Arial" w:eastAsia="Arial" w:hAnsi="Arial"/>
          <w:sz w:val="18"/>
          <w:szCs w:val="18"/>
          <w:color w:val="auto"/>
        </w:rPr>
      </w:pPr>
    </w:p>
    <w:p>
      <w:pPr>
        <w:jc w:val="both"/>
        <w:ind w:left="1480" w:firstLine="532"/>
        <w:spacing w:after="0" w:line="248" w:lineRule="auto"/>
        <w:tabs>
          <w:tab w:leader="none" w:pos="23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Indebtedness or Disqualified Stock of the Borrower and Indebtedness, Disqualified Stock or Preferred Stock of the Borrower or any Subsidiary Guarantor not otherwise permitted hereunder in an aggregate principal amount or liquidation preference which, when aggregated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700"/>
          </w:cols>
          <w:pgMar w:left="360" w:top="1326" w:right="839" w:bottom="1440" w:gutter="0" w:footer="0" w:header="0"/>
        </w:sectPr>
      </w:pPr>
    </w:p>
    <w:bookmarkStart w:id="227" w:name="page228"/>
    <w:bookmarkEnd w:id="227"/>
    <w:p>
      <w:pPr>
        <w:jc w:val="both"/>
        <w:ind w:left="1480" w:right="20"/>
        <w:spacing w:after="0" w:line="242" w:lineRule="auto"/>
        <w:rPr>
          <w:sz w:val="20"/>
          <w:szCs w:val="20"/>
          <w:color w:val="auto"/>
        </w:rPr>
      </w:pPr>
      <w:r>
        <w:rPr>
          <w:rFonts w:ascii="Arial" w:cs="Arial" w:eastAsia="Arial" w:hAnsi="Arial"/>
          <w:sz w:val="18"/>
          <w:szCs w:val="18"/>
          <w:color w:val="auto"/>
        </w:rPr>
        <w:t>the principal amount and liquidation preference of all other Indebtedness, Disqualified Stock and Preferred Stock then outstanding and incurred pursuant to this clause (b)(xv), together with any Refinancing Indebtedness in respect thereof, does not at any one time outstanding exceed the greater of (x) $50,000,000 and (y) 42.5% of LTM CEBITDA (calculated at the time of determination);</w:t>
      </w:r>
    </w:p>
    <w:p>
      <w:pPr>
        <w:spacing w:after="0" w:line="206" w:lineRule="exact"/>
        <w:rPr>
          <w:sz w:val="20"/>
          <w:szCs w:val="20"/>
          <w:color w:val="auto"/>
        </w:rPr>
      </w:pPr>
    </w:p>
    <w:p>
      <w:pPr>
        <w:jc w:val="both"/>
        <w:ind w:left="1480" w:firstLine="479"/>
        <w:spacing w:after="0" w:line="254" w:lineRule="auto"/>
        <w:tabs>
          <w:tab w:leader="none" w:pos="237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the Incurrence by the Borrower or any Restricted Subsidiary of Indebtedness, Disqualified Stock or Preferred Stock that serves to refund, replace or refinance any Indebtedness, Disqualified Stock or Preferred Stock incurred as permitted under </w:t>
      </w:r>
      <w:r>
        <w:rPr>
          <w:rFonts w:ascii="Arial" w:cs="Arial" w:eastAsia="Arial" w:hAnsi="Arial"/>
          <w:sz w:val="17"/>
          <w:szCs w:val="17"/>
          <w:u w:val="single" w:color="auto"/>
          <w:color w:val="auto"/>
        </w:rPr>
        <w:t>Sections 9.4(b)(iii)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(b)(iv)</w:t>
      </w:r>
      <w:r>
        <w:rPr>
          <w:rFonts w:ascii="Arial" w:cs="Arial" w:eastAsia="Arial" w:hAnsi="Arial"/>
          <w:sz w:val="17"/>
          <w:szCs w:val="17"/>
          <w:color w:val="auto"/>
        </w:rPr>
        <w:t xml:space="preserve">, </w:t>
      </w:r>
      <w:r>
        <w:rPr>
          <w:rFonts w:ascii="Arial" w:cs="Arial" w:eastAsia="Arial" w:hAnsi="Arial"/>
          <w:sz w:val="17"/>
          <w:szCs w:val="17"/>
          <w:u w:val="single" w:color="auto"/>
          <w:color w:val="auto"/>
        </w:rPr>
        <w:t>(b)(v)</w:t>
      </w:r>
      <w:r>
        <w:rPr>
          <w:rFonts w:ascii="Arial" w:cs="Arial" w:eastAsia="Arial" w:hAnsi="Arial"/>
          <w:sz w:val="17"/>
          <w:szCs w:val="17"/>
          <w:color w:val="auto"/>
        </w:rPr>
        <w:t xml:space="preserve">, </w:t>
      </w:r>
      <w:r>
        <w:rPr>
          <w:rFonts w:ascii="Arial" w:cs="Arial" w:eastAsia="Arial" w:hAnsi="Arial"/>
          <w:sz w:val="17"/>
          <w:szCs w:val="17"/>
          <w:u w:val="single" w:color="auto"/>
          <w:color w:val="auto"/>
        </w:rPr>
        <w:t>(b)(vi)</w:t>
      </w:r>
      <w:r>
        <w:rPr>
          <w:rFonts w:ascii="Arial" w:cs="Arial" w:eastAsia="Arial" w:hAnsi="Arial"/>
          <w:sz w:val="17"/>
          <w:szCs w:val="17"/>
          <w:color w:val="auto"/>
        </w:rPr>
        <w:t xml:space="preserve">, </w:t>
      </w:r>
      <w:r>
        <w:rPr>
          <w:rFonts w:ascii="Arial" w:cs="Arial" w:eastAsia="Arial" w:hAnsi="Arial"/>
          <w:sz w:val="17"/>
          <w:szCs w:val="17"/>
          <w:u w:val="single" w:color="auto"/>
          <w:color w:val="auto"/>
        </w:rPr>
        <w:t>(b)(vii)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(b)(xv)</w:t>
      </w:r>
      <w:r>
        <w:rPr>
          <w:rFonts w:ascii="Arial" w:cs="Arial" w:eastAsia="Arial" w:hAnsi="Arial"/>
          <w:sz w:val="17"/>
          <w:szCs w:val="17"/>
          <w:color w:val="auto"/>
        </w:rPr>
        <w:t xml:space="preserve">, </w:t>
      </w:r>
      <w:r>
        <w:rPr>
          <w:rFonts w:ascii="Arial" w:cs="Arial" w:eastAsia="Arial" w:hAnsi="Arial"/>
          <w:sz w:val="17"/>
          <w:szCs w:val="17"/>
          <w:u w:val="single" w:color="auto"/>
          <w:color w:val="auto"/>
        </w:rPr>
        <w:t>(b)(xvii)</w:t>
      </w:r>
      <w:r>
        <w:rPr>
          <w:rFonts w:ascii="Arial" w:cs="Arial" w:eastAsia="Arial" w:hAnsi="Arial"/>
          <w:sz w:val="17"/>
          <w:szCs w:val="17"/>
          <w:color w:val="auto"/>
        </w:rPr>
        <w:t xml:space="preserve">, (b)(xxi), </w:t>
      </w:r>
      <w:r>
        <w:rPr>
          <w:rFonts w:ascii="Arial" w:cs="Arial" w:eastAsia="Arial" w:hAnsi="Arial"/>
          <w:sz w:val="17"/>
          <w:szCs w:val="17"/>
          <w:u w:val="single" w:color="auto"/>
          <w:color w:val="auto"/>
        </w:rPr>
        <w:t>(b)(xxii)</w:t>
      </w:r>
      <w:r>
        <w:rPr>
          <w:rFonts w:ascii="Arial" w:cs="Arial" w:eastAsia="Arial" w:hAnsi="Arial"/>
          <w:sz w:val="17"/>
          <w:szCs w:val="17"/>
          <w:color w:val="auto"/>
        </w:rPr>
        <w:t xml:space="preserve">, (b)(xxiv), </w:t>
      </w:r>
      <w:r>
        <w:rPr>
          <w:rFonts w:ascii="Arial" w:cs="Arial" w:eastAsia="Arial" w:hAnsi="Arial"/>
          <w:sz w:val="17"/>
          <w:szCs w:val="17"/>
          <w:u w:val="single" w:color="auto"/>
          <w:color w:val="auto"/>
        </w:rPr>
        <w:t>(b)(xxv),</w:t>
      </w:r>
      <w:r>
        <w:rPr>
          <w:rFonts w:ascii="Arial" w:cs="Arial" w:eastAsia="Arial" w:hAnsi="Arial"/>
          <w:sz w:val="17"/>
          <w:szCs w:val="17"/>
          <w:color w:val="auto"/>
        </w:rPr>
        <w:t xml:space="preserve"> and this clause </w:t>
      </w:r>
      <w:r>
        <w:rPr>
          <w:rFonts w:ascii="Arial" w:cs="Arial" w:eastAsia="Arial" w:hAnsi="Arial"/>
          <w:sz w:val="17"/>
          <w:szCs w:val="17"/>
          <w:u w:val="single" w:color="auto"/>
          <w:color w:val="auto"/>
        </w:rPr>
        <w:t>(b)(xvi)</w:t>
      </w:r>
      <w:r>
        <w:rPr>
          <w:rFonts w:ascii="Arial" w:cs="Arial" w:eastAsia="Arial" w:hAnsi="Arial"/>
          <w:sz w:val="17"/>
          <w:szCs w:val="17"/>
          <w:color w:val="auto"/>
        </w:rPr>
        <w:t xml:space="preserve"> or any Indebtedness, Disqualified Stock or Preferred Stock issued to so refund, replace or refinance such Indebtedness, Disqualified Stock or Preferred Stock including additional Indebtedness, Disqualified Stock or Preferred Stock incurred to pay premiums (including tender premiums), defeasance costs and fees in connection therewith (the “</w:t>
      </w:r>
      <w:r>
        <w:rPr>
          <w:rFonts w:ascii="Arial" w:cs="Arial" w:eastAsia="Arial" w:hAnsi="Arial"/>
          <w:sz w:val="17"/>
          <w:szCs w:val="17"/>
          <w:u w:val="single" w:color="auto"/>
          <w:color w:val="auto"/>
        </w:rPr>
        <w:t>Refinancing Indebtedness</w:t>
      </w:r>
      <w:r>
        <w:rPr>
          <w:rFonts w:ascii="Arial" w:cs="Arial" w:eastAsia="Arial" w:hAnsi="Arial"/>
          <w:sz w:val="17"/>
          <w:szCs w:val="17"/>
          <w:color w:val="auto"/>
        </w:rPr>
        <w:t xml:space="preserve">”) prior to its respective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Refinancing Indebtedness:</w:t>
      </w:r>
    </w:p>
    <w:p>
      <w:pPr>
        <w:spacing w:after="0" w:line="257" w:lineRule="exact"/>
        <w:rPr>
          <w:rFonts w:ascii="Arial" w:cs="Arial" w:eastAsia="Arial" w:hAnsi="Arial"/>
          <w:sz w:val="17"/>
          <w:szCs w:val="17"/>
          <w:color w:val="auto"/>
        </w:rPr>
      </w:pPr>
    </w:p>
    <w:p>
      <w:pPr>
        <w:jc w:val="both"/>
        <w:ind w:left="2160" w:right="20" w:firstLine="608"/>
        <w:spacing w:after="0" w:line="248" w:lineRule="auto"/>
        <w:tabs>
          <w:tab w:leader="none" w:pos="3556" w:val="left"/>
        </w:tabs>
        <w:numPr>
          <w:ilvl w:val="2"/>
          <w:numId w:val="241"/>
        </w:numPr>
        <w:rPr>
          <w:rFonts w:ascii="Arial" w:cs="Arial" w:eastAsia="Arial" w:hAnsi="Arial"/>
          <w:sz w:val="18"/>
          <w:szCs w:val="18"/>
          <w:color w:val="auto"/>
        </w:rPr>
      </w:pPr>
      <w:r>
        <w:rPr>
          <w:rFonts w:ascii="Arial" w:cs="Arial" w:eastAsia="Arial" w:hAnsi="Arial"/>
          <w:sz w:val="18"/>
          <w:szCs w:val="18"/>
          <w:color w:val="auto"/>
        </w:rPr>
        <w:t>has a Weighted Average Life to Maturity at the time such Refinancing Indebtedness is incurred which is not less than the remaining Weighted Average Life to Maturity of the Indebtedness, Disqualified Stock or Preferred Stock being refunded or refinanced;</w:t>
      </w:r>
    </w:p>
    <w:p>
      <w:pPr>
        <w:spacing w:after="0" w:line="185" w:lineRule="exact"/>
        <w:rPr>
          <w:rFonts w:ascii="Arial" w:cs="Arial" w:eastAsia="Arial" w:hAnsi="Arial"/>
          <w:sz w:val="18"/>
          <w:szCs w:val="18"/>
          <w:color w:val="auto"/>
        </w:rPr>
      </w:pPr>
    </w:p>
    <w:p>
      <w:pPr>
        <w:jc w:val="both"/>
        <w:ind w:left="2160" w:right="20" w:firstLine="608"/>
        <w:spacing w:after="0" w:line="242" w:lineRule="auto"/>
        <w:tabs>
          <w:tab w:leader="none" w:pos="3558" w:val="left"/>
        </w:tabs>
        <w:numPr>
          <w:ilvl w:val="2"/>
          <w:numId w:val="241"/>
        </w:numPr>
        <w:rPr>
          <w:rFonts w:ascii="Arial" w:cs="Arial" w:eastAsia="Arial" w:hAnsi="Arial"/>
          <w:sz w:val="18"/>
          <w:szCs w:val="18"/>
          <w:color w:val="auto"/>
        </w:rPr>
      </w:pPr>
      <w:r>
        <w:rPr>
          <w:rFonts w:ascii="Arial" w:cs="Arial" w:eastAsia="Arial" w:hAnsi="Arial"/>
          <w:sz w:val="18"/>
          <w:szCs w:val="18"/>
          <w:color w:val="auto"/>
        </w:rPr>
        <w:t xml:space="preserve">has a stated maturity that is no earlier than the earlier of (i) the stated maturity of the Indebtedness being refunded or refinanced and (ii)(x) in respect of Indebtedness secured by the Collateral on a </w:t>
      </w:r>
      <w:r>
        <w:rPr>
          <w:rFonts w:ascii="Arial" w:cs="Arial" w:eastAsia="Arial" w:hAnsi="Arial"/>
          <w:sz w:val="18"/>
          <w:szCs w:val="18"/>
          <w:u w:val="single" w:color="auto"/>
          <w:color w:val="auto"/>
        </w:rPr>
        <w:t>pari</w:t>
      </w:r>
      <w:r>
        <w:rPr>
          <w:rFonts w:ascii="Arial" w:cs="Arial" w:eastAsia="Arial" w:hAnsi="Arial"/>
          <w:sz w:val="18"/>
          <w:szCs w:val="18"/>
          <w:color w:val="auto"/>
        </w:rPr>
        <w:t xml:space="preserve"> </w:t>
      </w:r>
      <w:r>
        <w:rPr>
          <w:rFonts w:ascii="Arial" w:cs="Arial" w:eastAsia="Arial" w:hAnsi="Arial"/>
          <w:sz w:val="18"/>
          <w:szCs w:val="18"/>
          <w:u w:val="single" w:color="auto"/>
          <w:color w:val="auto"/>
        </w:rPr>
        <w:t>passu</w:t>
      </w:r>
      <w:r>
        <w:rPr>
          <w:rFonts w:ascii="Arial" w:cs="Arial" w:eastAsia="Arial" w:hAnsi="Arial"/>
          <w:sz w:val="18"/>
          <w:szCs w:val="18"/>
          <w:color w:val="auto"/>
        </w:rPr>
        <w:t xml:space="preserve"> basis with the Facilities, the Latest Maturity Date and (y) in respect of all other Indebtedness, Disqualified Stock or Preferred Stock, the date that is 91 days after the Latest Maturity Date;</w:t>
      </w:r>
    </w:p>
    <w:p>
      <w:pPr>
        <w:spacing w:after="0" w:line="193" w:lineRule="exact"/>
        <w:rPr>
          <w:rFonts w:ascii="Arial" w:cs="Arial" w:eastAsia="Arial" w:hAnsi="Arial"/>
          <w:sz w:val="18"/>
          <w:szCs w:val="18"/>
          <w:color w:val="auto"/>
        </w:rPr>
      </w:pPr>
    </w:p>
    <w:p>
      <w:pPr>
        <w:jc w:val="both"/>
        <w:ind w:left="2160" w:right="20" w:firstLine="608"/>
        <w:spacing w:after="0" w:line="242" w:lineRule="auto"/>
        <w:tabs>
          <w:tab w:leader="none" w:pos="3558" w:val="left"/>
        </w:tabs>
        <w:numPr>
          <w:ilvl w:val="2"/>
          <w:numId w:val="241"/>
        </w:numPr>
        <w:rPr>
          <w:rFonts w:ascii="Arial" w:cs="Arial" w:eastAsia="Arial" w:hAnsi="Arial"/>
          <w:sz w:val="18"/>
          <w:szCs w:val="18"/>
          <w:color w:val="auto"/>
        </w:rPr>
      </w:pPr>
      <w:r>
        <w:rPr>
          <w:rFonts w:ascii="Arial" w:cs="Arial" w:eastAsia="Arial" w:hAnsi="Arial"/>
          <w:sz w:val="18"/>
          <w:szCs w:val="18"/>
          <w:color w:val="auto"/>
        </w:rPr>
        <w:t xml:space="preserve">to the extent such Refinancing Indebtedness refinances Indebtedness subordinated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to the Loans and Commitments hereunder, such Refinancing Indebtedness is subordinated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to the Loans and Commitments hereunder at least to the same extent as the Indebtedness being refinanced or refunded;</w:t>
      </w:r>
    </w:p>
    <w:p>
      <w:pPr>
        <w:spacing w:after="0" w:line="205" w:lineRule="exact"/>
        <w:rPr>
          <w:rFonts w:ascii="Arial" w:cs="Arial" w:eastAsia="Arial" w:hAnsi="Arial"/>
          <w:sz w:val="18"/>
          <w:szCs w:val="18"/>
          <w:color w:val="auto"/>
        </w:rPr>
      </w:pPr>
    </w:p>
    <w:p>
      <w:pPr>
        <w:jc w:val="both"/>
        <w:ind w:left="2160" w:firstLine="608"/>
        <w:spacing w:after="0" w:line="236" w:lineRule="auto"/>
        <w:tabs>
          <w:tab w:leader="none" w:pos="3556" w:val="left"/>
        </w:tabs>
        <w:numPr>
          <w:ilvl w:val="2"/>
          <w:numId w:val="241"/>
        </w:numPr>
        <w:rPr>
          <w:rFonts w:ascii="Arial" w:cs="Arial" w:eastAsia="Arial" w:hAnsi="Arial"/>
          <w:sz w:val="18"/>
          <w:szCs w:val="18"/>
          <w:color w:val="auto"/>
        </w:rPr>
      </w:pPr>
      <w:r>
        <w:rPr>
          <w:rFonts w:ascii="Arial" w:cs="Arial" w:eastAsia="Arial" w:hAnsi="Arial"/>
          <w:sz w:val="18"/>
          <w:szCs w:val="18"/>
          <w:color w:val="auto"/>
        </w:rPr>
        <w:t>(1) to the extent Liens securing such Indebtedness being modified, refinanced, refunded, renewed or extended are subordinated to Liens securing the Obligations, the Liens, if any, securing such modification, refinancing, refunding, renewal or extension are subordinated to the Liens securing the Obligations pursuant to an Intercreditor Agreement (and an Intercreditor Agreement may be amended in a manner reasonably acceptable to the Administrative Agent to provide for such Liens to be subordinated to the Liens securing the Obligations on a basis consistent with such Intercreditor Agreement prior to such modification, refinancing, refunding, renewal or extension), and (2) to the extent such Indebtedness being modified, refinanced, refunded, renewed or extended is unsecured, the Refinancing Indebtedness in respect of such Indebtedness shall be unsecured;</w:t>
      </w:r>
    </w:p>
    <w:p>
      <w:pPr>
        <w:spacing w:after="0" w:line="212" w:lineRule="exact"/>
        <w:rPr>
          <w:rFonts w:ascii="Arial" w:cs="Arial" w:eastAsia="Arial" w:hAnsi="Arial"/>
          <w:sz w:val="18"/>
          <w:szCs w:val="18"/>
          <w:color w:val="auto"/>
        </w:rPr>
      </w:pPr>
    </w:p>
    <w:p>
      <w:pPr>
        <w:jc w:val="both"/>
        <w:ind w:left="2160" w:right="20" w:firstLine="608"/>
        <w:spacing w:after="0" w:line="268" w:lineRule="auto"/>
        <w:tabs>
          <w:tab w:leader="none" w:pos="3561" w:val="left"/>
        </w:tabs>
        <w:numPr>
          <w:ilvl w:val="2"/>
          <w:numId w:val="241"/>
        </w:numPr>
        <w:rPr>
          <w:rFonts w:ascii="Arial" w:cs="Arial" w:eastAsia="Arial" w:hAnsi="Arial"/>
          <w:sz w:val="16"/>
          <w:szCs w:val="16"/>
          <w:color w:val="auto"/>
        </w:rPr>
      </w:pPr>
      <w:r>
        <w:rPr>
          <w:rFonts w:ascii="Arial" w:cs="Arial" w:eastAsia="Arial" w:hAnsi="Arial"/>
          <w:sz w:val="16"/>
          <w:szCs w:val="16"/>
          <w:color w:val="auto"/>
        </w:rPr>
        <w:t xml:space="preserve">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Arial" w:cs="Arial" w:eastAsia="Arial" w:hAnsi="Arial"/>
          <w:sz w:val="16"/>
          <w:szCs w:val="16"/>
          <w:u w:val="single" w:color="auto"/>
          <w:color w:val="auto"/>
        </w:rPr>
        <w:t>plus</w:t>
      </w:r>
    </w:p>
    <w:p>
      <w:pPr>
        <w:spacing w:after="0" w:line="1" w:lineRule="exact"/>
        <w:rPr>
          <w:rFonts w:ascii="Arial" w:cs="Arial" w:eastAsia="Arial" w:hAnsi="Arial"/>
          <w:sz w:val="16"/>
          <w:szCs w:val="16"/>
          <w:color w:val="auto"/>
        </w:rPr>
      </w:pPr>
    </w:p>
    <w:p>
      <w:pPr>
        <w:ind w:left="2420" w:hanging="254"/>
        <w:spacing w:after="0"/>
        <w:tabs>
          <w:tab w:leader="none" w:pos="24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amount of premium, fees and expenses Incurred in connection with such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354965</wp:posOffset>
            </wp:positionV>
            <wp:extent cx="326390" cy="182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720"/>
          </w:cols>
          <w:pgMar w:left="360" w:top="1326" w:right="819" w:bottom="1440" w:gutter="0" w:footer="0" w:header="0"/>
        </w:sectPr>
      </w:pPr>
    </w:p>
    <w:bookmarkStart w:id="228" w:name="page229"/>
    <w:bookmarkEnd w:id="228"/>
    <w:p>
      <w:pPr>
        <w:jc w:val="both"/>
        <w:ind w:left="2160" w:firstLine="608"/>
        <w:spacing w:after="0" w:line="272" w:lineRule="auto"/>
        <w:tabs>
          <w:tab w:leader="none" w:pos="356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terms and conditions of such Indebtedness (excluding pricing, fees, rate floors and optional prepayment or redemption terms) are either (i) not materially less favorable (taken as a whole) to the Borrower than</w:t>
      </w:r>
    </w:p>
    <w:p>
      <w:pPr>
        <w:jc w:val="both"/>
        <w:ind w:left="2160" w:firstLine="6"/>
        <w:spacing w:after="0" w:line="260" w:lineRule="auto"/>
        <w:tabs>
          <w:tab w:leader="none" w:pos="247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terms and conditions of this Agreement (taken as a whole) or (y) the terms and conditions of the Indebtedness being refinanced (taken as a whole) or (ii) reflect market terms and conditions (as determined by the Borrower in good faith) at the time of Incurrence thereof (or obtaining a commitment with respect thereto); and</w:t>
      </w:r>
    </w:p>
    <w:p>
      <w:pPr>
        <w:spacing w:after="0" w:line="188" w:lineRule="exact"/>
        <w:rPr>
          <w:rFonts w:ascii="Arial" w:cs="Arial" w:eastAsia="Arial" w:hAnsi="Arial"/>
          <w:sz w:val="17"/>
          <w:szCs w:val="17"/>
          <w:color w:val="auto"/>
        </w:rPr>
      </w:pPr>
    </w:p>
    <w:p>
      <w:pPr>
        <w:ind w:left="3360" w:hanging="593"/>
        <w:spacing w:after="0"/>
        <w:tabs>
          <w:tab w:leader="none" w:pos="33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shall not include:</w:t>
      </w:r>
    </w:p>
    <w:p>
      <w:pPr>
        <w:spacing w:after="0" w:line="219" w:lineRule="exact"/>
        <w:rPr>
          <w:rFonts w:ascii="Arial" w:cs="Arial" w:eastAsia="Arial" w:hAnsi="Arial"/>
          <w:sz w:val="18"/>
          <w:szCs w:val="18"/>
          <w:color w:val="auto"/>
        </w:rPr>
      </w:pPr>
    </w:p>
    <w:p>
      <w:pPr>
        <w:ind w:left="2160" w:firstLine="608"/>
        <w:spacing w:after="0" w:line="263" w:lineRule="auto"/>
        <w:tabs>
          <w:tab w:leader="none" w:pos="355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Non-Guarantor Subsidiary that refinances Indebtedness, Disqualified Stock or Preferred Stock of the Borrower or a Guarantor; or</w:t>
      </w:r>
    </w:p>
    <w:p>
      <w:pPr>
        <w:spacing w:after="0" w:line="186" w:lineRule="exact"/>
        <w:rPr>
          <w:sz w:val="20"/>
          <w:szCs w:val="20"/>
          <w:color w:val="auto"/>
        </w:rPr>
      </w:pPr>
    </w:p>
    <w:p>
      <w:pPr>
        <w:jc w:val="both"/>
        <w:ind w:left="2160" w:firstLine="602"/>
        <w:spacing w:after="0"/>
        <w:rPr>
          <w:sz w:val="20"/>
          <w:szCs w:val="20"/>
          <w:color w:val="auto"/>
        </w:rPr>
      </w:pPr>
      <w:r>
        <w:rPr>
          <w:rFonts w:ascii="Arial" w:cs="Arial" w:eastAsia="Arial" w:hAnsi="Arial"/>
          <w:sz w:val="18"/>
          <w:szCs w:val="18"/>
          <w:color w:val="auto"/>
        </w:rPr>
        <w:t>(I)Indebtedness, Disqualified Stock or Preferred Stock of the Borrower or a Restricted Subsidiary that refinances Indebtedness, Disqualified Stock or Preferred Stock of an Unrestricted Subsidiary; provided that any Indebtedness that may be Incurred or any Disqualified Stock or Preferred Stock that may be issued by Restricted Subsidiaries that are not Loan Parties pursuant to the first proviso of this clause (xvi) shall not exceed the Non-Guarantor Debt Cap;</w:t>
      </w:r>
    </w:p>
    <w:p>
      <w:pPr>
        <w:spacing w:after="0" w:line="206" w:lineRule="exact"/>
        <w:rPr>
          <w:sz w:val="20"/>
          <w:szCs w:val="20"/>
          <w:color w:val="auto"/>
        </w:rPr>
      </w:pPr>
    </w:p>
    <w:p>
      <w:pPr>
        <w:jc w:val="both"/>
        <w:ind w:left="1480" w:firstLine="428"/>
        <w:spacing w:after="0" w:line="258" w:lineRule="auto"/>
        <w:tabs>
          <w:tab w:leader="none" w:pos="237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assumed in connection with Permitted Acquisitions (other than as a result of a Division) in an unlimited amount if, after giving effect to the assumption of such Indebtedness, Disqualified Stock or Preferred Stock and such Permitted Acquisition on a Pro Forma Basis at the time of determination based on the most recent Test Period, the Borrower would be in compliance with the Financial Covenant (whether or not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was not Incurred in contemplation of such Permitted Acquisition;</w:t>
      </w:r>
    </w:p>
    <w:p>
      <w:pPr>
        <w:spacing w:after="0" w:line="178" w:lineRule="exact"/>
        <w:rPr>
          <w:rFonts w:ascii="Arial" w:cs="Arial" w:eastAsia="Arial" w:hAnsi="Arial"/>
          <w:sz w:val="17"/>
          <w:szCs w:val="17"/>
          <w:color w:val="auto"/>
        </w:rPr>
      </w:pPr>
    </w:p>
    <w:p>
      <w:pPr>
        <w:jc w:val="both"/>
        <w:ind w:left="1480" w:firstLine="377"/>
        <w:spacing w:after="0" w:line="248" w:lineRule="auto"/>
        <w:tabs>
          <w:tab w:leader="none" w:pos="237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Cash Management Obligations and Guarantee Obligations in respect thereof, and other Indebtedness in respect of employee credit card programs, netting services, automatic clearinghouse arrangements, overdraft protections and similar arrangements in each case in connection with deposit accounts;</w:t>
      </w:r>
    </w:p>
    <w:p>
      <w:pPr>
        <w:spacing w:after="0" w:line="198" w:lineRule="exact"/>
        <w:rPr>
          <w:rFonts w:ascii="Arial" w:cs="Arial" w:eastAsia="Arial" w:hAnsi="Arial"/>
          <w:sz w:val="18"/>
          <w:szCs w:val="18"/>
          <w:color w:val="auto"/>
        </w:rPr>
      </w:pPr>
    </w:p>
    <w:p>
      <w:pPr>
        <w:jc w:val="both"/>
        <w:ind w:left="1480" w:firstLine="479"/>
        <w:spacing w:after="0" w:line="248" w:lineRule="auto"/>
        <w:tabs>
          <w:tab w:leader="none" w:pos="237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extinguished within ten (10) Business Days of its incurrence;</w:t>
      </w:r>
    </w:p>
    <w:p>
      <w:pPr>
        <w:spacing w:after="0" w:line="273" w:lineRule="exact"/>
        <w:rPr>
          <w:rFonts w:ascii="Arial" w:cs="Arial" w:eastAsia="Arial" w:hAnsi="Arial"/>
          <w:sz w:val="18"/>
          <w:szCs w:val="18"/>
          <w:color w:val="auto"/>
        </w:rPr>
      </w:pPr>
    </w:p>
    <w:p>
      <w:pPr>
        <w:jc w:val="both"/>
        <w:ind w:left="1480" w:firstLine="531"/>
        <w:spacing w:after="0" w:line="262" w:lineRule="auto"/>
        <w:tabs>
          <w:tab w:leader="none" w:pos="237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(A) any Guarantee by the Borrower or a Restricted Subsidiary of the Borrower of Indebtedness or other obligations of any Restricted Subsidiary of the Borrower so long as the Incurrence of such Indebtedness incurred by such Restricted Subsidiary is permitted under the terms of this Agreement; or (B) any Guarantee by a Restricted Subsidiary of Indebtedness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Guarantee is Incurred in accordance with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jc w:val="both"/>
        <w:ind w:left="1480" w:firstLine="480"/>
        <w:spacing w:after="0" w:line="258" w:lineRule="auto"/>
        <w:tabs>
          <w:tab w:leader="none" w:pos="237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Indebtedness Incurred by Foreign Subsidiaries in an aggregate principal amount, not to exceed at any time outstanding (together with any Refinancing Indebtedness in respect thereof) the greater of (x) $15,000,000 and (y) 12.5% of LTM CEBITDA (calculated at the time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Indebtedness Incurred or Disqualified Stock or Preferred Stock issued pursuant to </w:t>
      </w:r>
      <w:r>
        <w:rPr>
          <w:rFonts w:ascii="Arial" w:cs="Arial" w:eastAsia="Arial" w:hAnsi="Arial"/>
          <w:sz w:val="17"/>
          <w:szCs w:val="17"/>
          <w:u w:val="single" w:color="auto"/>
          <w:color w:val="auto"/>
        </w:rPr>
        <w:t>Sections 9.4(b)(vi)</w:t>
      </w:r>
      <w:r>
        <w:rPr>
          <w:rFonts w:ascii="Arial" w:cs="Arial" w:eastAsia="Arial" w:hAnsi="Arial"/>
          <w:sz w:val="17"/>
          <w:szCs w:val="17"/>
          <w:color w:val="auto"/>
        </w:rPr>
        <w:t xml:space="preserve"> (solely to the extent Incurred or issued by Restricted Subsidiaries that are not Loan Parties), </w:t>
      </w:r>
      <w:r>
        <w:rPr>
          <w:rFonts w:ascii="Arial" w:cs="Arial" w:eastAsia="Arial" w:hAnsi="Arial"/>
          <w:sz w:val="17"/>
          <w:szCs w:val="17"/>
          <w:u w:val="single" w:color="auto"/>
          <w:color w:val="auto"/>
        </w:rPr>
        <w:t>9.4(b)(v)</w:t>
      </w:r>
      <w:r>
        <w:rPr>
          <w:rFonts w:ascii="Arial" w:cs="Arial" w:eastAsia="Arial" w:hAnsi="Arial"/>
          <w:sz w:val="17"/>
          <w:szCs w:val="17"/>
          <w:color w:val="auto"/>
        </w:rPr>
        <w:t xml:space="preserve">, </w:t>
      </w:r>
      <w:r>
        <w:rPr>
          <w:rFonts w:ascii="Arial" w:cs="Arial" w:eastAsia="Arial" w:hAnsi="Arial"/>
          <w:sz w:val="17"/>
          <w:szCs w:val="17"/>
          <w:u w:val="single" w:color="auto"/>
          <w:color w:val="auto"/>
        </w:rPr>
        <w:t>9.4(b)(xxi)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9.4(b)(xxii)</w:t>
      </w:r>
      <w:r>
        <w:rPr>
          <w:rFonts w:ascii="Arial" w:cs="Arial" w:eastAsia="Arial" w:hAnsi="Arial"/>
          <w:sz w:val="17"/>
          <w:szCs w:val="17"/>
          <w:color w:val="auto"/>
        </w:rPr>
        <w:t>)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338455</wp:posOffset>
            </wp:positionV>
            <wp:extent cx="326390" cy="182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700"/>
          </w:cols>
          <w:pgMar w:left="360" w:top="1326" w:right="839" w:bottom="1440" w:gutter="0" w:footer="0" w:header="0"/>
        </w:sectPr>
      </w:pPr>
    </w:p>
    <w:bookmarkStart w:id="229" w:name="page230"/>
    <w:bookmarkEnd w:id="229"/>
    <w:p>
      <w:pPr>
        <w:ind w:left="1480" w:right="380"/>
        <w:spacing w:after="0" w:line="263" w:lineRule="auto"/>
        <w:rPr>
          <w:sz w:val="20"/>
          <w:szCs w:val="20"/>
          <w:color w:val="auto"/>
        </w:rPr>
      </w:pPr>
      <w:r>
        <w:rPr>
          <w:rFonts w:ascii="Arial" w:cs="Arial" w:eastAsia="Arial" w:hAnsi="Arial"/>
          <w:sz w:val="18"/>
          <w:szCs w:val="18"/>
          <w:color w:val="auto"/>
        </w:rPr>
        <w:t>Refinancing Indebtedness in respect thereof)) shall not exceed the greater of $35,000,000 and 30.0% of LTM CEBITDA (calculated at the time of determination;</w:t>
      </w:r>
    </w:p>
    <w:p>
      <w:pPr>
        <w:spacing w:after="0" w:line="186" w:lineRule="exact"/>
        <w:rPr>
          <w:sz w:val="20"/>
          <w:szCs w:val="20"/>
          <w:color w:val="auto"/>
        </w:rPr>
      </w:pPr>
    </w:p>
    <w:p>
      <w:pPr>
        <w:jc w:val="both"/>
        <w:ind w:left="1480" w:right="20" w:firstLine="428"/>
        <w:spacing w:after="0" w:line="238" w:lineRule="auto"/>
        <w:tabs>
          <w:tab w:leader="none" w:pos="23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Indebtedness Incurred by Restricted Subsidiaries that are not Loan Parties in an aggregate principal amount, not to exceed at any time outstanding (together with any Refinancing Indebtedness in respect thereof) the greater of (x) $15,000,000 and (y) 12.5% of LTM CEBITDA (calculated at the time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Indebtedness Incurred or Disqualified Stock or Preferred Stock issued pursuant to </w:t>
      </w:r>
      <w:r>
        <w:rPr>
          <w:rFonts w:ascii="Arial" w:cs="Arial" w:eastAsia="Arial" w:hAnsi="Arial"/>
          <w:sz w:val="18"/>
          <w:szCs w:val="18"/>
          <w:u w:val="single" w:color="auto"/>
          <w:color w:val="auto"/>
        </w:rPr>
        <w:t>Sections 9.4(b)(vi)</w:t>
      </w:r>
      <w:r>
        <w:rPr>
          <w:rFonts w:ascii="Arial" w:cs="Arial" w:eastAsia="Arial" w:hAnsi="Arial"/>
          <w:sz w:val="18"/>
          <w:szCs w:val="18"/>
          <w:color w:val="auto"/>
        </w:rPr>
        <w:t xml:space="preserve"> (solely to the extent Incurred or issued by Restricted Subsidiaries that are not Loan Parties), </w:t>
      </w:r>
      <w:r>
        <w:rPr>
          <w:rFonts w:ascii="Arial" w:cs="Arial" w:eastAsia="Arial" w:hAnsi="Arial"/>
          <w:sz w:val="18"/>
          <w:szCs w:val="18"/>
          <w:u w:val="single" w:color="auto"/>
          <w:color w:val="auto"/>
        </w:rPr>
        <w:t>9.4(b)(v)</w:t>
      </w:r>
      <w:r>
        <w:rPr>
          <w:rFonts w:ascii="Arial" w:cs="Arial" w:eastAsia="Arial" w:hAnsi="Arial"/>
          <w:sz w:val="18"/>
          <w:szCs w:val="18"/>
          <w:color w:val="auto"/>
        </w:rPr>
        <w:t xml:space="preserve">, </w:t>
      </w:r>
      <w:r>
        <w:rPr>
          <w:rFonts w:ascii="Arial" w:cs="Arial" w:eastAsia="Arial" w:hAnsi="Arial"/>
          <w:sz w:val="18"/>
          <w:szCs w:val="18"/>
          <w:u w:val="single" w:color="auto"/>
          <w:color w:val="auto"/>
        </w:rPr>
        <w:t>9.4(b)(xxi)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9.4(b)(xxii)</w:t>
      </w:r>
      <w:r>
        <w:rPr>
          <w:rFonts w:ascii="Arial" w:cs="Arial" w:eastAsia="Arial" w:hAnsi="Arial"/>
          <w:sz w:val="18"/>
          <w:szCs w:val="18"/>
          <w:color w:val="auto"/>
        </w:rPr>
        <w:t>) (and any Refinancing Indebtedness in respect thereof)) shall not exceed the greater of $35,000,000 and 30.0% of LTM CEBITDA (calculated at the time of determination;</w:t>
      </w:r>
    </w:p>
    <w:p>
      <w:pPr>
        <w:spacing w:after="0" w:line="193" w:lineRule="exact"/>
        <w:rPr>
          <w:rFonts w:ascii="Arial" w:cs="Arial" w:eastAsia="Arial" w:hAnsi="Arial"/>
          <w:sz w:val="18"/>
          <w:szCs w:val="18"/>
          <w:color w:val="auto"/>
        </w:rPr>
      </w:pPr>
    </w:p>
    <w:p>
      <w:pPr>
        <w:jc w:val="both"/>
        <w:ind w:left="1480" w:firstLine="377"/>
        <w:spacing w:after="0" w:line="237" w:lineRule="auto"/>
        <w:tabs>
          <w:tab w:leader="none" w:pos="23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Indebtedness of the Borrower or any of its Restricted Subsidiaries consisting of (w) the financing of insurance premiums, (x) take-or-pay obligations contained in supply arrangements, in each case, incurred in the ordinary course of business, and any Refinancings thereof, (y) customer deposits and advance payments received in the ordinary course of business from customers for goods and services, in each case incurred in the ordinary course of business or (z) obligations to pay the deferred purchase price of goods or services or progress payments in connection with such goods and services so long as such obligations are incurred in connection with open accounts extended by suppliers on customary trade terms (which require that all such payments be made within sixty (60) days after the Incurrence of the related obligations) in the ordinary course of business;</w:t>
      </w:r>
    </w:p>
    <w:p>
      <w:pPr>
        <w:spacing w:after="0" w:line="208" w:lineRule="exact"/>
        <w:rPr>
          <w:rFonts w:ascii="Arial" w:cs="Arial" w:eastAsia="Arial" w:hAnsi="Arial"/>
          <w:sz w:val="18"/>
          <w:szCs w:val="18"/>
          <w:color w:val="auto"/>
        </w:rPr>
      </w:pPr>
    </w:p>
    <w:p>
      <w:pPr>
        <w:ind w:left="1480" w:right="20" w:firstLine="388"/>
        <w:spacing w:after="0" w:line="263" w:lineRule="auto"/>
        <w:tabs>
          <w:tab w:leader="none" w:pos="23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so long as no Significant Event of Default shall have occurred and be continuing, Indebtedness, together with any Refinancing Indebtedness thereof, in an amount not to exceed the Available Amount;</w:t>
      </w:r>
    </w:p>
    <w:p>
      <w:pPr>
        <w:spacing w:after="0" w:line="185" w:lineRule="exact"/>
        <w:rPr>
          <w:rFonts w:ascii="Arial" w:cs="Arial" w:eastAsia="Arial" w:hAnsi="Arial"/>
          <w:sz w:val="18"/>
          <w:szCs w:val="18"/>
          <w:color w:val="auto"/>
        </w:rPr>
      </w:pPr>
    </w:p>
    <w:p>
      <w:pPr>
        <w:jc w:val="both"/>
        <w:ind w:left="1480" w:right="20" w:firstLine="439"/>
        <w:spacing w:after="0" w:line="249" w:lineRule="auto"/>
        <w:tabs>
          <w:tab w:leader="none" w:pos="237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of its Restricted Subsidiaries, which, when aggregated with all other Indebtedness then outstanding that was incurred pursuant to this clause (b)(xxv) (and together with any Refinancing Indebtedness thereof) does not exceed an amount equal to 100.0% of the Net Cash Proceeds received by the Borrower since immediately after the Closing Date from the issue or sale of its Equity Interests or from contributions to the capital of the Borrower (other than proceeds from Disqualified Stock or Specified Equity Contributions, from sales to any Restricted Subsidiary, or that have been applied to make Restricted Payments pursuant to </w:t>
      </w:r>
      <w:r>
        <w:rPr>
          <w:rFonts w:ascii="Arial" w:cs="Arial" w:eastAsia="Arial" w:hAnsi="Arial"/>
          <w:sz w:val="17"/>
          <w:szCs w:val="17"/>
          <w:u w:val="single" w:color="auto"/>
          <w:color w:val="auto"/>
        </w:rPr>
        <w:t>Section</w:t>
      </w:r>
    </w:p>
    <w:p>
      <w:pPr>
        <w:spacing w:after="0" w:line="2" w:lineRule="exact"/>
        <w:rPr>
          <w:rFonts w:ascii="Arial" w:cs="Arial" w:eastAsia="Arial" w:hAnsi="Arial"/>
          <w:sz w:val="17"/>
          <w:szCs w:val="17"/>
          <w:color w:val="auto"/>
        </w:rPr>
      </w:pPr>
    </w:p>
    <w:p>
      <w:pPr>
        <w:ind w:left="1480"/>
        <w:spacing w:after="0"/>
        <w:rPr>
          <w:rFonts w:ascii="Arial" w:cs="Arial" w:eastAsia="Arial" w:hAnsi="Arial"/>
          <w:sz w:val="17"/>
          <w:szCs w:val="17"/>
          <w:color w:val="auto"/>
        </w:rPr>
      </w:pPr>
      <w:r>
        <w:rPr>
          <w:rFonts w:ascii="Arial" w:cs="Arial" w:eastAsia="Arial" w:hAnsi="Arial"/>
          <w:sz w:val="18"/>
          <w:szCs w:val="18"/>
          <w:u w:val="single" w:color="auto"/>
          <w:color w:val="auto"/>
        </w:rPr>
        <w:t>9.2</w:t>
      </w:r>
      <w:r>
        <w:rPr>
          <w:rFonts w:ascii="Arial" w:cs="Arial" w:eastAsia="Arial" w:hAnsi="Arial"/>
          <w:sz w:val="18"/>
          <w:szCs w:val="18"/>
          <w:color w:val="auto"/>
        </w:rPr>
        <w:t xml:space="preserve"> or to make Permitted Investments, pursuant to the definition hereof);</w:t>
      </w:r>
    </w:p>
    <w:p>
      <w:pPr>
        <w:spacing w:after="0" w:line="278" w:lineRule="exact"/>
        <w:rPr>
          <w:rFonts w:ascii="Arial" w:cs="Arial" w:eastAsia="Arial" w:hAnsi="Arial"/>
          <w:sz w:val="17"/>
          <w:szCs w:val="17"/>
          <w:color w:val="auto"/>
        </w:rPr>
      </w:pPr>
    </w:p>
    <w:p>
      <w:pPr>
        <w:jc w:val="both"/>
        <w:ind w:left="1480" w:right="20" w:firstLine="387"/>
        <w:spacing w:after="0" w:line="248" w:lineRule="auto"/>
        <w:tabs>
          <w:tab w:leader="none" w:pos="23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98" w:lineRule="exact"/>
        <w:rPr>
          <w:rFonts w:ascii="Arial" w:cs="Arial" w:eastAsia="Arial" w:hAnsi="Arial"/>
          <w:sz w:val="18"/>
          <w:szCs w:val="18"/>
          <w:color w:val="auto"/>
        </w:rPr>
      </w:pPr>
    </w:p>
    <w:p>
      <w:pPr>
        <w:jc w:val="both"/>
        <w:ind w:left="1480" w:right="20" w:firstLine="336"/>
        <w:spacing w:after="0" w:line="326" w:lineRule="auto"/>
        <w:tabs>
          <w:tab w:leader="none" w:pos="23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Indebtedness consisting of obligations under deferred compensation, purchase price, earn outs or other similar arrangements incurred by such Person in connection with Permitted Acquisitions and other Investments permitted hereunder;</w:t>
      </w:r>
    </w:p>
    <w:p>
      <w:pPr>
        <w:spacing w:after="0" w:line="139" w:lineRule="exact"/>
        <w:rPr>
          <w:rFonts w:ascii="Arial" w:cs="Arial" w:eastAsia="Arial" w:hAnsi="Arial"/>
          <w:sz w:val="16"/>
          <w:szCs w:val="16"/>
          <w:color w:val="auto"/>
        </w:rPr>
      </w:pPr>
    </w:p>
    <w:p>
      <w:pPr>
        <w:jc w:val="both"/>
        <w:ind w:left="1480" w:right="20" w:firstLine="286"/>
        <w:spacing w:after="0" w:line="283" w:lineRule="auto"/>
        <w:tabs>
          <w:tab w:leader="none" w:pos="23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Indebtedness issued by the Borrower or any of its Restricted Subsidiaries (A) to any future, present or former employees, officers, directors, managers or consultants thereof, their respective estates or the beneficiaries of their respective estates, heirs, or their respective spouses or former spouses to finance the purchase or redemption of Capital Stock of the Borrower (or any direct or indirect parent thereof) permitted by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(B) as a result of the inability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327660</wp:posOffset>
            </wp:positionV>
            <wp:extent cx="326390" cy="182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720"/>
          </w:cols>
          <w:pgMar w:left="360" w:top="1327" w:right="819" w:bottom="1440" w:gutter="0" w:footer="0" w:header="0"/>
        </w:sectPr>
      </w:pPr>
    </w:p>
    <w:bookmarkStart w:id="230" w:name="page231"/>
    <w:bookmarkEnd w:id="230"/>
    <w:p>
      <w:pPr>
        <w:jc w:val="right"/>
        <w:ind w:right="1099"/>
        <w:spacing w:after="0"/>
        <w:rPr>
          <w:sz w:val="20"/>
          <w:szCs w:val="20"/>
          <w:color w:val="auto"/>
        </w:rPr>
      </w:pPr>
      <w:r>
        <w:rPr>
          <w:rFonts w:ascii="Arial" w:cs="Arial" w:eastAsia="Arial" w:hAnsi="Arial"/>
          <w:sz w:val="18"/>
          <w:szCs w:val="18"/>
          <w:color w:val="auto"/>
        </w:rPr>
        <w:t xml:space="preserve">Borrower to purchase or redeem its Capital Stock as a result of the restrictions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099"/>
          </w:cols>
          <w:pgMar w:left="360" w:top="1264" w:right="1440" w:bottom="1440" w:gutter="0" w:footer="0" w:header="0"/>
        </w:sectPr>
      </w:pPr>
    </w:p>
    <w:bookmarkStart w:id="231" w:name="page232"/>
    <w:bookmarkEnd w:id="231"/>
    <w:p>
      <w:pPr>
        <w:jc w:val="both"/>
        <w:ind w:left="1480" w:right="20" w:firstLine="387"/>
        <w:spacing w:after="0" w:line="248"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guarantees (a) by the Borrower and its Restricted Subsidiaries in the ordinary course of business in respect of obligations of (or to) suppliers, customers, franchisees, lessors and licensees or (b) otherwise constituting Investments permitted under this Agreement;</w:t>
      </w:r>
    </w:p>
    <w:p>
      <w:pPr>
        <w:spacing w:after="0" w:line="198" w:lineRule="exact"/>
        <w:rPr>
          <w:rFonts w:ascii="Arial" w:cs="Arial" w:eastAsia="Arial" w:hAnsi="Arial"/>
          <w:sz w:val="18"/>
          <w:szCs w:val="18"/>
          <w:color w:val="auto"/>
        </w:rPr>
      </w:pPr>
    </w:p>
    <w:p>
      <w:pPr>
        <w:ind w:left="1480" w:right="20" w:firstLine="438"/>
        <w:spacing w:after="0" w:line="263"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Borrower (or any direct or indirect parent of the Borrower) and its Restricted Subsidiaries incurred in the ordinary course of business;</w:t>
      </w:r>
    </w:p>
    <w:p>
      <w:pPr>
        <w:spacing w:after="0" w:line="173" w:lineRule="exact"/>
        <w:rPr>
          <w:rFonts w:ascii="Arial" w:cs="Arial" w:eastAsia="Arial" w:hAnsi="Arial"/>
          <w:sz w:val="18"/>
          <w:szCs w:val="18"/>
          <w:color w:val="auto"/>
        </w:rPr>
      </w:pPr>
    </w:p>
    <w:p>
      <w:pPr>
        <w:ind w:left="1480" w:right="20" w:firstLine="387"/>
        <w:spacing w:after="0" w:line="263"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Indebtedness of the Borrower or any of its Restricted Subsidiaries supported by a letter of credit or bank guarantee in a principal amount not in excess of the Stated Amount of such letter of credit or bank guarantee; and</w:t>
      </w:r>
    </w:p>
    <w:p>
      <w:pPr>
        <w:spacing w:after="0" w:line="185" w:lineRule="exact"/>
        <w:rPr>
          <w:rFonts w:ascii="Arial" w:cs="Arial" w:eastAsia="Arial" w:hAnsi="Arial"/>
          <w:sz w:val="18"/>
          <w:szCs w:val="18"/>
          <w:color w:val="auto"/>
        </w:rPr>
      </w:pPr>
    </w:p>
    <w:p>
      <w:pPr>
        <w:jc w:val="both"/>
        <w:ind w:left="1480" w:right="20" w:firstLine="336"/>
        <w:spacing w:after="0" w:line="242"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Indebtedness owed on a short-term basis of no longer than thirty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spacing w:after="0" w:line="205" w:lineRule="exact"/>
        <w:rPr>
          <w:rFonts w:ascii="Arial" w:cs="Arial" w:eastAsia="Arial" w:hAnsi="Arial"/>
          <w:sz w:val="18"/>
          <w:szCs w:val="18"/>
          <w:color w:val="auto"/>
        </w:rPr>
      </w:pPr>
    </w:p>
    <w:p>
      <w:pPr>
        <w:ind w:left="1480" w:right="20" w:firstLine="285"/>
        <w:spacing w:after="0" w:line="263"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Indebtedness consisting of obligations owing under any customer or supplier incentive, supply, license or similar agreements entered into in the ordinary course of business;</w:t>
      </w:r>
    </w:p>
    <w:p>
      <w:pPr>
        <w:spacing w:after="0" w:line="173" w:lineRule="exact"/>
        <w:rPr>
          <w:rFonts w:ascii="Arial" w:cs="Arial" w:eastAsia="Arial" w:hAnsi="Arial"/>
          <w:sz w:val="18"/>
          <w:szCs w:val="18"/>
          <w:color w:val="auto"/>
        </w:rPr>
      </w:pPr>
    </w:p>
    <w:p>
      <w:pPr>
        <w:ind w:left="1480" w:right="20" w:firstLine="295"/>
        <w:spacing w:after="0" w:line="263"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Indebtedness in respect of any letter of credit or bank guarantee issued in favor of any Issuing Lender to support any Defaulting Lender’s participation in Letters of Credit issued hereunder;</w:t>
      </w:r>
    </w:p>
    <w:p>
      <w:pPr>
        <w:spacing w:after="0" w:line="185" w:lineRule="exact"/>
        <w:rPr>
          <w:rFonts w:ascii="Arial" w:cs="Arial" w:eastAsia="Arial" w:hAnsi="Arial"/>
          <w:sz w:val="18"/>
          <w:szCs w:val="18"/>
          <w:color w:val="auto"/>
        </w:rPr>
      </w:pPr>
    </w:p>
    <w:p>
      <w:pPr>
        <w:ind w:left="1480" w:right="20" w:firstLine="346"/>
        <w:spacing w:after="0" w:line="263"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Indebtedness arising as a result of the re-characterization as a loan of any securitization or similar transaction permitted under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1480" w:right="20" w:firstLine="295"/>
        <w:spacing w:after="0" w:line="248" w:lineRule="auto"/>
        <w:tabs>
          <w:tab w:leader="none" w:pos="237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unfunded pension fund and other employee benefit plan obligations and liabilities incurred in the ordinary course of business to the extent that the unfunded amounts are permitted to remain unfunded under applicable Law and would not otherwise cause an Event of Default under </w:t>
      </w:r>
      <w:r>
        <w:rPr>
          <w:rFonts w:ascii="Arial" w:cs="Arial" w:eastAsia="Arial" w:hAnsi="Arial"/>
          <w:sz w:val="18"/>
          <w:szCs w:val="18"/>
          <w:u w:val="single" w:color="auto"/>
          <w:color w:val="auto"/>
        </w:rPr>
        <w:t>Section 11.1(g)</w:t>
      </w:r>
      <w:r>
        <w:rPr>
          <w:rFonts w:ascii="Arial" w:cs="Arial" w:eastAsia="Arial" w:hAnsi="Arial"/>
          <w:sz w:val="18"/>
          <w:szCs w:val="18"/>
          <w:color w:val="auto"/>
        </w:rPr>
        <w:t>; and</w:t>
      </w:r>
    </w:p>
    <w:p>
      <w:pPr>
        <w:spacing w:after="0" w:line="261" w:lineRule="exact"/>
        <w:rPr>
          <w:rFonts w:ascii="Arial" w:cs="Arial" w:eastAsia="Arial" w:hAnsi="Arial"/>
          <w:sz w:val="18"/>
          <w:szCs w:val="18"/>
          <w:color w:val="auto"/>
        </w:rPr>
      </w:pPr>
    </w:p>
    <w:p>
      <w:pPr>
        <w:ind w:left="1480" w:right="660" w:firstLine="244"/>
        <w:spacing w:after="0" w:line="263" w:lineRule="auto"/>
        <w:tabs>
          <w:tab w:leader="none" w:pos="2371"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all premiums (if any), interest (including post-petition interest), fees, expenses, charges and additional or contingent interest on obligations described in this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960" w:right="20" w:firstLine="604"/>
        <w:spacing w:after="0" w:line="258" w:lineRule="auto"/>
        <w:tabs>
          <w:tab w:leader="none" w:pos="235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reborrowings of amounts previously repaid pursuant to “cash sweep” provisions or any similar provisions in respect of any Indebtedness that provide that Indebtedness is deemed to be repaid daily (or otherwise periodically) shall only be deemed for purposes of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to have been Incurred on the date such Indebtedness was first Incurred and not on the date of any subsequent reborrowing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repaid amounts shall continue to be considered outstanding for all purposes under this Agreement.</w:t>
      </w:r>
    </w:p>
    <w:p>
      <w:pPr>
        <w:spacing w:after="0" w:line="190" w:lineRule="exact"/>
        <w:rPr>
          <w:rFonts w:ascii="Arial" w:cs="Arial" w:eastAsia="Arial" w:hAnsi="Arial"/>
          <w:sz w:val="17"/>
          <w:szCs w:val="17"/>
          <w:color w:val="auto"/>
        </w:rPr>
      </w:pPr>
    </w:p>
    <w:p>
      <w:pPr>
        <w:jc w:val="both"/>
        <w:ind w:left="960" w:firstLine="605"/>
        <w:spacing w:after="0" w:line="238" w:lineRule="auto"/>
        <w:tabs>
          <w:tab w:leader="none" w:pos="235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as applicable, the accretion of liquidation preference and increases in the amount of Indebtedness outstanding solely as a result of fluctuations in the exchange rate of currencies will not be deemed to be an incurrence of Indebtedness, Disqualified Stock or Preferred Stock for purposes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Guarantees of, or obligations in respect of letters of credit relating to, Indebtedness that are otherwise included in the determination of a particular amount of Indebtedness shall not be included in the determination of such amount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720"/>
          </w:cols>
          <w:pgMar w:left="360" w:top="1326" w:right="819" w:bottom="1440" w:gutter="0" w:footer="0" w:header="0"/>
        </w:sectPr>
      </w:pPr>
    </w:p>
    <w:bookmarkStart w:id="232" w:name="page233"/>
    <w:bookmarkEnd w:id="232"/>
    <w:p>
      <w:pPr>
        <w:ind w:left="960"/>
        <w:spacing w:after="0"/>
        <w:rPr>
          <w:sz w:val="20"/>
          <w:szCs w:val="20"/>
          <w:color w:val="auto"/>
        </w:rPr>
      </w:pPr>
      <w:r>
        <w:rPr>
          <w:rFonts w:ascii="Arial" w:cs="Arial" w:eastAsia="Arial" w:hAnsi="Arial"/>
          <w:sz w:val="17"/>
          <w:szCs w:val="17"/>
          <w:color w:val="auto"/>
        </w:rPr>
        <w:t xml:space="preserve">the Indebtedness represented by such guarantee or letter of credit, as the case may be, was in compliance with this </w:t>
      </w:r>
      <w:r>
        <w:rPr>
          <w:rFonts w:ascii="Arial" w:cs="Arial" w:eastAsia="Arial" w:hAnsi="Arial"/>
          <w:sz w:val="17"/>
          <w:szCs w:val="17"/>
          <w:u w:val="single" w:color="auto"/>
          <w:color w:val="auto"/>
        </w:rPr>
        <w:t>Section 9.4</w:t>
      </w:r>
      <w:r>
        <w:rPr>
          <w:rFonts w:ascii="Arial" w:cs="Arial" w:eastAsia="Arial" w:hAnsi="Arial"/>
          <w:sz w:val="17"/>
          <w:szCs w:val="17"/>
          <w:color w:val="auto"/>
        </w:rPr>
        <w:t>.</w:t>
      </w:r>
    </w:p>
    <w:p>
      <w:pPr>
        <w:spacing w:after="0" w:line="30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95" w:lineRule="exact"/>
        <w:rPr>
          <w:sz w:val="20"/>
          <w:szCs w:val="20"/>
          <w:color w:val="auto"/>
        </w:rPr>
      </w:pPr>
    </w:p>
    <w:p>
      <w:pPr>
        <w:ind w:left="960" w:right="180" w:firstLine="604"/>
        <w:spacing w:after="0" w:line="263" w:lineRule="auto"/>
        <w:tabs>
          <w:tab w:leader="none" w:pos="23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 shall not, and shall not permit any of its Restricted Subsidiaries to, cause, make or suffer to exist an Asset Sale, unless:</w:t>
      </w:r>
    </w:p>
    <w:p>
      <w:pPr>
        <w:spacing w:after="0" w:line="185" w:lineRule="exact"/>
        <w:rPr>
          <w:rFonts w:ascii="Arial" w:cs="Arial" w:eastAsia="Arial" w:hAnsi="Arial"/>
          <w:sz w:val="18"/>
          <w:szCs w:val="18"/>
          <w:color w:val="auto"/>
        </w:rPr>
      </w:pPr>
    </w:p>
    <w:p>
      <w:pPr>
        <w:jc w:val="both"/>
        <w:ind w:left="1480" w:firstLine="664"/>
        <w:spacing w:after="0" w:line="248" w:lineRule="auto"/>
        <w:tabs>
          <w:tab w:leader="none" w:pos="237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Borrower or such Restricted Subsidiary, as the case may be, receives consideration at the time of such Asset Sale at least equal to the fair market value (as determined by the Borrower in good faith) of the assets or Equity Interests issued or sold or otherwise disposed of;</w:t>
      </w:r>
    </w:p>
    <w:p>
      <w:pPr>
        <w:spacing w:after="0" w:line="185" w:lineRule="exact"/>
        <w:rPr>
          <w:rFonts w:ascii="Arial" w:cs="Arial" w:eastAsia="Arial" w:hAnsi="Arial"/>
          <w:sz w:val="18"/>
          <w:szCs w:val="18"/>
          <w:color w:val="auto"/>
        </w:rPr>
      </w:pPr>
    </w:p>
    <w:p>
      <w:pPr>
        <w:ind w:left="1480" w:firstLine="613"/>
        <w:spacing w:after="0" w:line="263" w:lineRule="auto"/>
        <w:tabs>
          <w:tab w:leader="none" w:pos="237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except in the case of a Permitted Non-Core Asset Sale, immediately before and after giving effect to such Asset Sale, no Significant Event of Default has occurred and is continuing or would result therefrom;</w:t>
      </w:r>
    </w:p>
    <w:p>
      <w:pPr>
        <w:spacing w:after="0" w:line="185" w:lineRule="exact"/>
        <w:rPr>
          <w:rFonts w:ascii="Arial" w:cs="Arial" w:eastAsia="Arial" w:hAnsi="Arial"/>
          <w:sz w:val="18"/>
          <w:szCs w:val="18"/>
          <w:color w:val="auto"/>
        </w:rPr>
      </w:pPr>
    </w:p>
    <w:p>
      <w:pPr>
        <w:jc w:val="both"/>
        <w:ind w:left="1480" w:firstLine="561"/>
        <w:spacing w:after="0" w:line="242" w:lineRule="auto"/>
        <w:tabs>
          <w:tab w:leader="none" w:pos="237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or Permitted Non-Core Asset Sale, at least 75.0% of the consideration therefor received by the Borrower or such Restricted Subsidiary, as the case may be, is in the form of (x) cash or Cash Equivalents, (y) Replacement Assets or (z) any combination of the consideration specified in clauses (x) and (y);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281" w:lineRule="exact"/>
        <w:rPr>
          <w:rFonts w:ascii="Arial" w:cs="Arial" w:eastAsia="Arial" w:hAnsi="Arial"/>
          <w:sz w:val="18"/>
          <w:szCs w:val="18"/>
          <w:color w:val="auto"/>
        </w:rPr>
      </w:pPr>
    </w:p>
    <w:p>
      <w:pPr>
        <w:jc w:val="both"/>
        <w:ind w:left="2160" w:firstLine="1797"/>
        <w:spacing w:after="0" w:line="294" w:lineRule="auto"/>
        <w:tabs>
          <w:tab w:leader="none" w:pos="4758" w:val="left"/>
        </w:tabs>
        <w:numPr>
          <w:ilvl w:val="2"/>
          <w:numId w:val="248"/>
        </w:numPr>
        <w:rPr>
          <w:rFonts w:ascii="Arial" w:cs="Arial" w:eastAsia="Arial" w:hAnsi="Arial"/>
          <w:sz w:val="16"/>
          <w:szCs w:val="16"/>
          <w:color w:val="auto"/>
        </w:rPr>
      </w:pPr>
      <w:r>
        <w:rPr>
          <w:rFonts w:ascii="Arial" w:cs="Arial" w:eastAsia="Arial" w:hAnsi="Arial"/>
          <w:sz w:val="16"/>
          <w:szCs w:val="16"/>
          <w:color w:val="auto"/>
        </w:rPr>
        <w:t>any liabilities (as shown on the Borrower’s or such Restricted Subsidiary’s most recent balance sheet or in the footnotes thereto) of the Borrower or such Restricted Subsidiary, other than liabilities that are by their terms subordinated to the Obligations and that are assumed by the transferee of any such assets;</w:t>
      </w:r>
    </w:p>
    <w:p>
      <w:pPr>
        <w:spacing w:after="0" w:line="151" w:lineRule="exact"/>
        <w:rPr>
          <w:rFonts w:ascii="Arial" w:cs="Arial" w:eastAsia="Arial" w:hAnsi="Arial"/>
          <w:sz w:val="16"/>
          <w:szCs w:val="16"/>
          <w:color w:val="auto"/>
        </w:rPr>
      </w:pPr>
    </w:p>
    <w:p>
      <w:pPr>
        <w:jc w:val="both"/>
        <w:ind w:left="2160" w:firstLine="1812"/>
        <w:spacing w:after="0" w:line="242" w:lineRule="auto"/>
        <w:tabs>
          <w:tab w:leader="none" w:pos="4762" w:val="left"/>
        </w:tabs>
        <w:numPr>
          <w:ilvl w:val="2"/>
          <w:numId w:val="248"/>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Borrower or such Restricted Subsidiary from such transferee that are converted by the Borrower or such Restricted Subsidiary into cash or Cash Equivalents (to the extent of the cash or Cash Equivalents received) within one hundred eighty (180) days following the closing of such Asset Sale; and</w:t>
      </w:r>
    </w:p>
    <w:p>
      <w:pPr>
        <w:spacing w:after="0" w:line="205" w:lineRule="exact"/>
        <w:rPr>
          <w:rFonts w:ascii="Arial" w:cs="Arial" w:eastAsia="Arial" w:hAnsi="Arial"/>
          <w:sz w:val="18"/>
          <w:szCs w:val="18"/>
          <w:color w:val="auto"/>
        </w:rPr>
      </w:pPr>
    </w:p>
    <w:p>
      <w:pPr>
        <w:jc w:val="both"/>
        <w:ind w:left="2160" w:firstLine="1812"/>
        <w:spacing w:after="0" w:line="255" w:lineRule="auto"/>
        <w:tabs>
          <w:tab w:leader="none" w:pos="4762" w:val="left"/>
        </w:tabs>
        <w:numPr>
          <w:ilvl w:val="2"/>
          <w:numId w:val="248"/>
        </w:numPr>
        <w:rPr>
          <w:rFonts w:ascii="Arial" w:cs="Arial" w:eastAsia="Arial" w:hAnsi="Arial"/>
          <w:sz w:val="17"/>
          <w:szCs w:val="17"/>
          <w:color w:val="auto"/>
        </w:rPr>
      </w:pPr>
      <w:r>
        <w:rPr>
          <w:rFonts w:ascii="Arial" w:cs="Arial" w:eastAsia="Arial" w:hAnsi="Arial"/>
          <w:sz w:val="17"/>
          <w:szCs w:val="17"/>
          <w:color w:val="auto"/>
        </w:rPr>
        <w:t>any Designated Non-Cash Consideration received by the Borrower or any of its Restricted Subsidiaries in such Asset Sale having an aggregate fair market value, taken together with all other Designated Non-Cash Consideration received since the date of this Agreement pursuant to this clause (iii) that is at that time outstanding, not to exceed the greater of (x) $10,000,000 and (y) 10.0% of LTM CEBITDA (calculated at the time of determination) (with the fair market value of each item of Designated Non- Cash Consideration being measured at the time received and without giving effect to subsequent changes in value);</w:t>
      </w:r>
    </w:p>
    <w:p>
      <w:pPr>
        <w:spacing w:after="0" w:line="19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shall be deemed to be cash or Cash Equivalents for purposes of this provision and for no other purpose; and</w:t>
      </w:r>
    </w:p>
    <w:p>
      <w:pPr>
        <w:spacing w:after="0" w:line="219" w:lineRule="exact"/>
        <w:rPr>
          <w:sz w:val="20"/>
          <w:szCs w:val="20"/>
          <w:color w:val="auto"/>
        </w:rPr>
      </w:pPr>
    </w:p>
    <w:p>
      <w:pPr>
        <w:jc w:val="both"/>
        <w:ind w:left="1560" w:firstLine="606"/>
        <w:spacing w:after="0" w:line="283" w:lineRule="auto"/>
        <w:tabs>
          <w:tab w:leader="none" w:pos="2953"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the limitations set forth in clause (a) above shall not apply to any Asset Sale that does not exceed the greater of $15,000,000 and 12.5% of LTM CEBITDA (calculated at the time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Asset Sales, taken together with all other Asset Sales made pursuant to this clause (b), shall not exceed the greater of $25,000,000 and 22.5% of LTM CEBITDA (calculated at the time of determination) in any fiscal year.</w:t>
      </w:r>
    </w:p>
    <w:p>
      <w:pPr>
        <w:spacing w:after="0" w:line="17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700"/>
          </w:cols>
          <w:pgMar w:left="360" w:top="1327" w:right="839" w:bottom="1440" w:gutter="0" w:footer="0" w:header="0"/>
        </w:sectPr>
      </w:pPr>
    </w:p>
    <w:bookmarkStart w:id="233" w:name="page234"/>
    <w:bookmarkEnd w:id="233"/>
    <w:p>
      <w:pPr>
        <w:ind w:left="960" w:right="20" w:firstLine="602"/>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and shall not permit any of its Restricted Subsidiaries to, create or Incur any Lien (other than Permitted Liens) on any asset or property of the Borrower or any of its Restricted Subsidiaries.</w:t>
      </w:r>
    </w:p>
    <w:p>
      <w:pPr>
        <w:spacing w:after="0" w:line="18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295" w:lineRule="exact"/>
        <w:rPr>
          <w:sz w:val="20"/>
          <w:szCs w:val="20"/>
          <w:color w:val="auto"/>
        </w:rPr>
      </w:pPr>
    </w:p>
    <w:p>
      <w:pPr>
        <w:jc w:val="both"/>
        <w:ind w:left="960" w:right="20" w:firstLine="604"/>
        <w:spacing w:after="0" w:line="269" w:lineRule="auto"/>
        <w:tabs>
          <w:tab w:leader="none" w:pos="2355"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Borrower shall not consolidate or merge with or into (or be consolidated or merged with or into) or wind up into (or be wound up into) (whether or not the Borrower is the surviving entity), or sell, assign, transfer, lease, convey or otherwise dispose of all or substantially all of its properties or assets, in one or more related transactions, to any Person unless:</w:t>
      </w:r>
    </w:p>
    <w:p>
      <w:pPr>
        <w:spacing w:after="0" w:line="170" w:lineRule="exact"/>
        <w:rPr>
          <w:rFonts w:ascii="Arial" w:cs="Arial" w:eastAsia="Arial" w:hAnsi="Arial"/>
          <w:sz w:val="17"/>
          <w:szCs w:val="17"/>
          <w:color w:val="auto"/>
        </w:rPr>
      </w:pPr>
    </w:p>
    <w:p>
      <w:pPr>
        <w:jc w:val="both"/>
        <w:ind w:left="1480" w:right="20" w:firstLine="664"/>
        <w:spacing w:after="0"/>
        <w:tabs>
          <w:tab w:leader="none" w:pos="2372"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Borrower is the surviving entity or the Person formed by or surviving any such consolidation or merger (if other than the Borrower) or to which such sale, assignment, transfer, lease, conveyance or other disposition will have been made is a corporation, partnership, limited liability company or similar entity organized or existing under the laws of the United States, any state thereof or the District of Columbia (such Person, as the case may be, being herein called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jc w:val="both"/>
        <w:ind w:left="1480" w:right="20" w:firstLine="612"/>
        <w:spacing w:after="0" w:line="248" w:lineRule="auto"/>
        <w:tabs>
          <w:tab w:leader="none" w:pos="2372"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Successor Borrower, if other than the Borrower, expressly assumes all the obligations of the Borrower under this Agreement and the other Loan Documents pursuant to a supplement hereto and thereto in form and substance reasonably satisfactory to the Administrative Agent;</w:t>
      </w:r>
    </w:p>
    <w:p>
      <w:pPr>
        <w:spacing w:after="0" w:line="198" w:lineRule="exact"/>
        <w:rPr>
          <w:rFonts w:ascii="Arial" w:cs="Arial" w:eastAsia="Arial" w:hAnsi="Arial"/>
          <w:sz w:val="18"/>
          <w:szCs w:val="18"/>
          <w:color w:val="auto"/>
        </w:rPr>
      </w:pPr>
    </w:p>
    <w:p>
      <w:pPr>
        <w:ind w:left="2660" w:hanging="620"/>
        <w:spacing w:after="0"/>
        <w:tabs>
          <w:tab w:leader="none" w:pos="266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31" w:lineRule="exact"/>
        <w:rPr>
          <w:rFonts w:ascii="Arial" w:cs="Arial" w:eastAsia="Arial" w:hAnsi="Arial"/>
          <w:sz w:val="18"/>
          <w:szCs w:val="18"/>
          <w:color w:val="auto"/>
        </w:rPr>
      </w:pPr>
    </w:p>
    <w:p>
      <w:pPr>
        <w:jc w:val="both"/>
        <w:ind w:left="1480" w:firstLine="571"/>
        <w:spacing w:after="0" w:line="268" w:lineRule="auto"/>
        <w:tabs>
          <w:tab w:leader="none" w:pos="2372" w:val="left"/>
        </w:tabs>
        <w:numPr>
          <w:ilvl w:val="2"/>
          <w:numId w:val="250"/>
        </w:numPr>
        <w:rPr>
          <w:rFonts w:ascii="Arial" w:cs="Arial" w:eastAsia="Arial" w:hAnsi="Arial"/>
          <w:sz w:val="16"/>
          <w:szCs w:val="16"/>
          <w:color w:val="auto"/>
        </w:rPr>
      </w:pPr>
      <w:r>
        <w:rPr>
          <w:rFonts w:ascii="Arial" w:cs="Arial" w:eastAsia="Arial" w:hAnsi="Arial"/>
          <w:sz w:val="16"/>
          <w:szCs w:val="16"/>
          <w:color w:val="auto"/>
        </w:rPr>
        <w:t>immediately after giving Pro Forma Effect to such transaction and any related financing transactions, at the time of determination based on the most recently completed Test Period, either the (a) Total Net Leverage Ratio of the Successor Borrower would not be greater than the Total Net Leverage Ratio of the Borrower immediately prior to such transaction or</w:t>
      </w:r>
    </w:p>
    <w:p>
      <w:pPr>
        <w:spacing w:after="0" w:line="1" w:lineRule="exact"/>
        <w:rPr>
          <w:rFonts w:ascii="Arial" w:cs="Arial" w:eastAsia="Arial" w:hAnsi="Arial"/>
          <w:sz w:val="16"/>
          <w:szCs w:val="16"/>
          <w:color w:val="auto"/>
        </w:rPr>
      </w:pPr>
    </w:p>
    <w:p>
      <w:pPr>
        <w:ind w:left="1740" w:hanging="266"/>
        <w:spacing w:after="0"/>
        <w:tabs>
          <w:tab w:leader="none" w:pos="17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Borrower is in compliance with the Financial Covenant (whether or not then tested);</w:t>
      </w:r>
    </w:p>
    <w:p>
      <w:pPr>
        <w:spacing w:after="0" w:line="203" w:lineRule="exact"/>
        <w:rPr>
          <w:rFonts w:ascii="Arial" w:cs="Arial" w:eastAsia="Arial" w:hAnsi="Arial"/>
          <w:sz w:val="18"/>
          <w:szCs w:val="18"/>
          <w:color w:val="auto"/>
        </w:rPr>
      </w:pPr>
    </w:p>
    <w:p>
      <w:pPr>
        <w:jc w:val="both"/>
        <w:ind w:left="1480" w:right="20" w:firstLine="622"/>
        <w:spacing w:after="0" w:line="248" w:lineRule="auto"/>
        <w:tabs>
          <w:tab w:leader="none" w:pos="2372" w:val="left"/>
        </w:tabs>
        <w:numPr>
          <w:ilvl w:val="2"/>
          <w:numId w:val="251"/>
        </w:numPr>
        <w:rPr>
          <w:rFonts w:ascii="Arial" w:cs="Arial" w:eastAsia="Arial" w:hAnsi="Arial"/>
          <w:sz w:val="18"/>
          <w:szCs w:val="18"/>
          <w:color w:val="auto"/>
        </w:rPr>
      </w:pPr>
      <w:r>
        <w:rPr>
          <w:rFonts w:ascii="Arial" w:cs="Arial" w:eastAsia="Arial" w:hAnsi="Arial"/>
          <w:sz w:val="18"/>
          <w:szCs w:val="18"/>
          <w:color w:val="auto"/>
        </w:rPr>
        <w:t xml:space="preserve">unless the Borrower is the surviving Person, each Guarantor, unless it is the other party to the transactions described above, in which case </w:t>
      </w:r>
      <w:r>
        <w:rPr>
          <w:rFonts w:ascii="Arial" w:cs="Arial" w:eastAsia="Arial" w:hAnsi="Arial"/>
          <w:sz w:val="18"/>
          <w:szCs w:val="18"/>
          <w:u w:val="single" w:color="auto"/>
          <w:color w:val="auto"/>
        </w:rPr>
        <w:t>Section 9.8(e)(ii)</w:t>
      </w:r>
      <w:r>
        <w:rPr>
          <w:rFonts w:ascii="Arial" w:cs="Arial" w:eastAsia="Arial" w:hAnsi="Arial"/>
          <w:sz w:val="18"/>
          <w:szCs w:val="18"/>
          <w:color w:val="auto"/>
        </w:rPr>
        <w:t xml:space="preserve"> shall apply, shall have by a Guarantor Joinder Agreement confirmed that its Guarantee shall apply to such Person’s obligations under this Agreement;</w:t>
      </w:r>
    </w:p>
    <w:p>
      <w:pPr>
        <w:spacing w:after="0" w:line="198" w:lineRule="exact"/>
        <w:rPr>
          <w:rFonts w:ascii="Arial" w:cs="Arial" w:eastAsia="Arial" w:hAnsi="Arial"/>
          <w:sz w:val="18"/>
          <w:szCs w:val="18"/>
          <w:color w:val="auto"/>
        </w:rPr>
      </w:pPr>
    </w:p>
    <w:p>
      <w:pPr>
        <w:jc w:val="both"/>
        <w:ind w:left="1480" w:firstLine="572"/>
        <w:spacing w:after="0" w:line="242" w:lineRule="auto"/>
        <w:tabs>
          <w:tab w:leader="none" w:pos="2372" w:val="left"/>
        </w:tabs>
        <w:numPr>
          <w:ilvl w:val="2"/>
          <w:numId w:val="251"/>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 certificate of an Authorized Officer and (unless the Borrower is the surviving person) an opinion of counsel to the effect that such Guarantor Joinder Agreement (if any) has been duly authorized, executed and delivered and is a legal, valid and binding agreement enforceable against the Successor Borrower; and</w:t>
      </w:r>
    </w:p>
    <w:p>
      <w:pPr>
        <w:spacing w:after="0" w:line="205" w:lineRule="exact"/>
        <w:rPr>
          <w:rFonts w:ascii="Arial" w:cs="Arial" w:eastAsia="Arial" w:hAnsi="Arial"/>
          <w:sz w:val="18"/>
          <w:szCs w:val="18"/>
          <w:color w:val="auto"/>
        </w:rPr>
      </w:pPr>
    </w:p>
    <w:p>
      <w:pPr>
        <w:jc w:val="both"/>
        <w:ind w:left="1480" w:right="20" w:firstLine="520"/>
        <w:spacing w:after="0" w:line="238" w:lineRule="auto"/>
        <w:tabs>
          <w:tab w:leader="none" w:pos="2371" w:val="left"/>
        </w:tabs>
        <w:numPr>
          <w:ilvl w:val="2"/>
          <w:numId w:val="251"/>
        </w:numPr>
        <w:rPr>
          <w:rFonts w:ascii="Arial" w:cs="Arial" w:eastAsia="Arial" w:hAnsi="Arial"/>
          <w:sz w:val="18"/>
          <w:szCs w:val="18"/>
          <w:color w:val="auto"/>
        </w:rPr>
      </w:pPr>
      <w:r>
        <w:rPr>
          <w:rFonts w:ascii="Arial" w:cs="Arial" w:eastAsia="Arial" w:hAnsi="Arial"/>
          <w:sz w:val="18"/>
          <w:szCs w:val="18"/>
          <w:color w:val="auto"/>
        </w:rPr>
        <w:t>unless the Borrower is the surviving Person, the Administrative Agent shall have received all documentation and other information about the Successor Borrower to the extent reasonably requested in writing that any Lender, Issuing Bank or the Administrative Agent shall have reasonably determined is required by regulatory authorities under applicable “know your customer,” sanctions and anti-money laundering rules and regulations, including without limitation, the Patriot Act and such Lender, Issuing Bank, or the Administrative Agent, as applicable, shall be reasonably satisfied that its review of such documentation and information delivered complies with such applicable “know your customer,” sanctions and anti-money laundering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720"/>
          </w:cols>
          <w:pgMar w:left="360" w:top="1326" w:right="819" w:bottom="1440" w:gutter="0" w:footer="0" w:header="0"/>
        </w:sectPr>
      </w:pPr>
    </w:p>
    <w:bookmarkStart w:id="234" w:name="page235"/>
    <w:bookmarkEnd w:id="234"/>
    <w:p>
      <w:pPr>
        <w:ind w:left="960" w:right="360" w:firstLine="604"/>
        <w:spacing w:after="0" w:line="263" w:lineRule="auto"/>
        <w:tabs>
          <w:tab w:leader="none" w:pos="235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Successor Borrower shall succeed to, and be substituted for the Borrower, as the case may be, under this Agreement. Notwithstanding clauses (iii) and (iv) of </w:t>
      </w:r>
      <w:r>
        <w:rPr>
          <w:rFonts w:ascii="Arial" w:cs="Arial" w:eastAsia="Arial" w:hAnsi="Arial"/>
          <w:sz w:val="18"/>
          <w:szCs w:val="18"/>
          <w:u w:val="single" w:color="auto"/>
          <w:color w:val="auto"/>
        </w:rPr>
        <w:t>Section 9.8(a)</w:t>
      </w:r>
      <w:r>
        <w:rPr>
          <w:rFonts w:ascii="Arial" w:cs="Arial" w:eastAsia="Arial" w:hAnsi="Arial"/>
          <w:sz w:val="18"/>
          <w:szCs w:val="18"/>
          <w:color w:val="auto"/>
        </w:rPr>
        <w:t>:</w:t>
      </w:r>
    </w:p>
    <w:p>
      <w:pPr>
        <w:spacing w:after="0" w:line="261" w:lineRule="exact"/>
        <w:rPr>
          <w:rFonts w:ascii="Arial" w:cs="Arial" w:eastAsia="Arial" w:hAnsi="Arial"/>
          <w:sz w:val="18"/>
          <w:szCs w:val="18"/>
          <w:color w:val="auto"/>
        </w:rPr>
      </w:pPr>
    </w:p>
    <w:p>
      <w:pPr>
        <w:ind w:left="1480" w:right="20" w:firstLine="664"/>
        <w:spacing w:after="0" w:line="263" w:lineRule="auto"/>
        <w:tabs>
          <w:tab w:leader="none" w:pos="237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Restricted Subsidiary may consolidate with or merge into (or be consolidated or merged with or into) or transfer all or part of its properties and assets to the Borrower; and</w:t>
      </w:r>
    </w:p>
    <w:p>
      <w:pPr>
        <w:spacing w:after="0" w:line="173" w:lineRule="exact"/>
        <w:rPr>
          <w:rFonts w:ascii="Arial" w:cs="Arial" w:eastAsia="Arial" w:hAnsi="Arial"/>
          <w:sz w:val="18"/>
          <w:szCs w:val="18"/>
          <w:color w:val="auto"/>
        </w:rPr>
      </w:pPr>
    </w:p>
    <w:p>
      <w:pPr>
        <w:jc w:val="both"/>
        <w:ind w:left="1480" w:right="20" w:firstLine="612"/>
        <w:spacing w:after="0" w:line="248" w:lineRule="auto"/>
        <w:tabs>
          <w:tab w:leader="none" w:pos="237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Borrower may merge (or be merged) with an Affiliate of the Borrower solely for the purpose of reincorporating the Borrower in a State of the United States so long as the amount of Indebtedness of the Borrower and its Restricted Subsidiaries is not increased thereby.</w:t>
      </w:r>
    </w:p>
    <w:p>
      <w:pPr>
        <w:spacing w:after="0" w:line="198" w:lineRule="exact"/>
        <w:rPr>
          <w:rFonts w:ascii="Arial" w:cs="Arial" w:eastAsia="Arial" w:hAnsi="Arial"/>
          <w:sz w:val="18"/>
          <w:szCs w:val="18"/>
          <w:color w:val="auto"/>
        </w:rPr>
      </w:pPr>
    </w:p>
    <w:p>
      <w:pPr>
        <w:ind w:left="2160" w:hanging="596"/>
        <w:spacing w:after="0"/>
        <w:tabs>
          <w:tab w:leader="none" w:pos="2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2160" w:hanging="596"/>
        <w:spacing w:after="0"/>
        <w:tabs>
          <w:tab w:leader="none" w:pos="2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960" w:right="20" w:firstLine="603"/>
        <w:spacing w:after="0" w:line="242" w:lineRule="auto"/>
        <w:tabs>
          <w:tab w:leader="none" w:pos="235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Subsidiary Guarantor shall, and the Borrower shall not permit any Subsidiary Guarantor to, consolidate or merge with or into (or be consolidated or merged with or into) or wind up into (or be wound up into) (whether or not the Subsidiary Guarantor is the surviving corporation), or sell, assign, transfer, lease, convey or otherwise dispose of all or substantially all of its properties or assets, in one or more related transactions, to any Person unless:</w:t>
      </w:r>
    </w:p>
    <w:p>
      <w:pPr>
        <w:spacing w:after="0" w:line="205" w:lineRule="exact"/>
        <w:rPr>
          <w:rFonts w:ascii="Arial" w:cs="Arial" w:eastAsia="Arial" w:hAnsi="Arial"/>
          <w:sz w:val="18"/>
          <w:szCs w:val="18"/>
          <w:color w:val="auto"/>
        </w:rPr>
      </w:pPr>
    </w:p>
    <w:p>
      <w:pPr>
        <w:jc w:val="both"/>
        <w:ind w:left="1480" w:right="20" w:firstLine="664"/>
        <w:spacing w:after="0" w:line="238" w:lineRule="auto"/>
        <w:tabs>
          <w:tab w:leader="none" w:pos="237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such Guarantor is the surviving corporation or the Person formed by or surviving any such consolidation or merger (if other than such Guarantor) or to which such sale, assignment, transfer, lease, conveyance or other disposition will have been made is a corporation, partnership, limited partnership, limited liability company or trust or similar entity organized or existing under the laws of the jurisdiction of organization of such Guarantor, as the case may be, or the laws of the United States, any state thereof, the District of Columbia, or any territory thereof or jurisdiction of incorporation or formation of such Guarantor (such Guarantor or such Person, as the case may be, being herein called the “</w:t>
      </w:r>
      <w:r>
        <w:rPr>
          <w:rFonts w:ascii="Arial" w:cs="Arial" w:eastAsia="Arial" w:hAnsi="Arial"/>
          <w:sz w:val="18"/>
          <w:szCs w:val="18"/>
          <w:u w:val="single" w:color="auto"/>
          <w:color w:val="auto"/>
        </w:rPr>
        <w:t>Successor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ind w:left="1480" w:right="20" w:firstLine="612"/>
        <w:spacing w:after="0" w:line="263" w:lineRule="auto"/>
        <w:tabs>
          <w:tab w:leader="none" w:pos="237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Successor Person, if other than a Guarantor, expressly assumes all the obligations of such Guarantor under this Agreement pursuant to a Guarantor Joinder Agreement;</w:t>
      </w:r>
    </w:p>
    <w:p>
      <w:pPr>
        <w:spacing w:after="0" w:line="185" w:lineRule="exact"/>
        <w:rPr>
          <w:rFonts w:ascii="Arial" w:cs="Arial" w:eastAsia="Arial" w:hAnsi="Arial"/>
          <w:sz w:val="18"/>
          <w:szCs w:val="18"/>
          <w:color w:val="auto"/>
        </w:rPr>
      </w:pPr>
    </w:p>
    <w:p>
      <w:pPr>
        <w:ind w:left="2660" w:hanging="620"/>
        <w:spacing w:after="0"/>
        <w:tabs>
          <w:tab w:leader="none" w:pos="26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219" w:lineRule="exact"/>
        <w:rPr>
          <w:rFonts w:ascii="Arial" w:cs="Arial" w:eastAsia="Arial" w:hAnsi="Arial"/>
          <w:sz w:val="18"/>
          <w:szCs w:val="18"/>
          <w:color w:val="auto"/>
        </w:rPr>
      </w:pPr>
    </w:p>
    <w:p>
      <w:pPr>
        <w:jc w:val="both"/>
        <w:ind w:left="1480" w:right="20" w:firstLine="571"/>
        <w:spacing w:after="0" w:line="242" w:lineRule="auto"/>
        <w:tabs>
          <w:tab w:leader="none" w:pos="237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if the Successor Person is a Person other than a Guarantor, the Borrower shall or shall cause the Successor Person to have delivered to the Administrative Agent a certificate of an Authorized Officer and an opinion of counsel, each stating that such consolidation, merger or transfer and such Guarantor Joinder Agreement, if any, complies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shall be permitted:</w:t>
      </w:r>
    </w:p>
    <w:p>
      <w:pPr>
        <w:spacing w:after="0" w:line="268" w:lineRule="exact"/>
        <w:rPr>
          <w:rFonts w:ascii="Arial" w:cs="Arial" w:eastAsia="Arial" w:hAnsi="Arial"/>
          <w:sz w:val="18"/>
          <w:szCs w:val="18"/>
          <w:color w:val="auto"/>
        </w:rPr>
      </w:pPr>
    </w:p>
    <w:p>
      <w:pPr>
        <w:ind w:left="3360" w:hanging="592"/>
        <w:spacing w:after="0"/>
        <w:tabs>
          <w:tab w:leader="none" w:pos="336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 xml:space="preserve">the transaction is made in compliance with </w:t>
      </w:r>
      <w:r>
        <w:rPr>
          <w:rFonts w:ascii="Arial" w:cs="Arial" w:eastAsia="Arial" w:hAnsi="Arial"/>
          <w:sz w:val="18"/>
          <w:szCs w:val="18"/>
          <w:u w:val="single" w:color="auto"/>
          <w:color w:val="auto"/>
        </w:rPr>
        <w:t>Section 9.5</w:t>
      </w:r>
      <w:r>
        <w:rPr>
          <w:rFonts w:ascii="Arial" w:cs="Arial" w:eastAsia="Arial" w:hAnsi="Arial"/>
          <w:sz w:val="18"/>
          <w:szCs w:val="18"/>
          <w:color w:val="auto"/>
        </w:rPr>
        <w:t>; or</w:t>
      </w:r>
    </w:p>
    <w:p>
      <w:pPr>
        <w:spacing w:after="0" w:line="294" w:lineRule="exact"/>
        <w:rPr>
          <w:rFonts w:ascii="Arial" w:cs="Arial" w:eastAsia="Arial" w:hAnsi="Arial"/>
          <w:sz w:val="18"/>
          <w:szCs w:val="18"/>
          <w:color w:val="auto"/>
        </w:rPr>
      </w:pPr>
    </w:p>
    <w:p>
      <w:pPr>
        <w:ind w:left="3560" w:hanging="792"/>
        <w:spacing w:after="0"/>
        <w:tabs>
          <w:tab w:leader="none" w:pos="3560" w:val="left"/>
        </w:tabs>
        <w:numPr>
          <w:ilvl w:val="2"/>
          <w:numId w:val="252"/>
        </w:numPr>
        <w:rPr>
          <w:rFonts w:ascii="Arial" w:cs="Arial" w:eastAsia="Arial" w:hAnsi="Arial"/>
          <w:sz w:val="17"/>
          <w:szCs w:val="17"/>
          <w:color w:val="auto"/>
        </w:rPr>
      </w:pPr>
      <w:r>
        <w:rPr>
          <w:rFonts w:ascii="Arial" w:cs="Arial" w:eastAsia="Arial" w:hAnsi="Arial"/>
          <w:sz w:val="17"/>
          <w:szCs w:val="17"/>
          <w:color w:val="auto"/>
        </w:rPr>
        <w:t>such Guarantor is liquidated and all or substantially all of its assets (if any) are acquired by a</w:t>
      </w:r>
    </w:p>
    <w:p>
      <w:pPr>
        <w:spacing w:after="0" w:line="21"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8"/>
          <w:szCs w:val="18"/>
          <w:color w:val="auto"/>
        </w:rPr>
        <w:t>Loan Party.</w:t>
      </w:r>
    </w:p>
    <w:p>
      <w:pPr>
        <w:spacing w:after="0" w:line="216"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8"/>
          <w:szCs w:val="18"/>
          <w:color w:val="auto"/>
        </w:rPr>
        <w:t xml:space="preserve">(f)In the case of </w:t>
      </w:r>
      <w:r>
        <w:rPr>
          <w:rFonts w:ascii="Arial" w:cs="Arial" w:eastAsia="Arial" w:hAnsi="Arial"/>
          <w:sz w:val="18"/>
          <w:szCs w:val="18"/>
          <w:u w:val="single" w:color="auto"/>
          <w:color w:val="auto"/>
        </w:rPr>
        <w:t>Section 9.8(e)(i)</w:t>
      </w:r>
      <w:r>
        <w:rPr>
          <w:rFonts w:ascii="Arial" w:cs="Arial" w:eastAsia="Arial" w:hAnsi="Arial"/>
          <w:sz w:val="18"/>
          <w:szCs w:val="18"/>
          <w:color w:val="auto"/>
        </w:rPr>
        <w:t>, the Successor Person shall succeed to, and be substituted for, such Guarantor under this Agreement. Notwithstanding anything to the contrary herein, any Guarantor may merge into (or be merged into), liquidate into or transfer all or part of its properties and assets to another Guarantor or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720"/>
          </w:cols>
          <w:pgMar w:left="360" w:top="1326" w:right="819" w:bottom="1440" w:gutter="0" w:footer="0" w:header="0"/>
        </w:sectPr>
      </w:pPr>
    </w:p>
    <w:bookmarkStart w:id="235" w:name="page236"/>
    <w:bookmarkEnd w:id="235"/>
    <w:p>
      <w:pPr>
        <w:jc w:val="both"/>
        <w:ind w:left="960" w:right="20" w:firstLine="605"/>
        <w:spacing w:after="0" w:line="239" w:lineRule="auto"/>
        <w:tabs>
          <w:tab w:leader="none" w:pos="235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Neither the Borrower nor any Subsidiary Guarantor shall consummate a Division as the Dividing Person, except that any Subsidiary Guarantor that is a LLC may consummate a Division as the Dividing Person if, immediately upon the consummation of the Division, the assets of the applicable Dividing Person are held by one or more Restricted Subsidiaries at such time or, with respect to assets not so held by one or more Restricted Subsidiaries, such Division, in the aggregate, would otherwise result in a disposition of assets permitted by </w:t>
      </w:r>
      <w:r>
        <w:rPr>
          <w:rFonts w:ascii="Arial" w:cs="Arial" w:eastAsia="Arial" w:hAnsi="Arial"/>
          <w:sz w:val="18"/>
          <w:szCs w:val="18"/>
          <w:u w:val="single" w:color="auto"/>
          <w:color w:val="auto"/>
        </w:rPr>
        <w:t>Section 9.5(a)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Division Successor shall also become a Loan Party to the extent required by and in accordance with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268" w:lineRule="exact"/>
        <w:rPr>
          <w:sz w:val="20"/>
          <w:szCs w:val="20"/>
          <w:color w:val="auto"/>
        </w:rPr>
      </w:pPr>
    </w:p>
    <w:p>
      <w:pPr>
        <w:ind w:left="960" w:right="780" w:firstLine="602"/>
        <w:spacing w:after="0" w:line="26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Modifications of Certain Documents</w:t>
      </w:r>
      <w:r>
        <w:rPr>
          <w:rFonts w:ascii="Arial" w:cs="Arial" w:eastAsia="Arial" w:hAnsi="Arial"/>
          <w:sz w:val="18"/>
          <w:szCs w:val="18"/>
          <w:color w:val="auto"/>
        </w:rPr>
        <w:t>. The Borrower shall not, and shall not permit any of its Restricted Subsidiaries to:</w:t>
      </w:r>
    </w:p>
    <w:p>
      <w:pPr>
        <w:spacing w:after="0" w:line="186" w:lineRule="exact"/>
        <w:rPr>
          <w:sz w:val="20"/>
          <w:szCs w:val="20"/>
          <w:color w:val="auto"/>
        </w:rPr>
      </w:pPr>
    </w:p>
    <w:p>
      <w:pPr>
        <w:jc w:val="both"/>
        <w:ind w:left="1560" w:right="20" w:firstLine="606"/>
        <w:spacing w:after="0" w:line="239" w:lineRule="auto"/>
        <w:tabs>
          <w:tab w:leader="none" w:pos="29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terminate, amend or modify any Organizational Documents of any Loan Party or Restricted Subsidiary (including (x) by the filing or modification of any certificate of designation and (y) any election to treat any Certificated Securities as a “security” under Section 8-103 of the UCC other than with the delivery of certificates representing such Certificated Securities to the Collateral Agent within thirty (30) days (or such longer period as the Administrative Agent may agree)) other than any such amendments or modifications that are not materially adverse to the interests of the Lenders; or</w:t>
      </w:r>
    </w:p>
    <w:p>
      <w:pPr>
        <w:spacing w:after="0" w:line="192" w:lineRule="exact"/>
        <w:rPr>
          <w:rFonts w:ascii="Arial" w:cs="Arial" w:eastAsia="Arial" w:hAnsi="Arial"/>
          <w:sz w:val="18"/>
          <w:szCs w:val="18"/>
          <w:color w:val="auto"/>
        </w:rPr>
      </w:pPr>
    </w:p>
    <w:p>
      <w:pPr>
        <w:ind w:left="1560" w:right="20" w:firstLine="606"/>
        <w:spacing w:after="0" w:line="263" w:lineRule="auto"/>
        <w:tabs>
          <w:tab w:leader="none" w:pos="295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amend or modify, or permit the amendment or modification of, the terms of any Junior Indebtedness in a manner materially adverse to the interests of the Lenders.</w:t>
      </w:r>
    </w:p>
    <w:p>
      <w:pPr>
        <w:spacing w:after="0" w:line="18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95" w:lineRule="exact"/>
        <w:rPr>
          <w:sz w:val="20"/>
          <w:szCs w:val="20"/>
          <w:color w:val="auto"/>
        </w:rPr>
      </w:pPr>
    </w:p>
    <w:p>
      <w:pPr>
        <w:ind w:left="960" w:right="240" w:firstLine="602"/>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Changes in Fiscal Periods</w:t>
      </w:r>
      <w:r>
        <w:rPr>
          <w:rFonts w:ascii="Arial" w:cs="Arial" w:eastAsia="Arial" w:hAnsi="Arial"/>
          <w:sz w:val="18"/>
          <w:szCs w:val="18"/>
          <w:color w:val="auto"/>
        </w:rPr>
        <w:t>. The Borrower shall not permit the fiscal year of the Borrower to end on a day other than December 31 or change the Borrower’s method of determining fiscal quarters.</w:t>
      </w:r>
    </w:p>
    <w:p>
      <w:pPr>
        <w:spacing w:after="0" w:line="186"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Negative Pledge Clauses</w:t>
      </w:r>
      <w:r>
        <w:rPr>
          <w:rFonts w:ascii="Arial" w:cs="Arial" w:eastAsia="Arial" w:hAnsi="Arial"/>
          <w:sz w:val="16"/>
          <w:szCs w:val="16"/>
          <w:color w:val="auto"/>
        </w:rPr>
        <w:t>. The Borrower shall not, and shall not permit any of their Restricted Subsidiaries to:</w:t>
      </w:r>
    </w:p>
    <w:p>
      <w:pPr>
        <w:spacing w:after="0" w:line="219" w:lineRule="exact"/>
        <w:rPr>
          <w:sz w:val="20"/>
          <w:szCs w:val="20"/>
          <w:color w:val="auto"/>
        </w:rPr>
      </w:pPr>
    </w:p>
    <w:p>
      <w:pPr>
        <w:jc w:val="both"/>
        <w:ind w:left="1560" w:right="20" w:firstLine="607"/>
        <w:spacing w:after="0" w:line="237" w:lineRule="auto"/>
        <w:tabs>
          <w:tab w:leader="none" w:pos="295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enter into or suffer to exist or become effective any agreement that prohibits or limits the ability of the Borrower or any Restricted Subsidiary to incur any Lien upon any of its property or revenues, whether now owned or hereafter acquired, to secure its obligations under the Loan Documents to which it is a party other than (a) this Agreement and the other Loan Documents,</w:t>
      </w:r>
    </w:p>
    <w:p>
      <w:pPr>
        <w:jc w:val="both"/>
        <w:ind w:left="1560" w:firstLine="5"/>
        <w:spacing w:after="0" w:line="246" w:lineRule="auto"/>
        <w:tabs>
          <w:tab w:leader="none" w:pos="235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any agreements evidencing or governing any purchase money Liens or Capital Lease Obligations otherwise permitted hereby (in which case, any prohibition or limitation shall only be effective against the assets financed thereby),</w:t>
      </w:r>
    </w:p>
    <w:p>
      <w:pPr>
        <w:ind w:left="1820" w:hanging="255"/>
        <w:spacing w:after="0"/>
        <w:tabs>
          <w:tab w:leader="none" w:pos="18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customary restrictions on the assignment of leases, licenses and contracts entered into in the ordinary course of business,</w:t>
      </w:r>
    </w:p>
    <w:p>
      <w:pPr>
        <w:spacing w:after="0" w:line="16" w:lineRule="exact"/>
        <w:rPr>
          <w:rFonts w:ascii="Arial" w:cs="Arial" w:eastAsia="Arial" w:hAnsi="Arial"/>
          <w:sz w:val="16"/>
          <w:szCs w:val="16"/>
          <w:color w:val="auto"/>
        </w:rPr>
      </w:pPr>
    </w:p>
    <w:p>
      <w:pPr>
        <w:jc w:val="both"/>
        <w:ind w:left="1560" w:firstLine="5"/>
        <w:spacing w:after="0" w:line="249" w:lineRule="auto"/>
        <w:tabs>
          <w:tab w:leader="none" w:pos="185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any agreement of a Person in effect at the time such Person becomes a Restricted Subsidiary; provided that such agreement was not entered into in contemplation of such Person becoming a Restricted Subsidiary, (e) customary restrictions and conditions contained in agreements relating to the sale of a Restricted Subsidiary of the Borrower (or the assets of a Restricted Subsidiary) pending such sale; provided such restrictions and conditions apply only to the Restricted Subsidiary that is to be sold (or whose assets are to be sold) and such sale is permitted hereunder, (f) restrictions and conditions existing on the Closing Date identified on Schedule 9.12 and any amendments or modifications thereto so long as such amendment or modification does not expand the scope of any such restriction or condition in any material respect (provided that any such arrangements shall be required to be described on Schedule 9.12 only to the extent that such arrangements exceed $5,000,000), (g) restrictions under agreements evidencing or governing or otherwise relating to Indebtedness of Subsidiaries of the Borrower that are not Subsidiary Guarantors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344805</wp:posOffset>
            </wp:positionV>
            <wp:extent cx="326390" cy="182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720"/>
          </w:cols>
          <w:pgMar w:left="360" w:top="1326" w:right="819" w:bottom="1440" w:gutter="0" w:footer="0" w:header="0"/>
        </w:sectPr>
      </w:pPr>
    </w:p>
    <w:bookmarkStart w:id="236" w:name="page237"/>
    <w:bookmarkEnd w:id="236"/>
    <w:p>
      <w:pPr>
        <w:ind w:left="1560"/>
        <w:spacing w:after="0" w:line="263" w:lineRule="auto"/>
        <w:rPr>
          <w:sz w:val="20"/>
          <w:szCs w:val="20"/>
          <w:color w:val="auto"/>
        </w:rPr>
      </w:pPr>
      <w:r>
        <w:rPr>
          <w:rFonts w:ascii="Arial" w:cs="Arial" w:eastAsia="Arial" w:hAnsi="Arial"/>
          <w:sz w:val="18"/>
          <w:szCs w:val="18"/>
          <w:color w:val="auto"/>
        </w:rPr>
        <w:t>extent such Indebtedness is permitted under Section 9.4; provided that such Indebtedness is only with respect to the assets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700"/>
          </w:cols>
          <w:pgMar w:left="360" w:top="1264" w:right="839" w:bottom="1440" w:gutter="0" w:footer="0" w:header="0"/>
        </w:sectPr>
      </w:pPr>
    </w:p>
    <w:bookmarkStart w:id="237" w:name="page238"/>
    <w:bookmarkEnd w:id="237"/>
    <w:p>
      <w:pPr>
        <w:jc w:val="both"/>
        <w:ind w:left="1560" w:right="20"/>
        <w:spacing w:after="0" w:line="236" w:lineRule="auto"/>
        <w:rPr>
          <w:sz w:val="20"/>
          <w:szCs w:val="20"/>
          <w:color w:val="auto"/>
        </w:rPr>
      </w:pPr>
      <w:r>
        <w:rPr>
          <w:rFonts w:ascii="Arial" w:cs="Arial" w:eastAsia="Arial" w:hAnsi="Arial"/>
          <w:sz w:val="18"/>
          <w:szCs w:val="18"/>
          <w:color w:val="auto"/>
        </w:rPr>
        <w:t xml:space="preserve">Subsidiaries of the Borrower that are not Subsidiary Guarantors, (h) customary provisions in joint venture agreements, limited liability company operating agreements, partnership agreements, stockholders agreements and other similar agreements, (i) agreements evidencing or governing Indebtedness permitted under </w:t>
      </w:r>
      <w:r>
        <w:rPr>
          <w:rFonts w:ascii="Arial" w:cs="Arial" w:eastAsia="Arial" w:hAnsi="Arial"/>
          <w:sz w:val="18"/>
          <w:szCs w:val="18"/>
          <w:u w:val="single" w:color="auto"/>
          <w:color w:val="auto"/>
        </w:rPr>
        <w:t>Sections 9.4(b)(iii)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(b)(v)</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t>
      </w:r>
      <w:r>
        <w:rPr>
          <w:rFonts w:ascii="Arial" w:cs="Arial" w:eastAsia="Arial" w:hAnsi="Arial"/>
          <w:sz w:val="18"/>
          <w:szCs w:val="18"/>
          <w:u w:val="single" w:color="auto"/>
          <w:color w:val="auto"/>
        </w:rPr>
        <w:t>(b)(xv)</w:t>
      </w:r>
      <w:r>
        <w:rPr>
          <w:rFonts w:ascii="Arial" w:cs="Arial" w:eastAsia="Arial" w:hAnsi="Arial"/>
          <w:sz w:val="18"/>
          <w:szCs w:val="18"/>
          <w:color w:val="auto"/>
        </w:rPr>
        <w:t xml:space="preserve">, </w:t>
      </w:r>
      <w:r>
        <w:rPr>
          <w:rFonts w:ascii="Arial" w:cs="Arial" w:eastAsia="Arial" w:hAnsi="Arial"/>
          <w:sz w:val="18"/>
          <w:szCs w:val="18"/>
          <w:u w:val="single" w:color="auto"/>
          <w:color w:val="auto"/>
        </w:rPr>
        <w:t>(b)(xvii)</w:t>
      </w:r>
      <w:r>
        <w:rPr>
          <w:rFonts w:ascii="Arial" w:cs="Arial" w:eastAsia="Arial" w:hAnsi="Arial"/>
          <w:sz w:val="18"/>
          <w:szCs w:val="18"/>
          <w:color w:val="auto"/>
        </w:rPr>
        <w:t xml:space="preserve">, (b)(xxi), </w:t>
      </w:r>
      <w:r>
        <w:rPr>
          <w:rFonts w:ascii="Arial" w:cs="Arial" w:eastAsia="Arial" w:hAnsi="Arial"/>
          <w:sz w:val="18"/>
          <w:szCs w:val="18"/>
          <w:u w:val="single" w:color="auto"/>
          <w:color w:val="auto"/>
        </w:rPr>
        <w:t>(b)(xxii)</w:t>
      </w:r>
      <w:r>
        <w:rPr>
          <w:rFonts w:ascii="Arial" w:cs="Arial" w:eastAsia="Arial" w:hAnsi="Arial"/>
          <w:sz w:val="18"/>
          <w:szCs w:val="18"/>
          <w:color w:val="auto"/>
        </w:rPr>
        <w:t xml:space="preserve">, (c)(xxiv), </w:t>
      </w:r>
      <w:r>
        <w:rPr>
          <w:rFonts w:ascii="Arial" w:cs="Arial" w:eastAsia="Arial" w:hAnsi="Arial"/>
          <w:sz w:val="18"/>
          <w:szCs w:val="18"/>
          <w:u w:val="single" w:color="auto"/>
          <w:color w:val="auto"/>
        </w:rPr>
        <w:t>(b)(xxv)</w:t>
      </w:r>
      <w:r>
        <w:rPr>
          <w:rFonts w:ascii="Arial" w:cs="Arial" w:eastAsia="Arial" w:hAnsi="Arial"/>
          <w:sz w:val="18"/>
          <w:szCs w:val="18"/>
          <w:color w:val="auto"/>
        </w:rPr>
        <w:t>, and (b)(xxxvii) and any Refinancing of any such Indebtedness, and</w:t>
      </w:r>
    </w:p>
    <w:p>
      <w:pPr>
        <w:spacing w:after="0" w:line="1" w:lineRule="exact"/>
        <w:rPr>
          <w:sz w:val="20"/>
          <w:szCs w:val="20"/>
          <w:color w:val="auto"/>
        </w:rPr>
      </w:pPr>
    </w:p>
    <w:p>
      <w:pPr>
        <w:ind w:left="1560" w:right="20" w:firstLine="5"/>
        <w:spacing w:after="0" w:line="245" w:lineRule="auto"/>
        <w:tabs>
          <w:tab w:leader="none" w:pos="179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under contracts entered into in the ordinary course of the business of the Borrower and its Restricted Subsidiaries; or</w:t>
      </w:r>
    </w:p>
    <w:p>
      <w:pPr>
        <w:spacing w:after="0" w:line="200" w:lineRule="exact"/>
        <w:rPr>
          <w:rFonts w:ascii="Arial" w:cs="Arial" w:eastAsia="Arial" w:hAnsi="Arial"/>
          <w:sz w:val="18"/>
          <w:szCs w:val="18"/>
          <w:color w:val="auto"/>
        </w:rPr>
      </w:pPr>
    </w:p>
    <w:p>
      <w:pPr>
        <w:ind w:left="1560" w:right="20" w:firstLine="606"/>
        <w:spacing w:after="0" w:line="293" w:lineRule="auto"/>
        <w:tabs>
          <w:tab w:leader="none" w:pos="2422" w:val="left"/>
        </w:tabs>
        <w:numPr>
          <w:ilvl w:val="1"/>
          <w:numId w:val="257"/>
        </w:numPr>
        <w:rPr>
          <w:rFonts w:ascii="Arial" w:cs="Arial" w:eastAsia="Arial" w:hAnsi="Arial"/>
          <w:sz w:val="17"/>
          <w:szCs w:val="17"/>
          <w:color w:val="auto"/>
        </w:rPr>
      </w:pPr>
      <w:r>
        <w:rPr>
          <w:rFonts w:ascii="Arial" w:cs="Arial" w:eastAsia="Arial" w:hAnsi="Arial"/>
          <w:sz w:val="17"/>
          <w:szCs w:val="17"/>
          <w:color w:val="auto"/>
        </w:rPr>
        <w:t>permit to exist any Lien on any of its owned or leased Real Property, except for any Permitted Lien described in clause (b), (c), (d)(x), (e), (f), (h), (i), (n), (o), (p), (r), (ii), (jj), (nn) or (oo) of the definition of “Permitted Liens”.</w:t>
      </w:r>
    </w:p>
    <w:p>
      <w:pPr>
        <w:spacing w:after="0" w:line="150"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shall not, and shall not permit any of its Restricted Subsidiaries to enter into any material business, either directly or through any Restricted Subsidiary of the Borrower, except for Similar Businesses.</w:t>
      </w:r>
    </w:p>
    <w:p>
      <w:pPr>
        <w:spacing w:after="0" w:line="29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10. GUARANTEE</w:t>
      </w:r>
    </w:p>
    <w:p>
      <w:pPr>
        <w:spacing w:after="0" w:line="106"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The Guarantee</w:t>
      </w:r>
      <w:r>
        <w:rPr>
          <w:rFonts w:ascii="Arial" w:cs="Arial" w:eastAsia="Arial" w:hAnsi="Arial"/>
          <w:sz w:val="16"/>
          <w:szCs w:val="16"/>
          <w:color w:val="auto"/>
        </w:rPr>
        <w:t>. Each Guarantor hereby jointly and severally guarantees, as a primary obligor and not as a surety, to each Secured Party and their respective successors and assigns, the prompt payment in full when due (whether at stated maturity, by required prepayment, declaration, demand, by acceleration or otherwise) of (1) the principal of and interest (including any interest, fees, costs or charges that would accrue but for the provisions of the Bankruptcy Code after any bankruptcy or insolvency petition under the Bankruptcy Code or any similar law of any other jurisdiction) on (i) the Loans made by the Lenders, (ii) the Incremental Term Loans and the Incremental Revolving Loans made by the Incremental Term Lenders and the Incremental Revolving Lenders, (iii) the Other Term Loans and Other Revolving Loans made by the applicable Term Lenders and applicable Revolving Lenders and (iv) the Notes held by each Lender and (2) all other Obligations from time to time owing to the Secured Parties (including reimbursement and other obligations in respect of Letters of Credit) (such obligations being herein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limitations set forth in </w:t>
      </w:r>
      <w:r>
        <w:rPr>
          <w:rFonts w:ascii="Arial" w:cs="Arial" w:eastAsia="Arial" w:hAnsi="Arial"/>
          <w:sz w:val="16"/>
          <w:szCs w:val="16"/>
          <w:u w:val="single" w:color="auto"/>
          <w:color w:val="auto"/>
        </w:rPr>
        <w:t>Section 10.7</w:t>
      </w:r>
      <w:r>
        <w:rPr>
          <w:rFonts w:ascii="Arial" w:cs="Arial" w:eastAsia="Arial" w:hAnsi="Arial"/>
          <w:sz w:val="16"/>
          <w:szCs w:val="16"/>
          <w:color w:val="auto"/>
        </w:rPr>
        <w:t>, with respect to the Borrower in its capacity as a Guarantor hereunder, this Guarantee shall apply to all Guaranteed Obligations. Each Guarantor hereby jointly and severally agrees that, if the Guaranteed Obligations shall not be paid in full when due (whether at stated maturity, by acceleration or otherwise), such Guarantor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76" w:lineRule="exact"/>
        <w:rPr>
          <w:sz w:val="20"/>
          <w:szCs w:val="20"/>
          <w:color w:val="auto"/>
        </w:rPr>
      </w:pPr>
    </w:p>
    <w:p>
      <w:pPr>
        <w:jc w:val="both"/>
        <w:ind w:left="960" w:right="20" w:firstLine="601"/>
        <w:spacing w:after="0" w:line="25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Obligations Unconditional</w:t>
      </w:r>
      <w:r>
        <w:rPr>
          <w:rFonts w:ascii="Arial" w:cs="Arial" w:eastAsia="Arial" w:hAnsi="Arial"/>
          <w:sz w:val="17"/>
          <w:szCs w:val="17"/>
          <w:color w:val="auto"/>
        </w:rPr>
        <w:t>. The obligations of the Guarantors under Section 10.1, respectively, shall constitute a guaranty of payment (and not of collection) and to the fullest extent permitted by applicable Requirements of Law, are absolute, irrevocable and unconditional, joint and several, irrespective of the value, genuineness, validity, regularity or enforceability of the Guaranteed Obligations under this Agreement, the Notes, if any, or any other agreement or instrument referred to herein or therein, or any substitution, release or exchange of any other guarantee of or security for any of the Guaranteed Obligations, irrespective of any other circumstance whatsoever that might otherwise constitute a legal or equitable discharge or defense of a surety by any Guarantor, as applicable (except for payment in full). Without limiting the generality of the foregoing, it is agreed that the occurrence of any one or more of the following shall not alter or impair the liability of any Guarantor hereunder,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341630</wp:posOffset>
            </wp:positionV>
            <wp:extent cx="326390" cy="182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720"/>
          </w:cols>
          <w:pgMar w:left="360" w:top="1326" w:right="819" w:bottom="1440" w:gutter="0" w:footer="0" w:header="0"/>
        </w:sectPr>
      </w:pPr>
    </w:p>
    <w:bookmarkStart w:id="238" w:name="page239"/>
    <w:bookmarkEnd w:id="238"/>
    <w:p>
      <w:pPr>
        <w:ind w:left="960"/>
        <w:spacing w:after="0"/>
        <w:rPr>
          <w:sz w:val="20"/>
          <w:szCs w:val="20"/>
          <w:color w:val="auto"/>
        </w:rPr>
      </w:pPr>
      <w:r>
        <w:rPr>
          <w:rFonts w:ascii="Arial" w:cs="Arial" w:eastAsia="Arial" w:hAnsi="Arial"/>
          <w:sz w:val="16"/>
          <w:szCs w:val="16"/>
          <w:color w:val="auto"/>
        </w:rPr>
        <w:t>shall, in each case, remain absolute, irrevocable and unconditional under any and all circumstances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326390" cy="182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099"/>
          </w:cols>
          <w:pgMar w:left="360" w:top="1263" w:right="1440" w:bottom="1440" w:gutter="0" w:footer="0" w:header="0"/>
        </w:sectPr>
      </w:pPr>
    </w:p>
    <w:bookmarkStart w:id="239" w:name="page240"/>
    <w:bookmarkEnd w:id="239"/>
    <w:p>
      <w:pPr>
        <w:ind w:left="1560" w:right="20" w:firstLine="606"/>
        <w:spacing w:after="0" w:line="326" w:lineRule="auto"/>
        <w:tabs>
          <w:tab w:leader="none" w:pos="29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at any time or from time to time, without notice to any Guarantor, the time for any performance of or compliance with any of the Guaranteed Obligations shall be extended, or such performance or compliance shall be waived;</w:t>
      </w:r>
    </w:p>
    <w:p>
      <w:pPr>
        <w:spacing w:after="0" w:line="139" w:lineRule="exact"/>
        <w:rPr>
          <w:rFonts w:ascii="Arial" w:cs="Arial" w:eastAsia="Arial" w:hAnsi="Arial"/>
          <w:sz w:val="16"/>
          <w:szCs w:val="16"/>
          <w:color w:val="auto"/>
        </w:rPr>
      </w:pPr>
    </w:p>
    <w:p>
      <w:pPr>
        <w:ind w:left="1560" w:right="20" w:firstLine="606"/>
        <w:spacing w:after="0" w:line="263" w:lineRule="auto"/>
        <w:tabs>
          <w:tab w:leader="none" w:pos="295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the Notes, if any, or any other agreement or instrument referred to herein or therein shall be done or omitted;</w:t>
      </w:r>
    </w:p>
    <w:p>
      <w:pPr>
        <w:spacing w:after="0" w:line="173" w:lineRule="exact"/>
        <w:rPr>
          <w:rFonts w:ascii="Arial" w:cs="Arial" w:eastAsia="Arial" w:hAnsi="Arial"/>
          <w:sz w:val="18"/>
          <w:szCs w:val="18"/>
          <w:color w:val="auto"/>
        </w:rPr>
      </w:pPr>
    </w:p>
    <w:p>
      <w:pPr>
        <w:jc w:val="both"/>
        <w:ind w:left="1560" w:right="20" w:firstLine="606"/>
        <w:spacing w:after="0" w:line="283" w:lineRule="auto"/>
        <w:tabs>
          <w:tab w:leader="none" w:pos="29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72" w:lineRule="exact"/>
        <w:rPr>
          <w:rFonts w:ascii="Arial" w:cs="Arial" w:eastAsia="Arial" w:hAnsi="Arial"/>
          <w:sz w:val="16"/>
          <w:szCs w:val="16"/>
          <w:color w:val="auto"/>
        </w:rPr>
      </w:pPr>
    </w:p>
    <w:p>
      <w:pPr>
        <w:ind w:left="1560" w:right="20" w:firstLine="606"/>
        <w:spacing w:after="0" w:line="263" w:lineRule="auto"/>
        <w:tabs>
          <w:tab w:leader="none" w:pos="295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any Issuing Lender or any Lender or the Administrative Agent as security for any of the Guaranteed Obligations shall fail to be perfected; or</w:t>
      </w:r>
    </w:p>
    <w:p>
      <w:pPr>
        <w:spacing w:after="0" w:line="185" w:lineRule="exact"/>
        <w:rPr>
          <w:rFonts w:ascii="Arial" w:cs="Arial" w:eastAsia="Arial" w:hAnsi="Arial"/>
          <w:sz w:val="18"/>
          <w:szCs w:val="18"/>
          <w:color w:val="auto"/>
        </w:rPr>
      </w:pPr>
    </w:p>
    <w:p>
      <w:pPr>
        <w:ind w:left="2760" w:hanging="594"/>
        <w:spacing w:after="0"/>
        <w:tabs>
          <w:tab w:leader="none" w:pos="27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release of any other Guarantor pursuant to </w:t>
      </w:r>
      <w:r>
        <w:rPr>
          <w:rFonts w:ascii="Arial" w:cs="Arial" w:eastAsia="Arial" w:hAnsi="Arial"/>
          <w:sz w:val="18"/>
          <w:szCs w:val="18"/>
          <w:u w:val="single" w:color="auto"/>
          <w:color w:val="auto"/>
        </w:rPr>
        <w:t>Section 10.8</w:t>
      </w:r>
      <w:r>
        <w:rPr>
          <w:rFonts w:ascii="Arial" w:cs="Arial" w:eastAsia="Arial" w:hAnsi="Arial"/>
          <w:sz w:val="18"/>
          <w:szCs w:val="18"/>
          <w:color w:val="auto"/>
        </w:rPr>
        <w:t>, or otherwise.</w:t>
      </w:r>
    </w:p>
    <w:p>
      <w:pPr>
        <w:spacing w:after="0" w:line="295" w:lineRule="exact"/>
        <w:rPr>
          <w:sz w:val="20"/>
          <w:szCs w:val="20"/>
          <w:color w:val="auto"/>
        </w:rPr>
      </w:pPr>
    </w:p>
    <w:p>
      <w:pPr>
        <w:jc w:val="both"/>
        <w:ind w:left="960" w:firstLine="602"/>
        <w:spacing w:after="0" w:line="248" w:lineRule="auto"/>
        <w:rPr>
          <w:sz w:val="20"/>
          <w:szCs w:val="20"/>
          <w:color w:val="auto"/>
        </w:rPr>
      </w:pPr>
      <w:r>
        <w:rPr>
          <w:rFonts w:ascii="Arial" w:cs="Arial" w:eastAsia="Arial" w:hAnsi="Arial"/>
          <w:sz w:val="17"/>
          <w:szCs w:val="17"/>
          <w:color w:val="auto"/>
        </w:rPr>
        <w:t xml:space="preserve">Each of the Guarantors hereby expressly waives diligence, presentment, demand of payment, protest and all notices whatsoever, any defenses it may now or hereafter acquire in any way relating to any law, regulation, decree or order of any jurisdiction, and any requirement that any Secured Party exhaust any right, power or remedy or proceed against the Borrower under this Agreement or the Notes, if any, or any other agreement or instrument referred to herein or therein, or against any other person under any other guarantee of, or security for, any of the Guaranteed Obligations. Each of the Guarantors waives any and all notice of the creation, renewal, extension, waiver, termination or accrual of any of the Guaranteed Obligations and notice of or proof of reliance by any Secured Party upon this guarantee made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Guarantee</w:t>
      </w:r>
      <w:r>
        <w:rPr>
          <w:rFonts w:ascii="Arial" w:cs="Arial" w:eastAsia="Arial" w:hAnsi="Arial"/>
          <w:sz w:val="17"/>
          <w:szCs w:val="17"/>
          <w:color w:val="auto"/>
        </w:rPr>
        <w:t>”) or acceptance of this Guarantee, and the Guaranteed Obligations, and any of them, shall conclusively be deemed to have been created, contracted or incurred in reliance upon this Guarantee, and all dealings between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the Secured Parties and the obligations and liabilities of the Guarantors hereunder shall not be conditioned or contingent upon the pursuit by the Secured Parties or any other person at any time of any right or remedy against the Borrower, any other Loan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the applicable Secured Parties, and their respective successors and assigns, notwithstanding that from time to time during the term of this Agreement there may be no Guaranteed Obligations outstanding.</w:t>
      </w:r>
    </w:p>
    <w:p>
      <w:pPr>
        <w:spacing w:after="0" w:line="212"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The obligations of the Guarantors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be automatically reinstated if and to the extent that for any reason any payment by or on behalf of the Borrower or any Loan Party in respect of the Guaranteed Obligations is rescinded or must be otherwise restored by any holder of any of the Guaranteed Obligations, whether as a result of any proceedings in bankruptcy or reorganization or otherwise.</w:t>
      </w:r>
    </w:p>
    <w:p>
      <w:pPr>
        <w:spacing w:after="0" w:line="20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 Subrogation</w:t>
      </w:r>
      <w:r>
        <w:rPr>
          <w:rFonts w:ascii="Arial" w:cs="Arial" w:eastAsia="Arial" w:hAnsi="Arial"/>
          <w:sz w:val="18"/>
          <w:szCs w:val="18"/>
          <w:color w:val="auto"/>
        </w:rPr>
        <w:t>. Each Guarantor hereby agrees that until the payment and satisfaction in full in cash of all Guaranteed Obligations (other than contingent indemnification and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720"/>
          </w:cols>
          <w:pgMar w:left="360" w:top="1326" w:right="819" w:bottom="1440" w:gutter="0" w:footer="0" w:header="0"/>
        </w:sectPr>
      </w:pPr>
    </w:p>
    <w:bookmarkStart w:id="240" w:name="page241"/>
    <w:bookmarkEnd w:id="240"/>
    <w:p>
      <w:pPr>
        <w:jc w:val="both"/>
        <w:ind w:left="960"/>
        <w:spacing w:after="0" w:line="262" w:lineRule="auto"/>
        <w:rPr>
          <w:sz w:val="20"/>
          <w:szCs w:val="20"/>
          <w:color w:val="auto"/>
        </w:rPr>
      </w:pPr>
      <w:r>
        <w:rPr>
          <w:rFonts w:ascii="Arial" w:cs="Arial" w:eastAsia="Arial" w:hAnsi="Arial"/>
          <w:sz w:val="17"/>
          <w:szCs w:val="17"/>
          <w:color w:val="auto"/>
        </w:rPr>
        <w:t>obligations for which no claim has been made) and the expiration and termination of the Commitments under this Agreement it shall waive any claim and shall not exercise any right or remedy, direct or indirect, arising by reason of any performance by it of its guarantee in Section 10.1, whether by subrogation, right of contribution or otherwise, against the Borrower or any other Guarantor of any of the Guaranteed Obligations or any security for any of the Guaranteed Obligations.</w:t>
      </w:r>
    </w:p>
    <w:p>
      <w:pPr>
        <w:spacing w:after="0" w:line="187" w:lineRule="exact"/>
        <w:rPr>
          <w:sz w:val="20"/>
          <w:szCs w:val="20"/>
          <w:color w:val="auto"/>
        </w:rPr>
      </w:pPr>
    </w:p>
    <w:p>
      <w:pPr>
        <w:jc w:val="both"/>
        <w:ind w:left="960" w:firstLine="602"/>
        <w:spacing w:after="0" w:line="253"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Remedies</w:t>
      </w:r>
      <w:r>
        <w:rPr>
          <w:rFonts w:ascii="Arial" w:cs="Arial" w:eastAsia="Arial" w:hAnsi="Arial"/>
          <w:sz w:val="17"/>
          <w:szCs w:val="17"/>
          <w:color w:val="auto"/>
        </w:rPr>
        <w:t>. Each Guarantor jointly and severally agrees that, as between the Guarantors and the Lenders, the obligations of the Borrower under this Agreement and the Notes, if any, may be declared to be forthwith due and payable as provided in Section 11 (and shall be deemed to have become automatically due and payable in the circumstances provided in Section 11) for purposes of Section 10.1, notwithstanding any stay, injunction or other prohibition preventing such declaration (or such obligations from becoming automatically due and payable) as against the Borrower or any Guarantor and that, in the event of such declaration (or such obligations being deemed to have become automatically due and payable, or the circumstances occurring where Section 11 provides that such obligations shall become due and payable), such obligations (whether or not due and payable by the Borrower) shall forthwith become due and payable by the Guarantors for purposes of Section 10.1.</w:t>
      </w:r>
    </w:p>
    <w:p>
      <w:pPr>
        <w:spacing w:after="0" w:line="182"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Continuing Guarantee</w:t>
      </w:r>
      <w:r>
        <w:rPr>
          <w:rFonts w:ascii="Arial" w:cs="Arial" w:eastAsia="Arial" w:hAnsi="Arial"/>
          <w:sz w:val="18"/>
          <w:szCs w:val="18"/>
          <w:color w:val="auto"/>
        </w:rPr>
        <w:t>. The Guarantee made by the Guarantors in this Section 10 is a continuing guarantee of payment, and shall apply to all Guaranteed Obligations whenever arising.</w:t>
      </w:r>
    </w:p>
    <w:p>
      <w:pPr>
        <w:spacing w:after="0" w:line="186" w:lineRule="exact"/>
        <w:rPr>
          <w:sz w:val="20"/>
          <w:szCs w:val="20"/>
          <w:color w:val="auto"/>
        </w:rPr>
      </w:pPr>
    </w:p>
    <w:p>
      <w:pPr>
        <w:jc w:val="both"/>
        <w:ind w:left="960" w:firstLine="602"/>
        <w:spacing w:after="0" w:line="23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General Limitation on Guaranteed Obligations</w:t>
      </w:r>
      <w:r>
        <w:rPr>
          <w:rFonts w:ascii="Arial" w:cs="Arial" w:eastAsia="Arial" w:hAnsi="Arial"/>
          <w:sz w:val="18"/>
          <w:szCs w:val="18"/>
          <w:color w:val="auto"/>
        </w:rPr>
        <w:t>. In any action or proceeding involving any federal, state, provincial or territorial, corporate, limited partnership or limited liability company law, or any applicable state, federal or foreign bankruptcy, examinership, insolvency, reorganization or other law affecting the rights of creditors generally, if the obligations of any Guarantor under Section 10.1 would otherwise be held or determined to be void, voidable, invalid or unenforceable, or subordinated to the claims of any other creditors, on account of the amount of its liability under Section 10.1, then, notwithstanding any other provision to the contrary, the amount of such liability of such Guarantor shall, without any further action by such Guarantor, any Loan Party or any other Person, be automatically limited and reduced to the highest amount (after giving effect to the right of contribution established in Section 10.9) that is valid and enforceable and not subordinated to the claims of other creditors as determined in such action or proceeding.</w:t>
      </w:r>
    </w:p>
    <w:p>
      <w:pPr>
        <w:spacing w:after="0" w:line="212" w:lineRule="exact"/>
        <w:rPr>
          <w:sz w:val="20"/>
          <w:szCs w:val="20"/>
          <w:color w:val="auto"/>
        </w:rPr>
      </w:pPr>
    </w:p>
    <w:p>
      <w:pPr>
        <w:jc w:val="both"/>
        <w:ind w:left="960" w:firstLine="602"/>
        <w:spacing w:after="0" w:line="24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Release of Guarantors and Pledges</w:t>
      </w:r>
      <w:r>
        <w:rPr>
          <w:rFonts w:ascii="Arial" w:cs="Arial" w:eastAsia="Arial" w:hAnsi="Arial"/>
          <w:sz w:val="17"/>
          <w:szCs w:val="17"/>
          <w:color w:val="auto"/>
        </w:rPr>
        <w:t>. A Subsidiary Guarantor shall be automatically released from its obligations hereunder in the event that all the Capital Stock of such Subsidiary Guarantor shall be sold, transferred or otherwise disposed of to a Person other than a Loan Party or such Subsidiary Guarantor shall be liquidated in a transaction permitted by Section 9. Upon written notice of the Borrower to the Administrative Agent, if pursuant to a transaction permitted by this Agreement a Subsidiary Guarantor becomes a Non-Guarantor Subsidiary, such Subsidiary shall be automatically released from its obligations hereunder. Upon written notice of the Borrower to the Administrative Agent, if pursuant to a transaction permitted by this Agreement (i) any Guarantor becomes an Excluded Subsidiary described in clause (v) of the definition thereof, then the Equity Interests of such Guarantor (other than 100.00% of the non-voting Equity Interests and 65.00% of the voting Equity Interests of a Restricted Subsidiary that is a CFC or a CFC Holdco and is directly owned by a Loan Party) shall be automatically released from the security interests created by the Loan Documents or (ii) any Restricted Subsidiary that is a CFC or a CFC Holdco ceases to be directly owned by a Loan Party, then the Equity Interests of such Subsidiary shall be automatically released from any security interests created by the Loan Documents. In connection with any such release of a Guarantor or security interest, the Administrative Agent shall execute and deliver to such Guarantor, at such Guarantor’s expense, all UCC termination statements and other documents that such Guarantor shall reasonably request to evidence such release.</w:t>
      </w:r>
    </w:p>
    <w:p>
      <w:pPr>
        <w:spacing w:after="0" w:line="195" w:lineRule="exact"/>
        <w:rPr>
          <w:sz w:val="20"/>
          <w:szCs w:val="20"/>
          <w:color w:val="auto"/>
        </w:rPr>
      </w:pPr>
    </w:p>
    <w:p>
      <w:pPr>
        <w:jc w:val="both"/>
        <w:ind w:left="960" w:firstLine="601"/>
        <w:spacing w:after="0" w:line="26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Each Guarantor hereby agrees that to the extent that a Guarantor shall have paid more than its proportionate share of any payment made hereunder, such Guarantor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700"/>
          </w:cols>
          <w:pgMar w:left="360" w:top="1327" w:right="839" w:bottom="1440" w:gutter="0" w:footer="0" w:header="0"/>
        </w:sectPr>
      </w:pPr>
    </w:p>
    <w:bookmarkStart w:id="241" w:name="page242"/>
    <w:bookmarkEnd w:id="241"/>
    <w:p>
      <w:pPr>
        <w:jc w:val="both"/>
        <w:ind w:left="960" w:right="20"/>
        <w:spacing w:after="0"/>
        <w:rPr>
          <w:sz w:val="20"/>
          <w:szCs w:val="20"/>
          <w:color w:val="auto"/>
        </w:rPr>
      </w:pPr>
      <w:r>
        <w:rPr>
          <w:rFonts w:ascii="Arial" w:cs="Arial" w:eastAsia="Arial" w:hAnsi="Arial"/>
          <w:sz w:val="18"/>
          <w:szCs w:val="18"/>
          <w:color w:val="auto"/>
        </w:rPr>
        <w:t>entitled to seek and receive contribution from and against any other Guarantor hereunder which has not paid its proportionate share of such payment. Each Guarantor’s right of contribution shall be subject to the terms and conditions of Section 10.4. The provisions of this Section 10.9 shall in no respect limit the obligations and liabilities of any Guarantor to the Collateral Agent and the other Secured Parties, and each Guarantor shall remain liable to the Collateral Agent and the other Secured Parties for the full amount guaranteed by such Guarantor hereunder.</w:t>
      </w:r>
    </w:p>
    <w:p>
      <w:pPr>
        <w:spacing w:after="0" w:line="206" w:lineRule="exact"/>
        <w:rPr>
          <w:sz w:val="20"/>
          <w:szCs w:val="20"/>
          <w:color w:val="auto"/>
        </w:rPr>
      </w:pPr>
    </w:p>
    <w:p>
      <w:pPr>
        <w:jc w:val="both"/>
        <w:ind w:left="960" w:right="20" w:firstLine="601"/>
        <w:spacing w:after="0" w:line="25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ECP Guarantor hereby jointly and severally absolutely, unconditionally and irrevocably undertakes to provide such funds or other support as may be needed from time to time by any other Loan Party hereunder to honor all of such Loan Party’s obligations under this Section 10 in respect of Swap Obligations (provided, however, that each Qualified ECP Guarantor shall only be liable under this Section 10.10 for the maximum amount of such liability that can be hereby incurred without rendering its obligations under this Section 10.10, or otherwise under this Section 10, as it relates to such Loan Party, voidable under applicable law relating to fraudulent conveyance or fraudulent transfer, and not for any greater amount). The obligations of each Qualified ECP Guarantor under this Section 10 shall remain in full force and effect until the Obligations shall have been indefeasibly paid in full and the Revolving Loan Commitments shall have terminated and all Letters of Credit shall have expired or been cancelled. Each Qualified ECP Guarantor intends that this Section 10.10 constitute, and this Section 10.10 shall be deemed to constitute, a “keepwell, support, or other agreement” for the benefit of each other Loan Party for all purposes of Section 1a(18)(A)(v)(II) of the CEA.</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SECTION 11.</w:t>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EVENTS OF DEFAULT</w:t>
      </w:r>
    </w:p>
    <w:p>
      <w:pPr>
        <w:spacing w:after="0" w:line="2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An “Event of Default” shall occur if any of the following events shall occur and be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261" w:lineRule="exact"/>
        <w:rPr>
          <w:sz w:val="20"/>
          <w:szCs w:val="20"/>
          <w:color w:val="auto"/>
        </w:rPr>
      </w:pPr>
    </w:p>
    <w:p>
      <w:pPr>
        <w:jc w:val="both"/>
        <w:ind w:left="1560" w:right="20" w:firstLine="606"/>
        <w:spacing w:after="0" w:line="242" w:lineRule="auto"/>
        <w:tabs>
          <w:tab w:leader="none" w:pos="29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or Unpaid Drawing when due in accordance with the terms hereof; or the Borrower shall fail to pay any interest on any Loan or Unpaid Drawing, or any other amount payable hereunder or under any other Loan Document within five (5) Business Days after any such interest or other amount becomes due in accordance with the terms hereof; or</w:t>
      </w:r>
    </w:p>
    <w:p>
      <w:pPr>
        <w:spacing w:after="0" w:line="205" w:lineRule="exact"/>
        <w:rPr>
          <w:rFonts w:ascii="Arial" w:cs="Arial" w:eastAsia="Arial" w:hAnsi="Arial"/>
          <w:sz w:val="18"/>
          <w:szCs w:val="18"/>
          <w:color w:val="auto"/>
        </w:rPr>
      </w:pPr>
    </w:p>
    <w:p>
      <w:pPr>
        <w:jc w:val="both"/>
        <w:ind w:left="1560" w:firstLine="606"/>
        <w:spacing w:after="0" w:line="251" w:lineRule="auto"/>
        <w:tabs>
          <w:tab w:leader="none" w:pos="2953"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the Borrower or its Material Subsidiaries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(except where such representation or warranty is already qualified by materiality, in which case such representation or warranty shall prove to have been inaccurate in any respect) on or as of the date made or deemed made (or if any representation or warranty is expressly stated to have been made as of a specific date, inaccurate in any material respect as of such specific date (except where such representation or warranty is already qualified by materiality, in which case such representation or warranty shall prove to have been inaccurate in any respect)), and, in each case, such inaccuracy (to the extent capable of remedy) shall continue unremedied for a period of thirty (30) days after notice to the Borrower from the Administrative Agent or the Required Lenders;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344805</wp:posOffset>
            </wp:positionV>
            <wp:extent cx="326390" cy="182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720"/>
          </w:cols>
          <w:pgMar w:left="360" w:top="1326" w:right="819" w:bottom="1440" w:gutter="0" w:footer="0" w:header="0"/>
        </w:sectPr>
      </w:pPr>
    </w:p>
    <w:bookmarkStart w:id="242" w:name="page243"/>
    <w:bookmarkEnd w:id="242"/>
    <w:p>
      <w:pPr>
        <w:ind w:left="1560" w:firstLine="606"/>
        <w:spacing w:after="0" w:line="326" w:lineRule="auto"/>
        <w:tabs>
          <w:tab w:leader="none" w:pos="295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any Loan Party shall default in the observance or performance of (i) any agreement contained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8.4(a)</w:t>
      </w:r>
      <w:r>
        <w:rPr>
          <w:rFonts w:ascii="Arial" w:cs="Arial" w:eastAsia="Arial" w:hAnsi="Arial"/>
          <w:sz w:val="16"/>
          <w:szCs w:val="16"/>
          <w:color w:val="auto"/>
        </w:rPr>
        <w:t xml:space="preserve"> (with respect to the Borrower only), </w:t>
      </w:r>
      <w:r>
        <w:rPr>
          <w:rFonts w:ascii="Arial" w:cs="Arial" w:eastAsia="Arial" w:hAnsi="Arial"/>
          <w:sz w:val="16"/>
          <w:szCs w:val="16"/>
          <w:u w:val="single" w:color="auto"/>
          <w:color w:val="auto"/>
        </w:rPr>
        <w:t>Section 8.7(a)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(ii) </w:t>
      </w:r>
      <w:r>
        <w:rPr>
          <w:rFonts w:ascii="Arial" w:cs="Arial" w:eastAsia="Arial" w:hAnsi="Arial"/>
          <w:sz w:val="16"/>
          <w:szCs w:val="16"/>
          <w:u w:val="single" w:color="auto"/>
          <w:color w:val="auto"/>
        </w:rPr>
        <w:t>Section 9.1</w:t>
      </w:r>
      <w:r>
        <w:rPr>
          <w:rFonts w:ascii="Arial" w:cs="Arial" w:eastAsia="Arial" w:hAnsi="Arial"/>
          <w:sz w:val="16"/>
          <w:szCs w:val="16"/>
          <w:color w:val="auto"/>
        </w:rPr>
        <w:t>; or</w:t>
      </w:r>
    </w:p>
    <w:p>
      <w:pPr>
        <w:spacing w:after="0" w:line="214" w:lineRule="exact"/>
        <w:rPr>
          <w:rFonts w:ascii="Arial" w:cs="Arial" w:eastAsia="Arial" w:hAnsi="Arial"/>
          <w:sz w:val="16"/>
          <w:szCs w:val="16"/>
          <w:color w:val="auto"/>
        </w:rPr>
      </w:pPr>
    </w:p>
    <w:p>
      <w:pPr>
        <w:jc w:val="both"/>
        <w:ind w:left="1560" w:firstLine="606"/>
        <w:spacing w:after="0" w:line="242" w:lineRule="auto"/>
        <w:tabs>
          <w:tab w:leader="none" w:pos="295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any Loan Party shall default in the observance or performance of any other agreement contained in this Agreement or any other Loan Document (other than as provided in paragraphs (a) through (c)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and such default shall continue unremedied for a period of thirty (30) days after notice to the Borrower from the Administrative Agent or the Required Lenders; or</w:t>
      </w:r>
    </w:p>
    <w:p>
      <w:pPr>
        <w:spacing w:after="0" w:line="193" w:lineRule="exact"/>
        <w:rPr>
          <w:rFonts w:ascii="Arial" w:cs="Arial" w:eastAsia="Arial" w:hAnsi="Arial"/>
          <w:sz w:val="18"/>
          <w:szCs w:val="18"/>
          <w:color w:val="auto"/>
        </w:rPr>
      </w:pPr>
    </w:p>
    <w:p>
      <w:pPr>
        <w:jc w:val="both"/>
        <w:ind w:left="1560" w:firstLine="607"/>
        <w:spacing w:after="0" w:line="238" w:lineRule="auto"/>
        <w:tabs>
          <w:tab w:leader="none" w:pos="295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Borrower or any of its Material Subsidiaries shall (i) default in making any payment of any principal of any Indebtedness (including any Guarantee Obligation in respect of Indebtedness, but excluding the Loans) on the scheduled or original due date with respect thereto;</w:t>
      </w:r>
    </w:p>
    <w:p>
      <w:pPr>
        <w:spacing w:after="0" w:line="2" w:lineRule="exact"/>
        <w:rPr>
          <w:rFonts w:ascii="Arial" w:cs="Arial" w:eastAsia="Arial" w:hAnsi="Arial"/>
          <w:sz w:val="18"/>
          <w:szCs w:val="18"/>
          <w:color w:val="auto"/>
        </w:rPr>
      </w:pPr>
    </w:p>
    <w:p>
      <w:pPr>
        <w:jc w:val="both"/>
        <w:ind w:left="1560" w:firstLine="4"/>
        <w:spacing w:after="0" w:line="264" w:lineRule="auto"/>
        <w:tabs>
          <w:tab w:leader="none" w:pos="183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(x)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or (y) to cause, with the giving of notice if required, the Borrower or any of its Subsidiaries to purchase or redeem or make an offer to purchase or redeem such Indebtedness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default, event or condition described in clause (i), (ii) or (iii) of this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shall not at any time constitute an Event of Default (A) unless, at such time, one or more defaults, events or conditions of the type described in clauses (i), (ii) and (iii) of this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shall have occurred and be continuing with respect to Indebtedness the outstanding principal amount of which exceeds the Threshold Amount, (B) in the case of any Indebtedness if the sole remedy or option of the holder thereof in the event of the non-payment of such Indebtedness or the non-payment or non-performance of obligations related thereto is to elect to convert such Indebtedness into Qualified Equity Interests and cash in lieu of fractional shares, (C) in the case of Indebtedness which the holder thereof may elect to convert into Qualified Equity Interests, such Indebtedness from and after the date, if any, on which such conversion has been effected, or (D) the applicable failure has been remedied or waived by the holders of the applicable Indebtedness;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clause (iii) of this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shall not apply to secured Indebtedness that becomes due as a result of the voluntary Disposition of the property or assets securing such Indebtedness, if such Disposition is permitted hereunder and such Indebtedness that becomes due is paid upon such Disposition; or</w:t>
      </w:r>
    </w:p>
    <w:p>
      <w:pPr>
        <w:spacing w:after="0" w:line="187" w:lineRule="exact"/>
        <w:rPr>
          <w:sz w:val="20"/>
          <w:szCs w:val="20"/>
          <w:color w:val="auto"/>
        </w:rPr>
      </w:pPr>
    </w:p>
    <w:p>
      <w:pPr>
        <w:jc w:val="both"/>
        <w:ind w:left="1560" w:firstLine="602"/>
        <w:spacing w:after="0" w:line="251" w:lineRule="auto"/>
        <w:rPr>
          <w:sz w:val="20"/>
          <w:szCs w:val="20"/>
          <w:color w:val="auto"/>
        </w:rPr>
      </w:pPr>
      <w:r>
        <w:rPr>
          <w:rFonts w:ascii="Arial" w:cs="Arial" w:eastAsia="Arial" w:hAnsi="Arial"/>
          <w:sz w:val="17"/>
          <w:szCs w:val="17"/>
          <w:color w:val="auto"/>
        </w:rPr>
        <w:t>(f)(i) the Borrower or any Material Subsidiary, shall commence any case, proceeding or other action (A) under any existing or future law of any jurisdiction, domestic or foreign, relating to bankruptcy, examinership, insolvency, reorganization or relief of debtors or relief of debtors including any plan of compromise or arrangement or other corporate proceeding involving or affecting its creditors, seeking to have an order for relief entered with respect to it, or seeking to adjudicate it a bankrupt or insolvent, or seeking reorganization, arrangement, adjustment, winding up, liquidation, dissolution, composition or other relief with respect to it or its debts, or (B) seeking appointment of a receiver, examiner, receiver-manager, trustee, custodian, conservator, monitor or other similar official for it or for all or any substantial part of its assets, or the Borrower or any Material Subsidiary shall make a general assignment for the benefit of its creditors; or (ii) there shall be commenced against the Borrower or any Material Subsidiary any case, proceeding or other action of a nature referred to in clause (i) above that (A) results in the entry of an order for relief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344805</wp:posOffset>
            </wp:positionV>
            <wp:extent cx="326390" cy="182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700"/>
          </w:cols>
          <w:pgMar w:left="360" w:top="1326" w:right="839" w:bottom="1440" w:gutter="0" w:footer="0" w:header="0"/>
        </w:sectPr>
      </w:pPr>
    </w:p>
    <w:bookmarkStart w:id="243" w:name="page244"/>
    <w:bookmarkEnd w:id="243"/>
    <w:p>
      <w:pPr>
        <w:jc w:val="both"/>
        <w:ind w:left="1560"/>
        <w:spacing w:after="0" w:line="253" w:lineRule="auto"/>
        <w:rPr>
          <w:sz w:val="20"/>
          <w:szCs w:val="20"/>
          <w:color w:val="auto"/>
        </w:rPr>
      </w:pPr>
      <w:r>
        <w:rPr>
          <w:rFonts w:ascii="Arial" w:cs="Arial" w:eastAsia="Arial" w:hAnsi="Arial"/>
          <w:sz w:val="17"/>
          <w:szCs w:val="17"/>
          <w:color w:val="auto"/>
        </w:rPr>
        <w:t>any such adjudication or appointment or (B) remains undismissed, undischarged or unbonded for a period of sixty (60) days; or (iii) there shall be commenced against the Borrower or any 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the Borrower or any Material Subsidiary shall take any action in furtherance of, or indicating its consent to, approval of, or acquiescence in, any of the acts set forth in clause (i), (ii), or (iii) above; or (v) the Borrower or any Material Subsidiary shall generally not, or shall be unable to, or shall admit in writing its inability to, pay its debts as they become due; or</w:t>
      </w:r>
    </w:p>
    <w:p>
      <w:pPr>
        <w:spacing w:after="0" w:line="195" w:lineRule="exact"/>
        <w:rPr>
          <w:sz w:val="20"/>
          <w:szCs w:val="20"/>
          <w:color w:val="auto"/>
        </w:rPr>
      </w:pPr>
    </w:p>
    <w:p>
      <w:pPr>
        <w:jc w:val="both"/>
        <w:ind w:left="1560" w:right="20" w:firstLine="607"/>
        <w:spacing w:after="0" w:line="235" w:lineRule="auto"/>
        <w:tabs>
          <w:tab w:leader="none" w:pos="295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 any Person shall engage in any non-exempt “prohibited transaction” (as defined in Section 406 of ERISA or Section 4975 of the Code) involving any Plan, (ii) any Plan has failed to meet the minimum funding standards of Section 412 or 430 of the Code or Section 302 or 303 of ERISA, whether or not waived or any Lien in favor of the PBGC or a Plan shall arise on the assets of the Borrower, any Material Subsidiary, or any Commonly Controlled Entity, (iii) a Reportable Event shall occur with respect to, or proceedings shall commence to have a trustee appointed, or a trustee shall be appointed, to administer or to terminate, any Single Employer Plan,</w:t>
      </w:r>
    </w:p>
    <w:p>
      <w:pPr>
        <w:spacing w:after="0" w:line="3" w:lineRule="exact"/>
        <w:rPr>
          <w:rFonts w:ascii="Arial" w:cs="Arial" w:eastAsia="Arial" w:hAnsi="Arial"/>
          <w:sz w:val="18"/>
          <w:szCs w:val="18"/>
          <w:color w:val="auto"/>
        </w:rPr>
      </w:pPr>
    </w:p>
    <w:p>
      <w:pPr>
        <w:jc w:val="both"/>
        <w:ind w:left="1560" w:firstLine="5"/>
        <w:spacing w:after="0" w:line="235" w:lineRule="auto"/>
        <w:tabs>
          <w:tab w:leader="none" w:pos="187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Single Employer Plan shall terminate for purposes of Title IV of ERISA, (v) the Borrower, any Material Subsidiary or any Commonly Controlled Entity shall incur liability in connection with a withdrawal from, or the Insolvency of, a Multiemployer Plan, (vi) a Multiemployer Plan is in endangered or critical status under Section 305 of ERISA, (vii) any contribution required to be made with respect to a Single Employer Plan, Multiemployer Plan or Non-U.S. Plan has not been timely made or (viii) a Plan has an Unfunded Pension Liability; and in each case in clauses (i) through (viii) above, such event or condition, together with all other such events or conditions, if any, has had, or would reasonably be expected to have, a Material Adverse Effect; or</w:t>
      </w:r>
    </w:p>
    <w:p>
      <w:pPr>
        <w:spacing w:after="0" w:line="195" w:lineRule="exact"/>
        <w:rPr>
          <w:rFonts w:ascii="Arial" w:cs="Arial" w:eastAsia="Arial" w:hAnsi="Arial"/>
          <w:sz w:val="18"/>
          <w:szCs w:val="18"/>
          <w:color w:val="auto"/>
        </w:rPr>
      </w:pPr>
    </w:p>
    <w:p>
      <w:pPr>
        <w:jc w:val="both"/>
        <w:ind w:left="1560" w:right="20" w:firstLine="607"/>
        <w:spacing w:after="0" w:line="258" w:lineRule="auto"/>
        <w:tabs>
          <w:tab w:leader="none" w:pos="295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one or more judgments or decrees shall be entered against the Borrower or any of its Material Subsidiaries involving in the aggregate a liability (not (x) paid or covered by insurance as to which the relevant insurance company has been notified of the claim and has not denied coverage or (y) covered by valid third-party indemnification obligation from a third party which is Solvent) in excess of the Threshold Amount, and all such judgments or decrees shall not have been vacated, discharged, stayed or bonded pending appeal within sixty (60) days from the entry thereof; or</w:t>
      </w:r>
    </w:p>
    <w:p>
      <w:pPr>
        <w:spacing w:after="0" w:line="190" w:lineRule="exact"/>
        <w:rPr>
          <w:rFonts w:ascii="Arial" w:cs="Arial" w:eastAsia="Arial" w:hAnsi="Arial"/>
          <w:sz w:val="17"/>
          <w:szCs w:val="17"/>
          <w:color w:val="auto"/>
        </w:rPr>
      </w:pPr>
    </w:p>
    <w:p>
      <w:pPr>
        <w:jc w:val="both"/>
        <w:ind w:left="1560" w:right="20" w:firstLine="607"/>
        <w:spacing w:after="0" w:line="237" w:lineRule="auto"/>
        <w:tabs>
          <w:tab w:leader="none" w:pos="23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material Security Document shall cease, for any reason, to be in full force and effect, other than pursuant to the terms hereof or thereof, or any Loan Party shall so assert in writing, or any Lien created by any such Security Document shall cease to be enforceable and of the same effect and priority purported to be created thereby, except to the extent that (x) any such loss of perfection or priority results solely from the failure of the Collateral Agent to maintain possession of certificates actually delivered to it representing securities pledged under any Security Document or from the failure of the Administrative Agent to file UCC continuation statements (or similar statements or filings in other jurisdictions) and (y) the Loan Parties take such action as the Administrative Agent may reasonably request to remedy such loss of perfection or priority; or</w:t>
      </w:r>
    </w:p>
    <w:p>
      <w:pPr>
        <w:spacing w:after="0" w:line="208" w:lineRule="exact"/>
        <w:rPr>
          <w:rFonts w:ascii="Arial" w:cs="Arial" w:eastAsia="Arial" w:hAnsi="Arial"/>
          <w:sz w:val="18"/>
          <w:szCs w:val="18"/>
          <w:color w:val="auto"/>
        </w:rPr>
      </w:pPr>
    </w:p>
    <w:p>
      <w:pPr>
        <w:jc w:val="both"/>
        <w:ind w:left="1560" w:right="20" w:firstLine="607"/>
        <w:spacing w:after="0" w:line="248" w:lineRule="auto"/>
        <w:tabs>
          <w:tab w:leader="none" w:pos="23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any material Guarantee of any Guarantor contained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cease, for any reason, to be in full force and effect, other than as provided for in </w:t>
      </w:r>
      <w:r>
        <w:rPr>
          <w:rFonts w:ascii="Arial" w:cs="Arial" w:eastAsia="Arial" w:hAnsi="Arial"/>
          <w:sz w:val="18"/>
          <w:szCs w:val="18"/>
          <w:u w:val="single" w:color="auto"/>
          <w:color w:val="auto"/>
        </w:rPr>
        <w:t>Section 10.8</w:t>
      </w:r>
      <w:r>
        <w:rPr>
          <w:rFonts w:ascii="Arial" w:cs="Arial" w:eastAsia="Arial" w:hAnsi="Arial"/>
          <w:sz w:val="18"/>
          <w:szCs w:val="18"/>
          <w:color w:val="auto"/>
        </w:rPr>
        <w:t>, or any Loan Party or any Affiliate of any such Loan Party shall so assert; or</w:t>
      </w:r>
    </w:p>
    <w:p>
      <w:pPr>
        <w:spacing w:after="0" w:line="185" w:lineRule="exact"/>
        <w:rPr>
          <w:rFonts w:ascii="Arial" w:cs="Arial" w:eastAsia="Arial" w:hAnsi="Arial"/>
          <w:sz w:val="18"/>
          <w:szCs w:val="18"/>
          <w:color w:val="auto"/>
        </w:rPr>
      </w:pPr>
    </w:p>
    <w:p>
      <w:pPr>
        <w:ind w:left="2760" w:hanging="595"/>
        <w:spacing w:after="0"/>
        <w:tabs>
          <w:tab w:leader="none" w:pos="27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720"/>
          </w:cols>
          <w:pgMar w:left="360" w:top="1327" w:right="819" w:bottom="1440" w:gutter="0" w:footer="0" w:header="0"/>
        </w:sectPr>
      </w:pPr>
    </w:p>
    <w:bookmarkStart w:id="244" w:name="page245"/>
    <w:bookmarkEnd w:id="244"/>
    <w:p>
      <w:pPr>
        <w:jc w:val="both"/>
        <w:ind w:left="960" w:right="20" w:firstLine="602"/>
        <w:spacing w:after="0" w:line="234" w:lineRule="auto"/>
        <w:rPr>
          <w:sz w:val="20"/>
          <w:szCs w:val="20"/>
          <w:color w:val="auto"/>
        </w:rPr>
      </w:pPr>
      <w:r>
        <w:rPr>
          <w:rFonts w:ascii="Arial" w:cs="Arial" w:eastAsia="Arial" w:hAnsi="Arial"/>
          <w:sz w:val="18"/>
          <w:szCs w:val="18"/>
          <w:color w:val="auto"/>
        </w:rPr>
        <w:t>Notwithstanding anything to the contrary contained herein, any Default or Event of Default shall be deemed not to “exist” or be “continuing” (or other similar expression with respect thereto) if (x) the events, acts or conditions that gave rise to such Default or Event of Default have been remedied or cured (including by payment, notice, taking of any action or omitting to take any action) or have ceased to exist or (y) such Default or Event of Default shall have been waived. Notwithstanding the forgoing, an Event of Default (the “</w:t>
      </w:r>
      <w:r>
        <w:rPr>
          <w:rFonts w:ascii="Arial" w:cs="Arial" w:eastAsia="Arial" w:hAnsi="Arial"/>
          <w:sz w:val="18"/>
          <w:szCs w:val="18"/>
          <w:u w:val="single" w:color="auto"/>
          <w:color w:val="auto"/>
        </w:rPr>
        <w:t>Initial Default</w:t>
      </w:r>
      <w:r>
        <w:rPr>
          <w:rFonts w:ascii="Arial" w:cs="Arial" w:eastAsia="Arial" w:hAnsi="Arial"/>
          <w:sz w:val="18"/>
          <w:szCs w:val="18"/>
          <w:color w:val="auto"/>
        </w:rPr>
        <w:t>”) may not be cured pursuant to clause (x) of the immediately preceding sentence: (a) if (i) the Borrower or any of its Material Subsidiaries takes any action that is not permitted during, and as a result of, the continuance of such Initial Default (including, without limitation, a credit extension at a time when the conditions thereto have not been met and the application of proceeds thereof),</w:t>
      </w:r>
    </w:p>
    <w:p>
      <w:pPr>
        <w:spacing w:after="0" w:line="7" w:lineRule="exact"/>
        <w:rPr>
          <w:sz w:val="20"/>
          <w:szCs w:val="20"/>
          <w:color w:val="auto"/>
        </w:rPr>
      </w:pPr>
    </w:p>
    <w:p>
      <w:pPr>
        <w:ind w:left="960" w:right="20" w:firstLine="3"/>
        <w:spacing w:after="0" w:line="232" w:lineRule="auto"/>
        <w:tabs>
          <w:tab w:leader="none" w:pos="123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action directly results in the cure of such Initial Default, and (iii) the Borrower had actual knowledge at the time of taking any such action that the Initial Default had occurred and was continuing;</w:t>
      </w:r>
    </w:p>
    <w:p>
      <w:pPr>
        <w:spacing w:after="0" w:line="1" w:lineRule="exact"/>
        <w:rPr>
          <w:rFonts w:ascii="Arial" w:cs="Arial" w:eastAsia="Arial" w:hAnsi="Arial"/>
          <w:sz w:val="18"/>
          <w:szCs w:val="18"/>
          <w:color w:val="auto"/>
        </w:rPr>
      </w:pPr>
    </w:p>
    <w:p>
      <w:pPr>
        <w:jc w:val="both"/>
        <w:ind w:left="960" w:right="20" w:firstLine="2"/>
        <w:spacing w:after="0" w:line="250" w:lineRule="auto"/>
        <w:tabs>
          <w:tab w:leader="none" w:pos="122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 the case of an Initial Default for which (i) the Borrower failed to give notice to the Administrative Agent and the Lenders of such Initial Default in accordance with the notice covenant and (ii) the Borrower or its responsible officers had Knowledge of such failure to give notice; or (c) in the case of an Event of Default with respect to (i) the actual or asserted invalidity of guarantees or security documents or loss of liens and/or perfection with respect to a material portion of the Collateral that directly results in material impairment of the rights and remedies of the Lenders, Collateral Agent or Administrative Agent and is incapable of being cured or (ii) failure to maintain insurance that directly results in a material adverse effect on the ability of the Borrower and the Loan Parties (taken as a whole) to perform their respective payment obligations under any Loan Document.</w:t>
      </w:r>
    </w:p>
    <w:p>
      <w:pPr>
        <w:spacing w:after="0" w:line="201"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Action in Event of Default</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64" w:lineRule="auto"/>
        <w:tabs>
          <w:tab w:leader="none" w:pos="235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Upon any Event of Default specified in </w:t>
      </w:r>
      <w:r>
        <w:rPr>
          <w:rFonts w:ascii="Arial" w:cs="Arial" w:eastAsia="Arial" w:hAnsi="Arial"/>
          <w:sz w:val="16"/>
          <w:szCs w:val="16"/>
          <w:u w:val="single" w:color="auto"/>
          <w:color w:val="auto"/>
        </w:rPr>
        <w:t>Section 11.1(f)</w:t>
      </w:r>
      <w:r>
        <w:rPr>
          <w:rFonts w:ascii="Arial" w:cs="Arial" w:eastAsia="Arial" w:hAnsi="Arial"/>
          <w:sz w:val="16"/>
          <w:szCs w:val="16"/>
          <w:color w:val="auto"/>
        </w:rPr>
        <w:t xml:space="preserve"> in respect of the commencement of any case, proceeding or other action, the Commitments shall immediately terminate automatically and the Loans (with accrued interest thereon) and all other Obligations owing under this Agreement and the other Loan Documents (including all amounts of L/C Obligations, whether or not the beneficiaries of the then outstanding Letters of Credit shall have presented the documents required thereunder) shall automatically immediately become due and payable and, except as otherwise provided in </w:t>
      </w:r>
      <w:r>
        <w:rPr>
          <w:rFonts w:ascii="Arial" w:cs="Arial" w:eastAsia="Arial" w:hAnsi="Arial"/>
          <w:sz w:val="16"/>
          <w:szCs w:val="16"/>
          <w:u w:val="single" w:color="auto"/>
          <w:color w:val="auto"/>
        </w:rPr>
        <w:t>Section 11.2(b)</w:t>
      </w:r>
      <w:r>
        <w:rPr>
          <w:rFonts w:ascii="Arial" w:cs="Arial" w:eastAsia="Arial" w:hAnsi="Arial"/>
          <w:sz w:val="16"/>
          <w:szCs w:val="16"/>
          <w:color w:val="auto"/>
        </w:rPr>
        <w:t xml:space="preserve"> below, if any other Event of Default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occurs, any or all of the following actions may be taken: (i) with the consent of the Required Lenders, the Administrative Agent may, or upon the request of the Required Lenders, the Administrative Agent shall, by notice to the Borrower, declare the Revolving Loan Commitments to be terminated forthwith, whereupon the Revolving Loan Commitments shall immediately terminate; (ii) with the consent of the Required Lenders, the Administrative Agent may, or upon the request of the Required Lenders, the Administrative Agent shall, by notice to the Borrower, declare the Loans (with accrued interest thereon) and all other Obligations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and (iii) the Administrative Agent, in its capacity as Collateral Agent, may enforce all Liens and security interests created pursuant to the Security Documents.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and all amounts drawn thereunder have been reimbursed in full and all other Obligations of the Borrower hereunder and under the other Loan Documents shall have been paid in full (other than contingent indemnification and reimbursement obligations for which no claim has been made), the balance, if any,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471805</wp:posOffset>
            </wp:positionV>
            <wp:extent cx="326390" cy="182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720"/>
          </w:cols>
          <w:pgMar w:left="360" w:top="1326" w:right="819" w:bottom="1440" w:gutter="0" w:footer="0" w:header="0"/>
        </w:sectPr>
      </w:pPr>
    </w:p>
    <w:bookmarkStart w:id="245" w:name="page246"/>
    <w:bookmarkEnd w:id="245"/>
    <w:p>
      <w:pPr>
        <w:jc w:val="both"/>
        <w:ind w:left="960" w:right="20"/>
        <w:spacing w:after="0" w:line="248" w:lineRule="auto"/>
        <w:rPr>
          <w:sz w:val="20"/>
          <w:szCs w:val="20"/>
          <w:color w:val="auto"/>
        </w:rPr>
      </w:pPr>
      <w:r>
        <w:rPr>
          <w:rFonts w:ascii="Arial" w:cs="Arial" w:eastAsia="Arial" w:hAnsi="Arial"/>
          <w:sz w:val="18"/>
          <w:szCs w:val="18"/>
          <w:color w:val="auto"/>
        </w:rPr>
        <w:t xml:space="preserve">such cash collateral account shall be returned to the Borrower (or such other Person as may be lawfully entitled thereto). Except as expressly provided above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presentment, demand, protest and all other notices of any kind are hereby expressly waived by the Borrower.</w:t>
      </w:r>
    </w:p>
    <w:p>
      <w:pPr>
        <w:spacing w:after="0" w:line="198" w:lineRule="exact"/>
        <w:rPr>
          <w:sz w:val="20"/>
          <w:szCs w:val="20"/>
          <w:color w:val="auto"/>
        </w:rPr>
      </w:pPr>
    </w:p>
    <w:p>
      <w:pPr>
        <w:jc w:val="both"/>
        <w:ind w:left="960" w:right="20" w:firstLine="605"/>
        <w:spacing w:after="0" w:line="238" w:lineRule="auto"/>
        <w:tabs>
          <w:tab w:leader="none" w:pos="235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upon the occurrence of an Event of Default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11.1(c)(ii)</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that is uncured or unwaived, the Required Lenders may (i) declare that such breach constitutes a Default for purposes of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w:t>
      </w:r>
    </w:p>
    <w:p>
      <w:pPr>
        <w:spacing w:after="0" w:line="2" w:lineRule="exact"/>
        <w:rPr>
          <w:rFonts w:ascii="Arial" w:cs="Arial" w:eastAsia="Arial" w:hAnsi="Arial"/>
          <w:sz w:val="18"/>
          <w:szCs w:val="18"/>
          <w:color w:val="auto"/>
        </w:rPr>
      </w:pPr>
    </w:p>
    <w:p>
      <w:pPr>
        <w:jc w:val="both"/>
        <w:ind w:left="960" w:firstLine="3"/>
        <w:spacing w:after="0" w:line="246" w:lineRule="auto"/>
        <w:tabs>
          <w:tab w:leader="none" w:pos="124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on the date that is fifteen (15) Business Days after the date on which financial statements are required to be delivered for the applicable fiscal quarter if the Borrower has provided a Notice of Intent to Cure with respect to such breach and, otherwise, immediately upon such breach, either (x) terminate the Revolving Loan Commitment or (y) take the actions specified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11.2(a)</w:t>
      </w:r>
      <w:r>
        <w:rPr>
          <w:rFonts w:ascii="Arial" w:cs="Arial" w:eastAsia="Arial" w:hAnsi="Arial"/>
          <w:sz w:val="17"/>
          <w:szCs w:val="17"/>
          <w:color w:val="auto"/>
        </w:rPr>
        <w:t xml:space="preserve"> in respect of the Revolving Loan Commitments and the Revolving Loans. In respect of a Financial Covenant Event of Default that is continuing, the Required Lenders may take the actions specified in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on or after the date that the Required Lenders terminate the Revolving Loan Commitment or accelerate all Obligations in respect of the Revolving Loan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Required Lenders may not take such actions if either</w:t>
      </w:r>
    </w:p>
    <w:p>
      <w:pPr>
        <w:spacing w:after="0" w:line="1" w:lineRule="exact"/>
        <w:rPr>
          <w:rFonts w:ascii="Arial" w:cs="Arial" w:eastAsia="Arial" w:hAnsi="Arial"/>
          <w:sz w:val="17"/>
          <w:szCs w:val="17"/>
          <w:color w:val="auto"/>
        </w:rPr>
      </w:pPr>
    </w:p>
    <w:p>
      <w:pPr>
        <w:jc w:val="both"/>
        <w:ind w:left="960" w:firstLine="3"/>
        <w:spacing w:after="0" w:line="239" w:lineRule="auto"/>
        <w:tabs>
          <w:tab w:leader="none" w:pos="11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Revolving Loans have been repaid in full (other than contingent indemnification and reimbursement obligations for which no claim has been made) and the Revolving Loan Commitments have been terminated or (ii) the Financial Covenant Event of Default has been waived by the Required Lenders.</w:t>
      </w:r>
    </w:p>
    <w:p>
      <w:pPr>
        <w:spacing w:after="0" w:line="19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Right to Cure</w:t>
      </w:r>
      <w:r>
        <w:rPr>
          <w:rFonts w:ascii="Arial" w:cs="Arial" w:eastAsia="Arial" w:hAnsi="Arial"/>
          <w:sz w:val="16"/>
          <w:szCs w:val="16"/>
          <w:color w:val="auto"/>
        </w:rPr>
        <w:t>.</w:t>
      </w:r>
    </w:p>
    <w:p>
      <w:pPr>
        <w:spacing w:after="0" w:line="307" w:lineRule="exact"/>
        <w:rPr>
          <w:sz w:val="20"/>
          <w:szCs w:val="20"/>
          <w:color w:val="auto"/>
        </w:rPr>
      </w:pPr>
    </w:p>
    <w:p>
      <w:pPr>
        <w:jc w:val="both"/>
        <w:ind w:left="960" w:firstLine="604"/>
        <w:spacing w:after="0" w:line="248" w:lineRule="auto"/>
        <w:tabs>
          <w:tab w:leader="none" w:pos="235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Solely to the extent the Borrower is required to comply with the Financial Covenant for the most recent Test Period and solely for purposes of determining such compliance, after the end of such Test Period and on or prior to the day that is fifteen (15) Business Days after the day on which financial statements are required to be delivered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for such Test Period (the “</w:t>
      </w:r>
      <w:r>
        <w:rPr>
          <w:rFonts w:ascii="Arial" w:cs="Arial" w:eastAsia="Arial" w:hAnsi="Arial"/>
          <w:sz w:val="17"/>
          <w:szCs w:val="17"/>
          <w:u w:val="single" w:color="auto"/>
          <w:color w:val="auto"/>
        </w:rPr>
        <w:t>Equity Cure Period</w:t>
      </w:r>
      <w:r>
        <w:rPr>
          <w:rFonts w:ascii="Arial" w:cs="Arial" w:eastAsia="Arial" w:hAnsi="Arial"/>
          <w:sz w:val="17"/>
          <w:szCs w:val="17"/>
          <w:color w:val="auto"/>
        </w:rPr>
        <w:t>”), one or more of the Investors shall have the right to make, or cause one or more other Persons to make, an equity investment (which equity shall be common equity or Qualified Equity Interests) in the Borrower in cash, on or prior to the expiration of the Equity Cure Period for such fiscal quarter, and such cash will, if so designated by the Borrower, be included in the calculation of Consolidated CEBITDA for the purposes of determining compliance with the Financial Covenant at the end of such fiscal quarter and the subsequent three fiscal quarters (any such equity contribution so included in the calculation of Consolidated CEBITDA, a “</w:t>
      </w:r>
      <w:r>
        <w:rPr>
          <w:rFonts w:ascii="Arial" w:cs="Arial" w:eastAsia="Arial" w:hAnsi="Arial"/>
          <w:sz w:val="17"/>
          <w:szCs w:val="17"/>
          <w:u w:val="single" w:color="auto"/>
          <w:color w:val="auto"/>
        </w:rPr>
        <w:t>Specified Equity Contribution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Lender shall be required to make any extensions of credit to the Borrower during the fifteen (15) Business Day period referred to above unless the Borrower has received proceeds of such Specified Equity contributions, (b) there shall be no more than two (2) quarters in each four (4) consecutive fiscal quarter period in respect of which a Specified Equity Contribution is made, (c) the amount of any Specified Equity Contribution shall be no more than the amount required to cause the Borrower to be in compliance with the Financial Covenant on a Pro Forma Basis, (d) no more than five (5) Specified Equity Contributions shall be made during the term of this Agreement, (e) all Specified Equity Contributions shall be disregarded for purposes of any financial ratio determination under this Agreement other than for determining compliance with the Financial Covenant (and will not be credited as an addition to the builder basket provided for in </w:t>
      </w:r>
      <w:r>
        <w:rPr>
          <w:rFonts w:ascii="Arial" w:cs="Arial" w:eastAsia="Arial" w:hAnsi="Arial"/>
          <w:sz w:val="17"/>
          <w:szCs w:val="17"/>
          <w:u w:val="single" w:color="auto"/>
          <w:color w:val="auto"/>
        </w:rPr>
        <w:t>Section 9.2(a)(v) or any other builder basket</w:t>
      </w:r>
      <w:r>
        <w:rPr>
          <w:rFonts w:ascii="Arial" w:cs="Arial" w:eastAsia="Arial" w:hAnsi="Arial"/>
          <w:sz w:val="17"/>
          <w:szCs w:val="17"/>
          <w:color w:val="auto"/>
        </w:rPr>
        <w:t xml:space="preserve"> hereunder) and (f) there shall be no reduction in Indebtedness with the proceeds of such Specified Equity Contribution for determining compliance with the Financial Covenant for the fiscal quarter for which such Specified Equity Contribution was made.</w:t>
      </w:r>
    </w:p>
    <w:p>
      <w:pPr>
        <w:spacing w:after="0" w:line="212" w:lineRule="exact"/>
        <w:rPr>
          <w:rFonts w:ascii="Arial" w:cs="Arial" w:eastAsia="Arial" w:hAnsi="Arial"/>
          <w:sz w:val="17"/>
          <w:szCs w:val="17"/>
          <w:color w:val="auto"/>
        </w:rPr>
      </w:pPr>
    </w:p>
    <w:p>
      <w:pPr>
        <w:jc w:val="both"/>
        <w:ind w:left="960" w:right="20" w:firstLine="605"/>
        <w:spacing w:after="0" w:line="248" w:lineRule="auto"/>
        <w:tabs>
          <w:tab w:leader="none" w:pos="235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Upon receipt by the Administrative Agent of a Notice of Intent to Cure prior to the last day of the Equity Cure Period, neither the Administrative Agent nor any Lender shall exercise any rights or remedies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any rights and remedies under any other Loan Document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720"/>
          </w:cols>
          <w:pgMar w:left="360" w:top="1326" w:right="819" w:bottom="1440" w:gutter="0" w:footer="0" w:header="0"/>
        </w:sectPr>
      </w:pPr>
    </w:p>
    <w:bookmarkStart w:id="246" w:name="page247"/>
    <w:bookmarkEnd w:id="246"/>
    <w:p>
      <w:pPr>
        <w:ind w:left="960"/>
        <w:spacing w:after="0" w:line="263" w:lineRule="auto"/>
        <w:rPr>
          <w:sz w:val="20"/>
          <w:szCs w:val="20"/>
          <w:color w:val="auto"/>
        </w:rPr>
      </w:pPr>
      <w:r>
        <w:rPr>
          <w:rFonts w:ascii="Arial" w:cs="Arial" w:eastAsia="Arial" w:hAnsi="Arial"/>
          <w:sz w:val="18"/>
          <w:szCs w:val="18"/>
          <w:color w:val="auto"/>
        </w:rPr>
        <w:t>available during the continuance of an Event of Default) on the basis of any failure to comply with the Financial Covenant until the expiration of the Equity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700"/>
          </w:cols>
          <w:pgMar w:left="360" w:top="1264" w:right="839" w:bottom="1440" w:gutter="0" w:footer="0" w:header="0"/>
        </w:sectPr>
      </w:pPr>
    </w:p>
    <w:bookmarkStart w:id="247" w:name="page248"/>
    <w:bookmarkEnd w:id="247"/>
    <w:p>
      <w:pPr>
        <w:jc w:val="both"/>
        <w:ind w:left="960" w:right="20" w:firstLine="602"/>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If an Event of Default shall have occurred and be continuing, the Administrative Agent may apply, at such time or times as the Administrative Agent may elect, all or any part of the proceeds constituting Collateral in payment of the Obligations (and in the event the Loans and other Obligations are accelerated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the Administrative Agent shall, from time to time, apply the proceeds constituting Collateral, and all other amounts received on account of the Obligations), in the following order:</w:t>
      </w:r>
    </w:p>
    <w:p>
      <w:pPr>
        <w:spacing w:after="0" w:line="206" w:lineRule="exact"/>
        <w:rPr>
          <w:sz w:val="20"/>
          <w:szCs w:val="20"/>
          <w:color w:val="auto"/>
        </w:rPr>
      </w:pPr>
    </w:p>
    <w:p>
      <w:pPr>
        <w:jc w:val="both"/>
        <w:ind w:left="1560" w:firstLine="607"/>
        <w:spacing w:after="0" w:line="249" w:lineRule="auto"/>
        <w:tabs>
          <w:tab w:leader="none" w:pos="295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First, to the payment of all costs and expenses of any sale, collection or other realization on the Collateral, including reimbursement for all costs, expenses, liabilities and advances made or incurred by the Administrative Agent and Collateral Agent in connection therewith (including, without limitation, all reasonable costs and expenses of every kind incurred in connection with any action taken pursuant to any Loan Document or incidental to the care or safekeeping of any of the Collateral or in any way relating to the Collateral or the rights of the Collateral Agent and the other Secured Parties hereunder, reasonable attorneys’ fees and disbursements and any other amount required by any provision of law (including, without limitation, Section 9-615(a)(3) of the UCC)), and all amounts for which Administrative Agent and Collateral Agent are entitled to indemnification hereunder and under the other Loan Documents and all advances made by the Administrative Agent and the Collateral Agent hereunder and thereunder for the account of any Loan Party (excluding principal and interest in respect of any Loans extended to such Loan Party), and to the payment of all costs and expenses paid or incurred by the Administrative Agent or the Collateral Agent in connection with the exercise of any right or remedy hereunder or under this Agreement or any other Loan Document and to the payment or reimbursement of all indemnification obligations, fees, costs and expenses owing to the Administrative Agent hereunder or under this Agreement or any other Loan Document, all in accordance with the terms hereof or thereof;</w:t>
      </w:r>
    </w:p>
    <w:p>
      <w:pPr>
        <w:spacing w:after="0" w:line="195" w:lineRule="exact"/>
        <w:rPr>
          <w:rFonts w:ascii="Arial" w:cs="Arial" w:eastAsia="Arial" w:hAnsi="Arial"/>
          <w:sz w:val="17"/>
          <w:szCs w:val="17"/>
          <w:color w:val="auto"/>
        </w:rPr>
      </w:pPr>
    </w:p>
    <w:p>
      <w:pPr>
        <w:jc w:val="both"/>
        <w:ind w:left="1560" w:right="20" w:firstLine="607"/>
        <w:spacing w:after="0" w:line="242" w:lineRule="auto"/>
        <w:tabs>
          <w:tab w:leader="none" w:pos="295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Second, to the payment of that portion of the Obligations constituting fees, indemnities, expenses and other amounts (other than principal and interest, but including reasonable fees and disbursement of counsel payable under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5.5</w:t>
      </w:r>
      <w:r>
        <w:rPr>
          <w:rFonts w:ascii="Arial" w:cs="Arial" w:eastAsia="Arial" w:hAnsi="Arial"/>
          <w:sz w:val="18"/>
          <w:szCs w:val="18"/>
          <w:color w:val="auto"/>
        </w:rPr>
        <w:t>) payable to the Administrative Agent or the Collateral Agent in its capacity as such;</w:t>
      </w:r>
    </w:p>
    <w:p>
      <w:pPr>
        <w:spacing w:after="0" w:line="205" w:lineRule="exact"/>
        <w:rPr>
          <w:rFonts w:ascii="Arial" w:cs="Arial" w:eastAsia="Arial" w:hAnsi="Arial"/>
          <w:sz w:val="18"/>
          <w:szCs w:val="18"/>
          <w:color w:val="auto"/>
        </w:rPr>
      </w:pPr>
    </w:p>
    <w:p>
      <w:pPr>
        <w:jc w:val="both"/>
        <w:ind w:left="1560" w:right="20" w:firstLine="607"/>
        <w:spacing w:after="0" w:line="242" w:lineRule="auto"/>
        <w:tabs>
          <w:tab w:leader="none" w:pos="295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Third, to the payment of that portion of the Obligations constituting fees, indemnities and other amounts (other than principal and interest) payable to the Lenders (including reasonable fees and disbursement of counsel payable under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5.5</w:t>
      </w:r>
      <w:r>
        <w:rPr>
          <w:rFonts w:ascii="Arial" w:cs="Arial" w:eastAsia="Arial" w:hAnsi="Arial"/>
          <w:sz w:val="18"/>
          <w:szCs w:val="18"/>
          <w:color w:val="auto"/>
        </w:rPr>
        <w:t>), ratably among them in proportion to the amounts described in this clause (c) payable to them;</w:t>
      </w:r>
    </w:p>
    <w:p>
      <w:pPr>
        <w:spacing w:after="0" w:line="205" w:lineRule="exact"/>
        <w:rPr>
          <w:rFonts w:ascii="Arial" w:cs="Arial" w:eastAsia="Arial" w:hAnsi="Arial"/>
          <w:sz w:val="18"/>
          <w:szCs w:val="18"/>
          <w:color w:val="auto"/>
        </w:rPr>
      </w:pPr>
    </w:p>
    <w:p>
      <w:pPr>
        <w:ind w:left="2760" w:hanging="594"/>
        <w:spacing w:after="0"/>
        <w:tabs>
          <w:tab w:leader="none" w:pos="27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1560" w:right="20" w:firstLine="606"/>
        <w:spacing w:after="0" w:line="242" w:lineRule="auto"/>
        <w:tabs>
          <w:tab w:leader="none" w:pos="295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Fourth, to the payment of that portion of all Obligations constituting accrued and unpaid interest and fees on the Loans, Commitments, Letters of Credit and Drawings, and any fees, premiums and scheduled periodic payments due under Cash Management Obligations or Specified Swap Agreements, ratably among the Secured Parties in proportion to the respective amounts described in this clause (e) payable to them;</w:t>
      </w:r>
    </w:p>
    <w:p>
      <w:pPr>
        <w:spacing w:after="0" w:line="206" w:lineRule="exact"/>
        <w:rPr>
          <w:sz w:val="20"/>
          <w:szCs w:val="20"/>
          <w:color w:val="auto"/>
        </w:rPr>
      </w:pPr>
    </w:p>
    <w:p>
      <w:pPr>
        <w:jc w:val="both"/>
        <w:ind w:left="1560" w:right="20" w:firstLine="602"/>
        <w:spacing w:after="0" w:line="242" w:lineRule="auto"/>
        <w:rPr>
          <w:sz w:val="20"/>
          <w:szCs w:val="20"/>
          <w:color w:val="auto"/>
        </w:rPr>
      </w:pPr>
      <w:r>
        <w:rPr>
          <w:rFonts w:ascii="Arial" w:cs="Arial" w:eastAsia="Arial" w:hAnsi="Arial"/>
          <w:sz w:val="18"/>
          <w:szCs w:val="18"/>
          <w:color w:val="auto"/>
        </w:rPr>
        <w:t>(f)Fifth, to the payment of that portion of the Obligations constituting unpaid principal of the Loans and Drawings (including to Collateralize that portion of L/C Obligations comprised of the aggregate undrawn amount of Letters of Credit), and any breakage, termination or other payments under Cash Management Obligations or Specified Swap Agreements, ratably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720"/>
          </w:cols>
          <w:pgMar w:left="360" w:top="1326" w:right="819" w:bottom="1440" w:gutter="0" w:footer="0" w:header="0"/>
        </w:sectPr>
      </w:pPr>
    </w:p>
    <w:bookmarkStart w:id="248" w:name="page249"/>
    <w:bookmarkEnd w:id="248"/>
    <w:p>
      <w:pPr>
        <w:jc w:val="center"/>
        <w:ind w:right="-139"/>
        <w:spacing w:after="0"/>
        <w:rPr>
          <w:sz w:val="20"/>
          <w:szCs w:val="20"/>
          <w:color w:val="auto"/>
        </w:rPr>
      </w:pPr>
      <w:r>
        <w:rPr>
          <w:rFonts w:ascii="Arial" w:cs="Arial" w:eastAsia="Arial" w:hAnsi="Arial"/>
          <w:sz w:val="18"/>
          <w:szCs w:val="18"/>
          <w:color w:val="auto"/>
        </w:rPr>
        <w:t>among the Secured Parties in proportion to the respective amounts described in this clause (f) held by them;</w:t>
      </w:r>
    </w:p>
    <w:p>
      <w:pPr>
        <w:spacing w:after="0" w:line="232" w:lineRule="exact"/>
        <w:rPr>
          <w:sz w:val="20"/>
          <w:szCs w:val="20"/>
          <w:color w:val="auto"/>
        </w:rPr>
      </w:pPr>
    </w:p>
    <w:p>
      <w:pPr>
        <w:jc w:val="both"/>
        <w:ind w:left="1560" w:right="220" w:firstLine="606"/>
        <w:spacing w:after="0" w:line="269" w:lineRule="auto"/>
        <w:tabs>
          <w:tab w:leader="none" w:pos="295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Sixth, to the payment of all other Obligations of the Borrower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70" w:lineRule="exact"/>
        <w:rPr>
          <w:rFonts w:ascii="Arial" w:cs="Arial" w:eastAsia="Arial" w:hAnsi="Arial"/>
          <w:sz w:val="17"/>
          <w:szCs w:val="17"/>
          <w:color w:val="auto"/>
        </w:rPr>
      </w:pPr>
    </w:p>
    <w:p>
      <w:pPr>
        <w:jc w:val="both"/>
        <w:ind w:left="1560" w:right="220" w:firstLine="606"/>
        <w:spacing w:after="0"/>
        <w:tabs>
          <w:tab w:leader="none" w:pos="295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Seventh, any balance of such proceeds remaining after all of the Obligations shall have been satisfied by payment in full in immediately available funds (or in the case of Letters of Credit, terminated or Collateralized) and the Commitments shall have been terminated, be paid, subject to any Intercreditor Agreement over to or upon the order of the applicable Loan Party or to whosoever may be lawfully entitled to receive the same or as a court of competent jurisdiction may direct.</w:t>
      </w:r>
    </w:p>
    <w:p>
      <w:pPr>
        <w:spacing w:after="0" w:line="206" w:lineRule="exact"/>
        <w:rPr>
          <w:sz w:val="20"/>
          <w:szCs w:val="20"/>
          <w:color w:val="auto"/>
        </w:rPr>
      </w:pPr>
    </w:p>
    <w:p>
      <w:pPr>
        <w:ind w:left="960" w:firstLine="601"/>
        <w:spacing w:after="0" w:line="263" w:lineRule="auto"/>
        <w:rPr>
          <w:sz w:val="20"/>
          <w:szCs w:val="20"/>
          <w:color w:val="auto"/>
        </w:rPr>
      </w:pPr>
      <w:r>
        <w:rPr>
          <w:rFonts w:ascii="Arial" w:cs="Arial" w:eastAsia="Arial" w:hAnsi="Arial"/>
          <w:sz w:val="18"/>
          <w:szCs w:val="18"/>
          <w:color w:val="auto"/>
        </w:rPr>
        <w:t>Notwithstanding the foregoing, amounts received from any Guarantor shall not be applied to any Excluded Swap Obligation of such Guarantor.</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SECTION 12.</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ADMINISTRATIVE AGENT</w:t>
      </w:r>
    </w:p>
    <w:p>
      <w:pPr>
        <w:spacing w:after="0" w:line="295" w:lineRule="exact"/>
        <w:rPr>
          <w:sz w:val="20"/>
          <w:szCs w:val="20"/>
          <w:color w:val="auto"/>
        </w:rPr>
      </w:pPr>
    </w:p>
    <w:p>
      <w:pPr>
        <w:jc w:val="both"/>
        <w:ind w:left="960" w:right="220" w:firstLine="602"/>
        <w:spacing w:after="0" w:line="23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Appointment; Nature of Duties</w:t>
      </w:r>
      <w:r>
        <w:rPr>
          <w:rFonts w:ascii="Arial" w:cs="Arial" w:eastAsia="Arial" w:hAnsi="Arial"/>
          <w:sz w:val="18"/>
          <w:szCs w:val="18"/>
          <w:color w:val="auto"/>
        </w:rPr>
        <w:t xml:space="preserve">. The Lenders and each Issuing Lender hereby irrevocably designate and appoint JPMorgan Chase Bank, N.A. as Administrative Agent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w:t>
      </w:r>
      <w:r>
        <w:rPr>
          <w:rFonts w:ascii="Arial" w:cs="Arial" w:eastAsia="Arial" w:hAnsi="Arial"/>
          <w:sz w:val="18"/>
          <w:szCs w:val="18"/>
          <w:color w:val="auto"/>
        </w:rPr>
        <w:t>, the term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also shall include JPMorgan Chase Bank,</w:t>
      </w:r>
    </w:p>
    <w:p>
      <w:pPr>
        <w:spacing w:after="0" w:line="2" w:lineRule="exact"/>
        <w:rPr>
          <w:sz w:val="20"/>
          <w:szCs w:val="20"/>
          <w:color w:val="auto"/>
        </w:rPr>
      </w:pPr>
    </w:p>
    <w:p>
      <w:pPr>
        <w:jc w:val="both"/>
        <w:ind w:left="960" w:right="200"/>
        <w:spacing w:after="0" w:line="263" w:lineRule="auto"/>
        <w:rPr>
          <w:sz w:val="20"/>
          <w:szCs w:val="20"/>
          <w:color w:val="auto"/>
        </w:rPr>
      </w:pPr>
      <w:r>
        <w:rPr>
          <w:rFonts w:ascii="Arial" w:cs="Arial" w:eastAsia="Arial" w:hAnsi="Arial"/>
          <w:sz w:val="16"/>
          <w:szCs w:val="16"/>
          <w:color w:val="auto"/>
        </w:rPr>
        <w:t xml:space="preserve">N.A. in its capacity as Collateral Agent pursuant to the Security Documents, along with one or more Affiliates or branches, if applicable under the relevant Security Documents) to act as specified herein and in the other Loan Documents. Each Lender and each Issuing Lender hereby irrevocably authorizes, and each holder of any Note by the acceptance of such Note shall be deemed irrevocably to authorize, the Administrative Agent to take such action on its behalf under the provisions of this Agreement, the other Loan Documents and any other instruments and agreements referred to herein or therein and to exercise such powers and to perform such duties hereunder and thereunder as are specifically delegated to or required of the Administrative Agent by the terms hereof and thereof and such other powers as are reasonably incidental thereto. The Administrative Agent may perform any of its respective duties hereunder by or through its officers, directors, agents, employees, affiliates or Related Persons. In performing its functions and duties hereunder, the Administrative Agent shall act solely as an agent of the Lenders and each Issuing Lender and does not assume and shall not be deemed to have assumed any obligation towards or relationship of agency or trust with or for the Borrower or any of its Subsidiaries.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Administrative Agent may perform any and all of its duties and exercise its rights and powers under this Agreement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indemnification and other provisions of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and of </w:t>
      </w:r>
      <w:r>
        <w:rPr>
          <w:rFonts w:ascii="Arial" w:cs="Arial" w:eastAsia="Arial" w:hAnsi="Arial"/>
          <w:sz w:val="16"/>
          <w:szCs w:val="16"/>
          <w:u w:val="single" w:color="auto"/>
          <w:color w:val="auto"/>
        </w:rPr>
        <w:t>Section 12.6</w:t>
      </w:r>
      <w:r>
        <w:rPr>
          <w:rFonts w:ascii="Arial" w:cs="Arial" w:eastAsia="Arial" w:hAnsi="Arial"/>
          <w:sz w:val="16"/>
          <w:szCs w:val="16"/>
          <w:color w:val="auto"/>
        </w:rPr>
        <w:t xml:space="preserve"> shall apply to any of the Affiliates or Related Persons of the Administrative Agent and shall apply to their respective activities in connection with the syndication of the Facilities provided for herein as well as activities of the Administrative Agent. All of the rights, benefits, and privileges (including the exculpatory and indemnification provisions) of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and of </w:t>
      </w:r>
      <w:r>
        <w:rPr>
          <w:rFonts w:ascii="Arial" w:cs="Arial" w:eastAsia="Arial" w:hAnsi="Arial"/>
          <w:sz w:val="16"/>
          <w:szCs w:val="16"/>
          <w:u w:val="single" w:color="auto"/>
          <w:color w:val="auto"/>
        </w:rPr>
        <w:t>Section 12.6</w:t>
      </w:r>
      <w:r>
        <w:rPr>
          <w:rFonts w:ascii="Arial" w:cs="Arial" w:eastAsia="Arial" w:hAnsi="Arial"/>
          <w:sz w:val="16"/>
          <w:szCs w:val="16"/>
          <w:color w:val="auto"/>
        </w:rPr>
        <w:t xml:space="preserve"> shall apply to any such sub-agent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345440</wp:posOffset>
            </wp:positionV>
            <wp:extent cx="326390" cy="182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920"/>
          </w:cols>
          <w:pgMar w:left="360" w:top="1326" w:right="619" w:bottom="1440" w:gutter="0" w:footer="0" w:header="0"/>
        </w:sectPr>
      </w:pPr>
    </w:p>
    <w:bookmarkStart w:id="249" w:name="page250"/>
    <w:bookmarkEnd w:id="249"/>
    <w:p>
      <w:pPr>
        <w:jc w:val="both"/>
        <w:ind w:left="960"/>
        <w:spacing w:after="0" w:line="249" w:lineRule="auto"/>
        <w:rPr>
          <w:sz w:val="20"/>
          <w:szCs w:val="20"/>
          <w:color w:val="auto"/>
        </w:rPr>
      </w:pPr>
      <w:r>
        <w:rPr>
          <w:rFonts w:ascii="Arial" w:cs="Arial" w:eastAsia="Arial" w:hAnsi="Arial"/>
          <w:sz w:val="17"/>
          <w:szCs w:val="17"/>
          <w:color w:val="auto"/>
        </w:rPr>
        <w:t xml:space="preserve">to the Affiliates of any such sub-agent, and shall apply to their respective activities as sub-agent as if such sub-agent and Affiliates were named herein. Notwithstanding anything herein to the contrary, with respect to each sub-agent appointed by the Administrative Agent, (a) such sub-agent shall be a third-party beneficiary under this Agreement with respect to all such rights, benefits and privileges (including exculpatory rights and rights to indemnification) and shall have all of the rights and benefits of a third-party beneficiary, including an independent right of action to enforce such rights, benefits and privileges (including exculpatory rights and rights to indemnification) directly, without the consent or joinder of any other Person, against any or all of Loan Parties and the Lenders, (b) such rights, benefits and privileges (including exculpatory rights and rights to indemnification) may be modified or amended with the consent of the Administrative Agent (and without the consent of such sub-agent), and (c) such sub-agent shall only have obligations to the Administrative Agent and not to any Loan Party, Lender or any other Person and no Loan Party, Lender or any other Person shall have any rights, directly or indirectly, as a third-party beneficiary or otherwise, against such sub-agent. Anything herein to the contrary notwithstanding, none of the Joint Lead Arrangers listed on the cover page hereof shall have any other powers, duties or responsibilities under this Agreement or any other Loan Document, except in its capacity, as applicable, as the Administrative Agent, a Lender or an Issuing Lender hereunder.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are solely for the benefit of the Administrative Agent, the Lenders and each Issuing Lender, and neither the Borrower nor any other Loan Party shall have rights as a third-party beneficiary of any of such provisions.</w:t>
      </w:r>
    </w:p>
    <w:p>
      <w:pPr>
        <w:spacing w:after="0" w:line="206"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86" w:lineRule="exact"/>
        <w:rPr>
          <w:sz w:val="20"/>
          <w:szCs w:val="20"/>
          <w:color w:val="auto"/>
        </w:rPr>
      </w:pPr>
    </w:p>
    <w:p>
      <w:pPr>
        <w:ind w:left="2960" w:hanging="793"/>
        <w:spacing w:after="0"/>
        <w:tabs>
          <w:tab w:leader="none" w:pos="29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has occurred</w:t>
      </w:r>
    </w:p>
    <w:p>
      <w:pPr>
        <w:spacing w:after="0" w:line="32" w:lineRule="exact"/>
        <w:rPr>
          <w:rFonts w:ascii="Arial" w:cs="Arial" w:eastAsia="Arial" w:hAnsi="Arial"/>
          <w:sz w:val="16"/>
          <w:szCs w:val="16"/>
          <w:color w:val="auto"/>
        </w:rPr>
      </w:pPr>
    </w:p>
    <w:p>
      <w:pPr>
        <w:ind w:left="1560"/>
        <w:spacing w:after="0"/>
        <w:rPr>
          <w:rFonts w:ascii="Arial" w:cs="Arial" w:eastAsia="Arial" w:hAnsi="Arial"/>
          <w:sz w:val="16"/>
          <w:szCs w:val="16"/>
          <w:color w:val="auto"/>
        </w:rPr>
      </w:pPr>
      <w:r>
        <w:rPr>
          <w:rFonts w:ascii="Arial" w:cs="Arial" w:eastAsia="Arial" w:hAnsi="Arial"/>
          <w:sz w:val="18"/>
          <w:szCs w:val="18"/>
          <w:color w:val="auto"/>
        </w:rPr>
        <w:t>and is continuing;</w:t>
      </w:r>
    </w:p>
    <w:p>
      <w:pPr>
        <w:spacing w:after="0" w:line="215" w:lineRule="exact"/>
        <w:rPr>
          <w:rFonts w:ascii="Arial" w:cs="Arial" w:eastAsia="Arial" w:hAnsi="Arial"/>
          <w:sz w:val="16"/>
          <w:szCs w:val="16"/>
          <w:color w:val="auto"/>
        </w:rPr>
      </w:pPr>
    </w:p>
    <w:p>
      <w:pPr>
        <w:jc w:val="both"/>
        <w:ind w:left="1560" w:firstLine="606"/>
        <w:spacing w:after="0" w:line="253" w:lineRule="auto"/>
        <w:tabs>
          <w:tab w:leader="none" w:pos="295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4" w:lineRule="exact"/>
        <w:rPr>
          <w:rFonts w:ascii="Arial" w:cs="Arial" w:eastAsia="Arial" w:hAnsi="Arial"/>
          <w:sz w:val="17"/>
          <w:szCs w:val="17"/>
          <w:color w:val="auto"/>
        </w:rPr>
      </w:pPr>
    </w:p>
    <w:p>
      <w:pPr>
        <w:jc w:val="both"/>
        <w:ind w:left="1560" w:right="20" w:firstLine="606"/>
        <w:spacing w:after="0" w:line="242" w:lineRule="auto"/>
        <w:tabs>
          <w:tab w:leader="none" w:pos="29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the Affiliates of the Borrower or of the Borrower that is communicated to or obtained by the Person serving as the Administrative Agent or any of its Affiliates in any capacity.</w:t>
      </w:r>
    </w:p>
    <w:p>
      <w:pPr>
        <w:spacing w:after="0" w:line="193" w:lineRule="exact"/>
        <w:rPr>
          <w:rFonts w:ascii="Arial" w:cs="Arial" w:eastAsia="Arial" w:hAnsi="Arial"/>
          <w:sz w:val="18"/>
          <w:szCs w:val="18"/>
          <w:color w:val="auto"/>
        </w:rPr>
      </w:pPr>
    </w:p>
    <w:p>
      <w:pPr>
        <w:jc w:val="both"/>
        <w:ind w:left="1560" w:right="20" w:firstLine="606"/>
        <w:spacing w:after="0" w:line="239" w:lineRule="auto"/>
        <w:tabs>
          <w:tab w:leader="none" w:pos="29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13.12</w:t>
      </w:r>
      <w:r>
        <w:rPr>
          <w:rFonts w:ascii="Arial" w:cs="Arial" w:eastAsia="Arial" w:hAnsi="Arial"/>
          <w:sz w:val="18"/>
          <w:szCs w:val="18"/>
          <w:color w:val="auto"/>
        </w:rPr>
        <w:t>) or (ii) in the absence of its own gross negligence or willful misconduct, as determined by a court of competent jurisdiction by a final and nonappealable judgment. The Administrative Agent shall be deemed not to have knowledge of any Default or Event of Default unless and until notice describing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326390" cy="182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720"/>
          </w:cols>
          <w:pgMar w:left="360" w:top="1326" w:right="819" w:bottom="1440" w:gutter="0" w:footer="0" w:header="0"/>
        </w:sectPr>
      </w:pPr>
    </w:p>
    <w:bookmarkStart w:id="250" w:name="page251"/>
    <w:bookmarkEnd w:id="250"/>
    <w:p>
      <w:pPr>
        <w:ind w:left="1560"/>
        <w:spacing w:after="0"/>
        <w:rPr>
          <w:sz w:val="20"/>
          <w:szCs w:val="20"/>
          <w:color w:val="auto"/>
        </w:rPr>
      </w:pPr>
      <w:r>
        <w:rPr>
          <w:rFonts w:ascii="Arial" w:cs="Arial" w:eastAsia="Arial" w:hAnsi="Arial"/>
          <w:sz w:val="18"/>
          <w:szCs w:val="18"/>
          <w:color w:val="auto"/>
        </w:rPr>
        <w:t>Default or Event of Default is given to the Administrative Agent by the Borrower, a Lender or an Issuing Lender.</w:t>
      </w:r>
    </w:p>
    <w:p>
      <w:pPr>
        <w:spacing w:after="0" w:line="232" w:lineRule="exact"/>
        <w:rPr>
          <w:sz w:val="20"/>
          <w:szCs w:val="20"/>
          <w:color w:val="auto"/>
        </w:rPr>
      </w:pPr>
    </w:p>
    <w:p>
      <w:pPr>
        <w:jc w:val="both"/>
        <w:ind w:left="1560" w:firstLine="606"/>
        <w:spacing w:after="0" w:line="252" w:lineRule="auto"/>
        <w:tabs>
          <w:tab w:leader="none" w:pos="295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84" w:lineRule="exact"/>
        <w:rPr>
          <w:sz w:val="20"/>
          <w:szCs w:val="20"/>
          <w:color w:val="auto"/>
        </w:rPr>
      </w:pPr>
    </w:p>
    <w:p>
      <w:pPr>
        <w:jc w:val="both"/>
        <w:ind w:left="1560" w:right="20" w:firstLine="601"/>
        <w:spacing w:after="0" w:line="239" w:lineRule="auto"/>
        <w:rPr>
          <w:sz w:val="20"/>
          <w:szCs w:val="20"/>
          <w:color w:val="auto"/>
        </w:rPr>
      </w:pPr>
      <w:r>
        <w:rPr>
          <w:rFonts w:ascii="Arial" w:cs="Arial" w:eastAsia="Arial" w:hAnsi="Arial"/>
          <w:sz w:val="18"/>
          <w:szCs w:val="18"/>
          <w:color w:val="auto"/>
        </w:rPr>
        <w:t>(f)The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205" w:lineRule="exact"/>
        <w:rPr>
          <w:sz w:val="20"/>
          <w:szCs w:val="20"/>
          <w:color w:val="auto"/>
        </w:rPr>
      </w:pPr>
    </w:p>
    <w:p>
      <w:pPr>
        <w:jc w:val="both"/>
        <w:ind w:left="960" w:firstLine="602"/>
        <w:spacing w:after="0" w:line="266"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Lack of Reliance on the Administrative Agent</w:t>
      </w:r>
      <w:r>
        <w:rPr>
          <w:rFonts w:ascii="Arial" w:cs="Arial" w:eastAsia="Arial" w:hAnsi="Arial"/>
          <w:sz w:val="16"/>
          <w:szCs w:val="16"/>
          <w:color w:val="auto"/>
        </w:rPr>
        <w:t>. Independently and without reliance upon the Administrative Agent, or any other Lender, or any of their Related Persons, each Lender and the holder of each Note, to the extent it deems appropriate, has made and shall continue to make (i) its own independent investigation of the financial condition and affairs of the Borrower and its Subsidiaries in connection with the making and the continuance of the Loans and the taking or not taking of any action in connection herewith and (ii) its own appraisal of the creditworthiness of the Borrower and its Subsidiaries and, except as expressly provided in this Agreement, the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Borrower or any of its Subsidiaries or be required to make any inquiry concerning either the performance or observance of any of the terms, provisions or conditions of this Agreement or any other Loan Document, or the financial condition of the Borrower or any of its Subsidiaries or the existence or possible existence of any Default or Event of Default.</w:t>
      </w:r>
    </w:p>
    <w:p>
      <w:pPr>
        <w:spacing w:after="0" w:line="192" w:lineRule="exact"/>
        <w:rPr>
          <w:sz w:val="20"/>
          <w:szCs w:val="20"/>
          <w:color w:val="auto"/>
        </w:rPr>
      </w:pPr>
    </w:p>
    <w:p>
      <w:pPr>
        <w:jc w:val="both"/>
        <w:ind w:left="960" w:right="20" w:firstLine="601"/>
        <w:spacing w:after="0" w:line="254"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Certain Rights of the Administrative Agent</w:t>
      </w:r>
      <w:r>
        <w:rPr>
          <w:rFonts w:ascii="Arial" w:cs="Arial" w:eastAsia="Arial" w:hAnsi="Arial"/>
          <w:sz w:val="17"/>
          <w:szCs w:val="17"/>
          <w:color w:val="auto"/>
        </w:rPr>
        <w:t>. 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340995</wp:posOffset>
            </wp:positionV>
            <wp:extent cx="326390" cy="182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720"/>
          </w:cols>
          <w:pgMar w:left="360" w:top="1326" w:right="819" w:bottom="1440" w:gutter="0" w:footer="0" w:header="0"/>
        </w:sectPr>
      </w:pPr>
    </w:p>
    <w:bookmarkStart w:id="251" w:name="page252"/>
    <w:bookmarkEnd w:id="251"/>
    <w:p>
      <w:pPr>
        <w:jc w:val="both"/>
        <w:ind w:left="960" w:firstLine="602"/>
        <w:spacing w:after="0" w:line="250"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Reliance</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any Loan, or the issuance, extension, renewal or increase of a Letter of Credit that by its terms must be fulfilled to the satisfaction of a Lender or any Issuing Lender, the Administrative Agent may presume that such condition is satisfactory to such Lender or any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2" w:lineRule="exact"/>
        <w:rPr>
          <w:sz w:val="20"/>
          <w:szCs w:val="20"/>
          <w:color w:val="auto"/>
        </w:rPr>
      </w:pPr>
    </w:p>
    <w:p>
      <w:pPr>
        <w:jc w:val="both"/>
        <w:ind w:left="960" w:right="20" w:firstLine="602"/>
        <w:spacing w:after="0" w:line="235"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the Administrative Agent, the Issuing Lender and the Swingline Lender (or any Affiliate or Related Person thereof) is required to be reimbursed or indemnified by the Borrower and has not been reimbursed and indemnified by the Borrower, the Lenders will reimburse and indemnify the Administrative Agent (and any affiliate thereof), including without limitation in its capacity as Collateral Agent under the Loan Documents, in proportion to their respective “percentage” as used in determining the Required Lenders (determined as if there were no Defaulting Lenders) for and against any and all liabilities, obligations, losses, damages, penalties, claims, actions, judgments, suits,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w:t>
      </w:r>
    </w:p>
    <w:p>
      <w:pPr>
        <w:spacing w:after="0" w:line="201" w:lineRule="exact"/>
        <w:rPr>
          <w:sz w:val="20"/>
          <w:szCs w:val="20"/>
          <w:color w:val="auto"/>
        </w:rPr>
      </w:pPr>
    </w:p>
    <w:p>
      <w:pPr>
        <w:jc w:val="both"/>
        <w:ind w:left="960" w:firstLine="601"/>
        <w:spacing w:after="0" w:line="251"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The Administrative Agent in Its Individual Capacity</w:t>
      </w:r>
      <w:r>
        <w:rPr>
          <w:rFonts w:ascii="Arial" w:cs="Arial" w:eastAsia="Arial" w:hAnsi="Arial"/>
          <w:sz w:val="17"/>
          <w:szCs w:val="17"/>
          <w:color w:val="auto"/>
        </w:rPr>
        <w:t>. With respect to its obligation to make Loans, or issue or participate in Letters of Credit,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Loan Party or any Affiliate of any Loan Party (or any Person engaged in a Similar Business with any Loan Party or any Affiliate thereof) as if they were not performing the duties specified herein, and may accept fees and other consideration from any Loan Party or any Affiliate of any Loan Party for services in connection with this Agreement and otherwise without having to account for the same to the Lenders.</w:t>
      </w:r>
    </w:p>
    <w:p>
      <w:pPr>
        <w:spacing w:after="0" w:line="200" w:lineRule="exact"/>
        <w:rPr>
          <w:sz w:val="20"/>
          <w:szCs w:val="20"/>
          <w:color w:val="auto"/>
        </w:rPr>
      </w:pPr>
    </w:p>
    <w:p>
      <w:pPr>
        <w:jc w:val="both"/>
        <w:ind w:left="960" w:right="20" w:firstLine="602"/>
        <w:spacing w:after="0" w:line="23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Holders</w:t>
      </w:r>
      <w:r>
        <w:rPr>
          <w:rFonts w:ascii="Arial" w:cs="Arial" w:eastAsia="Arial" w:hAnsi="Arial"/>
          <w:sz w:val="18"/>
          <w:szCs w:val="18"/>
          <w:color w:val="auto"/>
        </w:rPr>
        <w:t>. The Administrative Agent may deem and treat the payee of any Note as the owner thereof for all purposes hereof unless and until a written notice of the assignment, transfer or endorsement thereof, as the case may be, shall have been filed with the Administrative Agent and recorded in the Register.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326390" cy="182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720"/>
          </w:cols>
          <w:pgMar w:left="360" w:top="1326" w:right="819" w:bottom="1440" w:gutter="0" w:footer="0" w:header="0"/>
        </w:sectPr>
      </w:pPr>
    </w:p>
    <w:bookmarkStart w:id="252" w:name="page253"/>
    <w:bookmarkEnd w:id="252"/>
    <w:p>
      <w:pPr>
        <w:ind w:left="1560"/>
        <w:spacing w:after="0"/>
        <w:tabs>
          <w:tab w:leader="none" w:pos="22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u w:val="single" w:color="auto"/>
          <w:color w:val="auto"/>
        </w:rPr>
        <w:t>Resignation by the Administrative Agent or an Issuing Lender</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47" w:lineRule="auto"/>
        <w:tabs>
          <w:tab w:leader="none" w:pos="1824" w:val="left"/>
        </w:tabs>
        <w:numPr>
          <w:ilvl w:val="1"/>
          <w:numId w:val="275"/>
        </w:numPr>
        <w:rPr>
          <w:rFonts w:ascii="Arial" w:cs="Arial" w:eastAsia="Arial" w:hAnsi="Arial"/>
          <w:sz w:val="17"/>
          <w:szCs w:val="17"/>
          <w:color w:val="auto"/>
        </w:rPr>
      </w:pPr>
      <w:r>
        <w:rPr>
          <w:rFonts w:ascii="Arial" w:cs="Arial" w:eastAsia="Arial" w:hAnsi="Arial"/>
          <w:sz w:val="17"/>
          <w:szCs w:val="17"/>
          <w:color w:val="auto"/>
        </w:rPr>
        <w:t xml:space="preserve">The Administrative Agent may resign from the performance of all its respective functions and duties hereunder and under the other Loan Documents at any time by giving fifteen (15) Business Days’ prior written notice to the Lenders and the Borrower. Any such resignation by an Administrative Agent hereunder shall also constitute its resignation as a Swingline Lender, in which case the resigning Administrative Agent (x) shall not be required to make any additional Swingline Loans hereunder and (y) shall maintain all of its rights as Swingline Lender and with respect to any Swingline Loans made by it prior to the date of such resignation, including the right to require Lenders to make Base Rate Loans or fund risk participations in outstanding Swingline Loans pursuant to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.Upon such resignation of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all duties and obligations of the Administrative Agent under this Agreement and any other Loan Document shall be discharged. Upon the giving of such notice of resignation by the Administrative Agent pursuant to this </w:t>
      </w:r>
      <w:r>
        <w:rPr>
          <w:rFonts w:ascii="Arial" w:cs="Arial" w:eastAsia="Arial" w:hAnsi="Arial"/>
          <w:sz w:val="17"/>
          <w:szCs w:val="17"/>
          <w:u w:val="single" w:color="auto"/>
          <w:color w:val="auto"/>
        </w:rPr>
        <w:t>Section 12.9(a)</w:t>
      </w:r>
      <w:r>
        <w:rPr>
          <w:rFonts w:ascii="Arial" w:cs="Arial" w:eastAsia="Arial" w:hAnsi="Arial"/>
          <w:sz w:val="17"/>
          <w:szCs w:val="17"/>
          <w:color w:val="auto"/>
        </w:rPr>
        <w:t xml:space="preserve"> and until a successor Administrative Agent shall have been appointed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all communications or notices to any Lender required to be given pursuant to this Agreement or any other Loan Document shall be sent to each Lender individually. Such resignation shall take effect pursuant to clauses (b), (c), (d) and</w:t>
      </w:r>
    </w:p>
    <w:p>
      <w:pPr>
        <w:spacing w:after="0" w:line="9" w:lineRule="exact"/>
        <w:rPr>
          <w:rFonts w:ascii="Arial" w:cs="Arial" w:eastAsia="Arial" w:hAnsi="Arial"/>
          <w:sz w:val="17"/>
          <w:szCs w:val="17"/>
          <w:color w:val="auto"/>
        </w:rPr>
      </w:pPr>
    </w:p>
    <w:p>
      <w:pPr>
        <w:jc w:val="both"/>
        <w:ind w:left="960" w:firstLine="2"/>
        <w:spacing w:after="0" w:line="237" w:lineRule="auto"/>
        <w:tabs>
          <w:tab w:leader="none" w:pos="175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below or as otherwise provided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a successor Administrative Agent is so appointed by Required Lenders or Administrative Agent, any collateral security held by Administrative Agent in its role as Collateral Agent on behalf of the Lenders or Issuing Lenders under any of the Loan Documents shall continue to be held by the retiring Collateral Agent as nominee until such time as a successor Collateral Agent is appointed.</w:t>
      </w:r>
    </w:p>
    <w:p>
      <w:pPr>
        <w:spacing w:after="0" w:line="207" w:lineRule="exact"/>
        <w:rPr>
          <w:rFonts w:ascii="Arial" w:cs="Arial" w:eastAsia="Arial" w:hAnsi="Arial"/>
          <w:sz w:val="18"/>
          <w:szCs w:val="18"/>
          <w:color w:val="auto"/>
        </w:rPr>
      </w:pPr>
    </w:p>
    <w:p>
      <w:pPr>
        <w:jc w:val="both"/>
        <w:ind w:left="960" w:firstLine="604"/>
        <w:spacing w:after="0" w:line="242" w:lineRule="auto"/>
        <w:tabs>
          <w:tab w:leader="none" w:pos="235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approval shall not be required if a Significant Event of Default then exists).</w:t>
      </w:r>
    </w:p>
    <w:p>
      <w:pPr>
        <w:spacing w:after="0" w:line="193" w:lineRule="exact"/>
        <w:rPr>
          <w:rFonts w:ascii="Arial" w:cs="Arial" w:eastAsia="Arial" w:hAnsi="Arial"/>
          <w:sz w:val="18"/>
          <w:szCs w:val="18"/>
          <w:color w:val="auto"/>
        </w:rPr>
      </w:pPr>
    </w:p>
    <w:p>
      <w:pPr>
        <w:jc w:val="both"/>
        <w:ind w:left="960" w:firstLine="604"/>
        <w:spacing w:after="0"/>
        <w:tabs>
          <w:tab w:leader="none" w:pos="235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If a successor Administrative Agent shall not have been so appointed within such 15 Business Day period, the Administrative Agent, with the consent of the Borrower (which consent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consent shall not be required if a Significant Event of Default then exists), shall then appoint a successor Administrative Agent who shall serve as Administrative Agent hereunder or thereunder until such time, if any, as the Required Lenders appoint a successor Administrative Agent as provided above.</w:t>
      </w:r>
    </w:p>
    <w:p>
      <w:pPr>
        <w:spacing w:after="0" w:line="206" w:lineRule="exact"/>
        <w:rPr>
          <w:rFonts w:ascii="Arial" w:cs="Arial" w:eastAsia="Arial" w:hAnsi="Arial"/>
          <w:sz w:val="18"/>
          <w:szCs w:val="18"/>
          <w:color w:val="auto"/>
        </w:rPr>
      </w:pPr>
    </w:p>
    <w:p>
      <w:pPr>
        <w:jc w:val="both"/>
        <w:ind w:left="960" w:firstLine="604"/>
        <w:spacing w:after="0"/>
        <w:tabs>
          <w:tab w:leader="none" w:pos="235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no successor Administrative Agent has been appointed pursuant to clause (b) or (c) above by the date that is twenty (20) Business Days after the date such notice of resignation was given by the Administrative Agent, the Administrative Agent’s resignation shall become effective and the Required Lenders shall thereafter perform all the duties of the Administrative Agent hereunder and under any other Loan Document until such time, if any, as the Required Lenders appoint a successor Administrative Agent as provided above.</w:t>
      </w:r>
    </w:p>
    <w:p>
      <w:pPr>
        <w:spacing w:after="0" w:line="206" w:lineRule="exact"/>
        <w:rPr>
          <w:rFonts w:ascii="Arial" w:cs="Arial" w:eastAsia="Arial" w:hAnsi="Arial"/>
          <w:sz w:val="18"/>
          <w:szCs w:val="18"/>
          <w:color w:val="auto"/>
        </w:rPr>
      </w:pPr>
    </w:p>
    <w:p>
      <w:pPr>
        <w:jc w:val="both"/>
        <w:ind w:left="960" w:firstLine="605"/>
        <w:spacing w:after="0" w:line="248" w:lineRule="auto"/>
        <w:tabs>
          <w:tab w:leader="none" w:pos="235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Upon a resignation of the Administrative Agent pursuant to this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the successor Administrative Agent shall become vested with all powers, rights, privileges and duties as the Administrative Agent who has resigned in accordance with this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261" w:lineRule="exact"/>
        <w:rPr>
          <w:sz w:val="20"/>
          <w:szCs w:val="20"/>
          <w:color w:val="auto"/>
        </w:rPr>
      </w:pPr>
    </w:p>
    <w:p>
      <w:pPr>
        <w:jc w:val="both"/>
        <w:ind w:left="960" w:firstLine="602"/>
        <w:spacing w:after="0" w:line="242" w:lineRule="auto"/>
        <w:rPr>
          <w:sz w:val="20"/>
          <w:szCs w:val="20"/>
          <w:color w:val="auto"/>
        </w:rPr>
      </w:pPr>
      <w:r>
        <w:rPr>
          <w:rFonts w:ascii="Arial" w:cs="Arial" w:eastAsia="Arial" w:hAnsi="Arial"/>
          <w:sz w:val="18"/>
          <w:szCs w:val="18"/>
          <w:color w:val="auto"/>
        </w:rPr>
        <w:t xml:space="preserve">(f)Upon a resignation of the Administrative Agent pursuant to this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the Administrative Agent shall remain indemnified to the extent provided in this Agreement and the other Loan Documents and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the analogous provisions of the other Loan Documents) shall continue in effect for the benefit of the Administrative Agent for all of its actions and inactions while serving 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700"/>
          </w:cols>
          <w:pgMar w:left="360" w:top="1326" w:right="839" w:bottom="1440" w:gutter="0" w:footer="0" w:header="0"/>
        </w:sectPr>
      </w:pPr>
    </w:p>
    <w:bookmarkStart w:id="253" w:name="page254"/>
    <w:bookmarkEnd w:id="253"/>
    <w:p>
      <w:pPr>
        <w:ind w:left="2160" w:hanging="595"/>
        <w:spacing w:after="0"/>
        <w:tabs>
          <w:tab w:leader="none" w:pos="21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ind w:left="2160" w:hanging="595"/>
        <w:spacing w:after="0"/>
        <w:tabs>
          <w:tab w:leader="none" w:pos="2160"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Resignation by an Issuing Lender</w:t>
      </w:r>
      <w:r>
        <w:rPr>
          <w:rFonts w:ascii="Arial" w:cs="Arial" w:eastAsia="Arial" w:hAnsi="Arial"/>
          <w:sz w:val="18"/>
          <w:szCs w:val="18"/>
          <w:color w:val="auto"/>
        </w:rPr>
        <w:t>.</w:t>
      </w:r>
    </w:p>
    <w:p>
      <w:pPr>
        <w:spacing w:after="0" w:line="294" w:lineRule="exact"/>
        <w:rPr>
          <w:rFonts w:ascii="Arial" w:cs="Arial" w:eastAsia="Arial" w:hAnsi="Arial"/>
          <w:sz w:val="18"/>
          <w:szCs w:val="18"/>
          <w:color w:val="auto"/>
        </w:rPr>
      </w:pPr>
    </w:p>
    <w:p>
      <w:pPr>
        <w:jc w:val="both"/>
        <w:ind w:left="1480" w:right="20" w:firstLine="664"/>
        <w:spacing w:after="0" w:line="238" w:lineRule="auto"/>
        <w:tabs>
          <w:tab w:leader="none" w:pos="2372" w:val="left"/>
        </w:tabs>
        <w:numPr>
          <w:ilvl w:val="2"/>
          <w:numId w:val="277"/>
        </w:numPr>
        <w:rPr>
          <w:rFonts w:ascii="Arial" w:cs="Arial" w:eastAsia="Arial" w:hAnsi="Arial"/>
          <w:sz w:val="18"/>
          <w:szCs w:val="18"/>
          <w:color w:val="auto"/>
        </w:rPr>
      </w:pPr>
      <w:r>
        <w:rPr>
          <w:rFonts w:ascii="Arial" w:cs="Arial" w:eastAsia="Arial" w:hAnsi="Arial"/>
          <w:sz w:val="18"/>
          <w:szCs w:val="18"/>
          <w:color w:val="auto"/>
        </w:rPr>
        <w:t>An Issuing Lender may resign from the performance of all its respective functions and duties hereunder and under the other Loan Documents at any time by giving fifteen (15) Business Days’ prior written notice to the Lenders and the Borrower. Any resigning Issuing Lender</w:t>
      </w:r>
    </w:p>
    <w:p>
      <w:pPr>
        <w:spacing w:after="0" w:line="2" w:lineRule="exact"/>
        <w:rPr>
          <w:rFonts w:ascii="Arial" w:cs="Arial" w:eastAsia="Arial" w:hAnsi="Arial"/>
          <w:sz w:val="18"/>
          <w:szCs w:val="18"/>
          <w:color w:val="auto"/>
        </w:rPr>
      </w:pPr>
    </w:p>
    <w:p>
      <w:pPr>
        <w:jc w:val="both"/>
        <w:ind w:left="1480" w:right="20" w:hanging="6"/>
        <w:spacing w:after="0" w:line="239" w:lineRule="auto"/>
        <w:tabs>
          <w:tab w:leader="none" w:pos="176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shall not be required to issue any further Letters of Credit hereunder and (y) shall maintain all of its rights as Issuing Lender with respect to any Letters of Credit issued by it prior to the date of such resignation. Such resignation shall take effect pursuant to clauses (ii), (iii) and (iv) below or as otherwise provided below.</w:t>
      </w:r>
    </w:p>
    <w:p>
      <w:pPr>
        <w:spacing w:after="0" w:line="205" w:lineRule="exact"/>
        <w:rPr>
          <w:rFonts w:ascii="Arial" w:cs="Arial" w:eastAsia="Arial" w:hAnsi="Arial"/>
          <w:sz w:val="18"/>
          <w:szCs w:val="18"/>
          <w:color w:val="auto"/>
        </w:rPr>
      </w:pPr>
    </w:p>
    <w:p>
      <w:pPr>
        <w:jc w:val="both"/>
        <w:ind w:left="1480" w:right="20" w:firstLine="612"/>
        <w:spacing w:after="0" w:line="258" w:lineRule="auto"/>
        <w:tabs>
          <w:tab w:leader="none" w:pos="2372" w:val="left"/>
        </w:tabs>
        <w:numPr>
          <w:ilvl w:val="2"/>
          <w:numId w:val="278"/>
        </w:numPr>
        <w:rPr>
          <w:rFonts w:ascii="Arial" w:cs="Arial" w:eastAsia="Arial" w:hAnsi="Arial"/>
          <w:sz w:val="17"/>
          <w:szCs w:val="17"/>
          <w:color w:val="auto"/>
        </w:rPr>
      </w:pPr>
      <w:r>
        <w:rPr>
          <w:rFonts w:ascii="Arial" w:cs="Arial" w:eastAsia="Arial" w:hAnsi="Arial"/>
          <w:sz w:val="17"/>
          <w:szCs w:val="17"/>
          <w:color w:val="auto"/>
        </w:rPr>
        <w:t>Upon any such notice of resignation by an Issuing Lender, the Required Lenders shall appoint a successor Issuing Lender hereunder or thereunder who shall be a commercial bank or trust company reasonably acceptable to the Borrower, which acceptance shall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approval shall not be required if a Significant Event of Default then exists). Any such successor Issuing Lender appointed pursuant to this </w:t>
      </w:r>
      <w:r>
        <w:rPr>
          <w:rFonts w:ascii="Arial" w:cs="Arial" w:eastAsia="Arial" w:hAnsi="Arial"/>
          <w:sz w:val="17"/>
          <w:szCs w:val="17"/>
          <w:u w:val="single" w:color="auto"/>
          <w:color w:val="auto"/>
        </w:rPr>
        <w:t>Section 12.9(h)</w:t>
      </w:r>
      <w:r>
        <w:rPr>
          <w:rFonts w:ascii="Arial" w:cs="Arial" w:eastAsia="Arial" w:hAnsi="Arial"/>
          <w:sz w:val="17"/>
          <w:szCs w:val="17"/>
          <w:color w:val="auto"/>
        </w:rPr>
        <w:t xml:space="preserve"> shall be a Lender other than a Defaulting Lender for all purposes of this Agreement.</w:t>
      </w:r>
    </w:p>
    <w:p>
      <w:pPr>
        <w:spacing w:after="0" w:line="253" w:lineRule="exact"/>
        <w:rPr>
          <w:rFonts w:ascii="Arial" w:cs="Arial" w:eastAsia="Arial" w:hAnsi="Arial"/>
          <w:sz w:val="17"/>
          <w:szCs w:val="17"/>
          <w:color w:val="auto"/>
        </w:rPr>
      </w:pPr>
    </w:p>
    <w:p>
      <w:pPr>
        <w:jc w:val="both"/>
        <w:ind w:left="1480" w:right="20" w:firstLine="561"/>
        <w:spacing w:after="0"/>
        <w:tabs>
          <w:tab w:leader="none" w:pos="2372" w:val="left"/>
        </w:tabs>
        <w:numPr>
          <w:ilvl w:val="2"/>
          <w:numId w:val="278"/>
        </w:numPr>
        <w:rPr>
          <w:rFonts w:ascii="Arial" w:cs="Arial" w:eastAsia="Arial" w:hAnsi="Arial"/>
          <w:sz w:val="18"/>
          <w:szCs w:val="18"/>
          <w:color w:val="auto"/>
        </w:rPr>
      </w:pPr>
      <w:r>
        <w:rPr>
          <w:rFonts w:ascii="Arial" w:cs="Arial" w:eastAsia="Arial" w:hAnsi="Arial"/>
          <w:sz w:val="18"/>
          <w:szCs w:val="18"/>
          <w:color w:val="auto"/>
        </w:rPr>
        <w:t xml:space="preserve">If a successor Issuing Lender shall not have been so appointed within such 15 Business Day period, the resigning Issuing Lender, with the consent of the Borrower (which consent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consent shall not be required if a Significant Event of Default then exists), shall then appoint a successor Issuing Lender who shall serve as Issuing Lender hereunder or thereunder until such time, if any, as the Required Lenders appoint a successor Issuing Lender as provided above.</w:t>
      </w:r>
    </w:p>
    <w:p>
      <w:pPr>
        <w:spacing w:after="0" w:line="206" w:lineRule="exact"/>
        <w:rPr>
          <w:rFonts w:ascii="Arial" w:cs="Arial" w:eastAsia="Arial" w:hAnsi="Arial"/>
          <w:sz w:val="18"/>
          <w:szCs w:val="18"/>
          <w:color w:val="auto"/>
        </w:rPr>
      </w:pPr>
    </w:p>
    <w:p>
      <w:pPr>
        <w:jc w:val="both"/>
        <w:ind w:left="1480" w:right="20" w:firstLine="571"/>
        <w:spacing w:after="0"/>
        <w:tabs>
          <w:tab w:leader="none" w:pos="2372" w:val="left"/>
        </w:tabs>
        <w:numPr>
          <w:ilvl w:val="2"/>
          <w:numId w:val="278"/>
        </w:numPr>
        <w:rPr>
          <w:rFonts w:ascii="Arial" w:cs="Arial" w:eastAsia="Arial" w:hAnsi="Arial"/>
          <w:sz w:val="18"/>
          <w:szCs w:val="18"/>
          <w:color w:val="auto"/>
        </w:rPr>
      </w:pPr>
      <w:r>
        <w:rPr>
          <w:rFonts w:ascii="Arial" w:cs="Arial" w:eastAsia="Arial" w:hAnsi="Arial"/>
          <w:sz w:val="18"/>
          <w:szCs w:val="18"/>
          <w:color w:val="auto"/>
        </w:rPr>
        <w:t>If no successor Issuing Lender has been appointed pursuant to clause (ii) or (iii) above within twenty (20) Business Days after the date such notice of resignation was given by such Issuing Lender, such Issuing Lender’s resignation shall become effective and the Required Lenders shall thereafter perform all the duties of the Issuing Lender hereunder and under any other Loan Document until such time, if any, as the Required Lenders appoint a successor Issuing Lender as provided above.</w:t>
      </w:r>
    </w:p>
    <w:p>
      <w:pPr>
        <w:spacing w:after="0" w:line="193" w:lineRule="exact"/>
        <w:rPr>
          <w:rFonts w:ascii="Arial" w:cs="Arial" w:eastAsia="Arial" w:hAnsi="Arial"/>
          <w:sz w:val="18"/>
          <w:szCs w:val="18"/>
          <w:color w:val="auto"/>
        </w:rPr>
      </w:pPr>
    </w:p>
    <w:p>
      <w:pPr>
        <w:jc w:val="both"/>
        <w:ind w:left="1480" w:firstLine="623"/>
        <w:spacing w:after="0" w:line="242" w:lineRule="auto"/>
        <w:tabs>
          <w:tab w:leader="none" w:pos="2372" w:val="left"/>
        </w:tabs>
        <w:numPr>
          <w:ilvl w:val="2"/>
          <w:numId w:val="278"/>
        </w:numPr>
        <w:rPr>
          <w:rFonts w:ascii="Arial" w:cs="Arial" w:eastAsia="Arial" w:hAnsi="Arial"/>
          <w:sz w:val="18"/>
          <w:szCs w:val="18"/>
          <w:color w:val="auto"/>
        </w:rPr>
      </w:pPr>
      <w:r>
        <w:rPr>
          <w:rFonts w:ascii="Arial" w:cs="Arial" w:eastAsia="Arial" w:hAnsi="Arial"/>
          <w:sz w:val="18"/>
          <w:szCs w:val="18"/>
          <w:color w:val="auto"/>
        </w:rPr>
        <w:t xml:space="preserve">Upon a resignation of an Issuing Lender pursuant to this </w:t>
      </w:r>
      <w:r>
        <w:rPr>
          <w:rFonts w:ascii="Arial" w:cs="Arial" w:eastAsia="Arial" w:hAnsi="Arial"/>
          <w:sz w:val="18"/>
          <w:szCs w:val="18"/>
          <w:u w:val="single" w:color="auto"/>
          <w:color w:val="auto"/>
        </w:rPr>
        <w:t>Section 12.9(h)</w:t>
      </w:r>
      <w:r>
        <w:rPr>
          <w:rFonts w:ascii="Arial" w:cs="Arial" w:eastAsia="Arial" w:hAnsi="Arial"/>
          <w:sz w:val="18"/>
          <w:szCs w:val="18"/>
          <w:color w:val="auto"/>
        </w:rPr>
        <w:t xml:space="preserve">, such Issuing Lender shall remain indemnified to the extent provided in this Agreement and the other Loan Documents and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the analogous provisions of the other Loan Documents) shall continue in effect for the benefit of such Issuing Lender for all of its actions and inactions while serving as an Issuing Lender.</w:t>
      </w:r>
    </w:p>
    <w:p>
      <w:pPr>
        <w:spacing w:after="0" w:line="205" w:lineRule="exact"/>
        <w:rPr>
          <w:rFonts w:ascii="Arial" w:cs="Arial" w:eastAsia="Arial" w:hAnsi="Arial"/>
          <w:sz w:val="18"/>
          <w:szCs w:val="18"/>
          <w:color w:val="auto"/>
        </w:rPr>
      </w:pPr>
    </w:p>
    <w:p>
      <w:pPr>
        <w:jc w:val="both"/>
        <w:ind w:left="1480" w:right="20" w:firstLine="572"/>
        <w:spacing w:after="0" w:line="248" w:lineRule="auto"/>
        <w:tabs>
          <w:tab w:leader="none" w:pos="2372" w:val="left"/>
        </w:tabs>
        <w:numPr>
          <w:ilvl w:val="2"/>
          <w:numId w:val="278"/>
        </w:numPr>
        <w:rPr>
          <w:rFonts w:ascii="Arial" w:cs="Arial" w:eastAsia="Arial" w:hAnsi="Arial"/>
          <w:sz w:val="18"/>
          <w:szCs w:val="18"/>
          <w:color w:val="auto"/>
        </w:rPr>
      </w:pPr>
      <w:r>
        <w:rPr>
          <w:rFonts w:ascii="Arial" w:cs="Arial" w:eastAsia="Arial" w:hAnsi="Arial"/>
          <w:sz w:val="18"/>
          <w:szCs w:val="18"/>
          <w:color w:val="auto"/>
        </w:rPr>
        <w:t xml:space="preserve">Upon the resignation of any Issuing Lender and the appointment of a successor Issuing Lender pursuant to this </w:t>
      </w:r>
      <w:r>
        <w:rPr>
          <w:rFonts w:ascii="Arial" w:cs="Arial" w:eastAsia="Arial" w:hAnsi="Arial"/>
          <w:sz w:val="18"/>
          <w:szCs w:val="18"/>
          <w:u w:val="single" w:color="auto"/>
          <w:color w:val="auto"/>
        </w:rPr>
        <w:t>Section 12.9(h)</w:t>
      </w:r>
      <w:r>
        <w:rPr>
          <w:rFonts w:ascii="Arial" w:cs="Arial" w:eastAsia="Arial" w:hAnsi="Arial"/>
          <w:sz w:val="18"/>
          <w:szCs w:val="18"/>
          <w:color w:val="auto"/>
        </w:rPr>
        <w:t>, such Issuing Lender shall succeed to and become vested with all of the rights, privileges and duties of the resigning Issuing Lender.</w:t>
      </w:r>
    </w:p>
    <w:p>
      <w:pPr>
        <w:spacing w:after="0" w:line="198" w:lineRule="exact"/>
        <w:rPr>
          <w:rFonts w:ascii="Arial" w:cs="Arial" w:eastAsia="Arial" w:hAnsi="Arial"/>
          <w:sz w:val="18"/>
          <w:szCs w:val="18"/>
          <w:color w:val="auto"/>
        </w:rPr>
      </w:pPr>
    </w:p>
    <w:p>
      <w:pPr>
        <w:ind w:left="1480" w:right="20" w:firstLine="520"/>
        <w:spacing w:after="0" w:line="263" w:lineRule="auto"/>
        <w:tabs>
          <w:tab w:leader="none" w:pos="2371" w:val="left"/>
        </w:tabs>
        <w:numPr>
          <w:ilvl w:val="2"/>
          <w:numId w:val="278"/>
        </w:numPr>
        <w:rPr>
          <w:rFonts w:ascii="Arial" w:cs="Arial" w:eastAsia="Arial" w:hAnsi="Arial"/>
          <w:sz w:val="18"/>
          <w:szCs w:val="18"/>
          <w:color w:val="auto"/>
        </w:rPr>
      </w:pPr>
      <w:r>
        <w:rPr>
          <w:rFonts w:ascii="Arial" w:cs="Arial" w:eastAsia="Arial" w:hAnsi="Arial"/>
          <w:sz w:val="18"/>
          <w:szCs w:val="18"/>
          <w:color w:val="auto"/>
        </w:rPr>
        <w:t xml:space="preserve">Upon the resignation of any Issuing Lender pursuant to this </w:t>
      </w:r>
      <w:r>
        <w:rPr>
          <w:rFonts w:ascii="Arial" w:cs="Arial" w:eastAsia="Arial" w:hAnsi="Arial"/>
          <w:sz w:val="18"/>
          <w:szCs w:val="18"/>
          <w:u w:val="single" w:color="auto"/>
          <w:color w:val="auto"/>
        </w:rPr>
        <w:t>Section 12.9(h)</w:t>
      </w:r>
      <w:r>
        <w:rPr>
          <w:rFonts w:ascii="Arial" w:cs="Arial" w:eastAsia="Arial" w:hAnsi="Arial"/>
          <w:sz w:val="18"/>
          <w:szCs w:val="18"/>
          <w:color w:val="auto"/>
        </w:rPr>
        <w:t>, the resigning Issuing Lender shall be discharged from all of its duties and obligations hereunder or under any other Loan Document.</w:t>
      </w:r>
    </w:p>
    <w:p>
      <w:pPr>
        <w:spacing w:after="0" w:line="173" w:lineRule="exact"/>
        <w:rPr>
          <w:rFonts w:ascii="Arial" w:cs="Arial" w:eastAsia="Arial" w:hAnsi="Arial"/>
          <w:sz w:val="18"/>
          <w:szCs w:val="18"/>
          <w:color w:val="auto"/>
        </w:rPr>
      </w:pPr>
    </w:p>
    <w:p>
      <w:pPr>
        <w:jc w:val="both"/>
        <w:ind w:left="1480" w:right="20" w:firstLine="469"/>
        <w:spacing w:after="0" w:line="248" w:lineRule="auto"/>
        <w:tabs>
          <w:tab w:leader="none" w:pos="2371" w:val="left"/>
        </w:tabs>
        <w:numPr>
          <w:ilvl w:val="2"/>
          <w:numId w:val="278"/>
        </w:numPr>
        <w:rPr>
          <w:rFonts w:ascii="Arial" w:cs="Arial" w:eastAsia="Arial" w:hAnsi="Arial"/>
          <w:sz w:val="18"/>
          <w:szCs w:val="18"/>
          <w:color w:val="auto"/>
        </w:rPr>
      </w:pPr>
      <w:r>
        <w:rPr>
          <w:rFonts w:ascii="Arial" w:cs="Arial" w:eastAsia="Arial" w:hAnsi="Arial"/>
          <w:sz w:val="18"/>
          <w:szCs w:val="18"/>
          <w:color w:val="auto"/>
        </w:rPr>
        <w:t xml:space="preserve">Upon the appointment of a successor Issuing Lender pursuant to this </w:t>
      </w:r>
      <w:r>
        <w:rPr>
          <w:rFonts w:ascii="Arial" w:cs="Arial" w:eastAsia="Arial" w:hAnsi="Arial"/>
          <w:sz w:val="18"/>
          <w:szCs w:val="18"/>
          <w:u w:val="single" w:color="auto"/>
          <w:color w:val="auto"/>
        </w:rPr>
        <w:t>Section 12.9(h)</w:t>
      </w:r>
      <w:r>
        <w:rPr>
          <w:rFonts w:ascii="Arial" w:cs="Arial" w:eastAsia="Arial" w:hAnsi="Arial"/>
          <w:sz w:val="18"/>
          <w:szCs w:val="18"/>
          <w:color w:val="auto"/>
        </w:rPr>
        <w:t>, such successor Issuing Lender shall issue letters of credit in substitution for the Letters of Credit, if any, outstanding at the time of such succession or make other arrangements satisfactory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720"/>
          </w:cols>
          <w:pgMar w:left="360" w:top="1326" w:right="819" w:bottom="1440" w:gutter="0" w:footer="0" w:header="0"/>
        </w:sectPr>
      </w:pPr>
    </w:p>
    <w:bookmarkStart w:id="254" w:name="page255"/>
    <w:bookmarkEnd w:id="254"/>
    <w:p>
      <w:pPr>
        <w:ind w:left="1480" w:right="440"/>
        <w:spacing w:after="0" w:line="263" w:lineRule="auto"/>
        <w:rPr>
          <w:sz w:val="20"/>
          <w:szCs w:val="20"/>
          <w:color w:val="auto"/>
        </w:rPr>
      </w:pPr>
      <w:r>
        <w:rPr>
          <w:rFonts w:ascii="Arial" w:cs="Arial" w:eastAsia="Arial" w:hAnsi="Arial"/>
          <w:sz w:val="18"/>
          <w:szCs w:val="18"/>
          <w:color w:val="auto"/>
        </w:rPr>
        <w:t>the resigning Issuing Lender to effectively assume the obligations of such resigning Issuing Lender with respect to such Letters of Credit.</w:t>
      </w:r>
    </w:p>
    <w:p>
      <w:pPr>
        <w:spacing w:after="0" w:line="18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u w:val="single" w:color="auto"/>
          <w:color w:val="auto"/>
        </w:rPr>
        <w:t>Collateral Matters</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68" w:lineRule="auto"/>
        <w:tabs>
          <w:tab w:leader="none" w:pos="2355" w:val="left"/>
        </w:tabs>
        <w:numPr>
          <w:ilvl w:val="1"/>
          <w:numId w:val="279"/>
        </w:numPr>
        <w:rPr>
          <w:rFonts w:ascii="Arial" w:cs="Arial" w:eastAsia="Arial" w:hAnsi="Arial"/>
          <w:sz w:val="16"/>
          <w:szCs w:val="16"/>
          <w:color w:val="auto"/>
        </w:rPr>
      </w:pPr>
      <w:r>
        <w:rPr>
          <w:rFonts w:ascii="Arial" w:cs="Arial" w:eastAsia="Arial" w:hAnsi="Arial"/>
          <w:sz w:val="16"/>
          <w:szCs w:val="16"/>
          <w:color w:val="auto"/>
        </w:rPr>
        <w:t>Each Secured Party authorizes and directs the Collateral Agent to enter into the Security Documents and any Intercreditor Agreement, other intercreditor arrangements or collateral trust arrangements contemplated by this Agreement on behalf of and for the benefit of the Lenders and the other Secured Parties named therein and agrees to be bound by the terms of each Security Document and any Intercreditor Agreement and other agreements or documents. Each Lender hereby agrees, and each holder of any Note and each other Secured Party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The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create, perfect or maintain perfected the security interest in and liens upon the Collateral granted pursuant to the Security Documents.</w:t>
      </w:r>
    </w:p>
    <w:p>
      <w:pPr>
        <w:spacing w:after="0" w:line="185" w:lineRule="exact"/>
        <w:rPr>
          <w:rFonts w:ascii="Arial" w:cs="Arial" w:eastAsia="Arial" w:hAnsi="Arial"/>
          <w:sz w:val="16"/>
          <w:szCs w:val="16"/>
          <w:color w:val="auto"/>
        </w:rPr>
      </w:pPr>
    </w:p>
    <w:p>
      <w:pPr>
        <w:ind w:left="960" w:right="20" w:firstLine="604"/>
        <w:spacing w:after="0" w:line="241" w:lineRule="auto"/>
        <w:tabs>
          <w:tab w:leader="none" w:pos="2353"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Secured Parties hereby authorize the Collateral Agent, at its option and in its discretion, to subordinate or release any Lien granted to or held by the Collateral Agent upon any Collateral</w:t>
      </w:r>
    </w:p>
    <w:p>
      <w:pPr>
        <w:spacing w:after="0" w:line="1" w:lineRule="exact"/>
        <w:rPr>
          <w:rFonts w:ascii="Arial" w:cs="Arial" w:eastAsia="Arial" w:hAnsi="Arial"/>
          <w:sz w:val="18"/>
          <w:szCs w:val="18"/>
          <w:color w:val="auto"/>
        </w:rPr>
      </w:pPr>
    </w:p>
    <w:p>
      <w:pPr>
        <w:jc w:val="both"/>
        <w:ind w:left="960" w:right="20" w:firstLine="3"/>
        <w:spacing w:after="0" w:line="261" w:lineRule="auto"/>
        <w:tabs>
          <w:tab w:leader="none" w:pos="115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upon termination of the Commitments, termination or expiration of all Letters of Credit and payment and satisfaction in full of all of the Obligations (other than (x) contingent indemnification and reimbursement obligations for which no claim has been made and</w:t>
      </w:r>
    </w:p>
    <w:p>
      <w:pPr>
        <w:spacing w:after="0" w:line="1" w:lineRule="exact"/>
        <w:rPr>
          <w:rFonts w:ascii="Arial" w:cs="Arial" w:eastAsia="Arial" w:hAnsi="Arial"/>
          <w:sz w:val="16"/>
          <w:szCs w:val="16"/>
          <w:color w:val="auto"/>
        </w:rPr>
      </w:pPr>
    </w:p>
    <w:p>
      <w:pPr>
        <w:jc w:val="both"/>
        <w:ind w:left="960" w:right="20" w:firstLine="3"/>
        <w:spacing w:after="0" w:line="235" w:lineRule="auto"/>
        <w:tabs>
          <w:tab w:leader="none" w:pos="123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Obligations in respect of any Swap Agreement, Cash Management Obligations and other contingent obligations, in each case not then due and owing) at any time arising under or in respect of this Agreement or the Loan Documents or the transactions contemplated hereby or thereby, (ii) constituting property being sold or otherwise disposed of (to Persons other than the Borrower and its Subsidiaries) upon the sale or other disposition thereof in compliance with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(iii) if approved, authorized or ratified in writing by the Required Lenders (or all of the Lenders hereunder, to the extent required by </w:t>
      </w:r>
      <w:r>
        <w:rPr>
          <w:rFonts w:ascii="Arial" w:cs="Arial" w:eastAsia="Arial" w:hAnsi="Arial"/>
          <w:sz w:val="18"/>
          <w:szCs w:val="18"/>
          <w:u w:val="single" w:color="auto"/>
          <w:color w:val="auto"/>
        </w:rPr>
        <w:t>Section 13.12</w:t>
      </w:r>
      <w:r>
        <w:rPr>
          <w:rFonts w:ascii="Arial" w:cs="Arial" w:eastAsia="Arial" w:hAnsi="Arial"/>
          <w:sz w:val="18"/>
          <w:szCs w:val="18"/>
          <w:color w:val="auto"/>
        </w:rPr>
        <w:t xml:space="preserve">), (iv) constituting an Excluded Asset or (v) as otherwise may be expressly provided in the relevant Security Documents. Upon request by the Administrative Agent at any time, the Lenders will confirm in writing the Collateral Agent’s authority to release particular types or items of Collateral pursuant to this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81" w:lineRule="exact"/>
        <w:rPr>
          <w:rFonts w:ascii="Arial" w:cs="Arial" w:eastAsia="Arial" w:hAnsi="Arial"/>
          <w:sz w:val="18"/>
          <w:szCs w:val="18"/>
          <w:color w:val="auto"/>
        </w:rPr>
      </w:pPr>
    </w:p>
    <w:p>
      <w:pPr>
        <w:jc w:val="both"/>
        <w:ind w:left="960" w:firstLine="604"/>
        <w:spacing w:after="0" w:line="236" w:lineRule="auto"/>
        <w:tabs>
          <w:tab w:leader="none" w:pos="235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xml:space="preserve">The Collateral Agent shall have no obligation whatsoever to the Secured Parties or to any other Person to assure that the Collateral exists or is owned by any Secured Party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or in any of the Security Documents,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by a court of competent jurisdiction in a final and non-appealable decision).</w:t>
      </w:r>
    </w:p>
    <w:p>
      <w:pPr>
        <w:spacing w:after="0" w:line="209" w:lineRule="exact"/>
        <w:rPr>
          <w:rFonts w:ascii="Arial" w:cs="Arial" w:eastAsia="Arial" w:hAnsi="Arial"/>
          <w:sz w:val="18"/>
          <w:szCs w:val="18"/>
          <w:color w:val="auto"/>
        </w:rPr>
      </w:pPr>
    </w:p>
    <w:p>
      <w:pPr>
        <w:jc w:val="both"/>
        <w:ind w:left="960" w:right="20" w:firstLine="605"/>
        <w:spacing w:after="0" w:line="248" w:lineRule="auto"/>
        <w:tabs>
          <w:tab w:leader="none" w:pos="235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Administrative Agent and the Collateral Agent shall be authorized, without the consent of any Secured Party, to enter into or execute the Security Documents on or prior to the Closing Date, and, from time to time, to execute or to enter into amendments of, and amendments and restatements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720"/>
          </w:cols>
          <w:pgMar w:left="360" w:top="1326" w:right="819" w:bottom="1440" w:gutter="0" w:footer="0" w:header="0"/>
        </w:sectPr>
      </w:pPr>
    </w:p>
    <w:bookmarkStart w:id="255" w:name="page256"/>
    <w:bookmarkEnd w:id="255"/>
    <w:p>
      <w:pPr>
        <w:jc w:val="both"/>
        <w:ind w:left="960" w:right="20"/>
        <w:spacing w:after="0"/>
        <w:rPr>
          <w:sz w:val="20"/>
          <w:szCs w:val="20"/>
          <w:color w:val="auto"/>
        </w:rPr>
      </w:pPr>
      <w:r>
        <w:rPr>
          <w:rFonts w:ascii="Arial" w:cs="Arial" w:eastAsia="Arial" w:hAnsi="Arial"/>
          <w:sz w:val="18"/>
          <w:szCs w:val="18"/>
          <w:color w:val="auto"/>
        </w:rPr>
        <w:t xml:space="preserve">Security Documents, any Intercreditor Agreement and any additional and replacement Intercreditor Agreements in each case in order to effect the subordination of and to provide for certain additional rights, obligations and limitations in respect of, any Liens required by the terms of this Agreement to be Liens junior to, pari passu with or senior to the Obligations, that are, in each case, incurred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and to establish certain relative rights as between the holders of the Obligations and the holders of the Indebtedness secured by such Liens.</w:t>
      </w:r>
    </w:p>
    <w:p>
      <w:pPr>
        <w:spacing w:after="0" w:line="206" w:lineRule="exact"/>
        <w:rPr>
          <w:sz w:val="20"/>
          <w:szCs w:val="20"/>
          <w:color w:val="auto"/>
        </w:rPr>
      </w:pPr>
    </w:p>
    <w:p>
      <w:pPr>
        <w:jc w:val="both"/>
        <w:ind w:left="960" w:firstLine="605"/>
        <w:spacing w:after="0" w:line="238" w:lineRule="auto"/>
        <w:tabs>
          <w:tab w:leader="none" w:pos="235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13.12</w:t>
      </w:r>
      <w:r>
        <w:rPr>
          <w:rFonts w:ascii="Arial" w:cs="Arial" w:eastAsia="Arial" w:hAnsi="Arial"/>
          <w:sz w:val="18"/>
          <w:szCs w:val="18"/>
          <w:color w:val="auto"/>
        </w:rPr>
        <w:t xml:space="preserve">, without further written consent or authorization from any Secured Party, the Administrative Agent or the Collateral Agent, as applicable, may execute any documents or instruments necessary to (i) in connection with a sale or Disposition of assets permitted by this Agreement, release any Lien encumbering any item of Collateral that is the subject of such sale or other Disposition of assets or to which Required Lenders (or such other Lenders as may be required to give such consent under </w:t>
      </w:r>
      <w:r>
        <w:rPr>
          <w:rFonts w:ascii="Arial" w:cs="Arial" w:eastAsia="Arial" w:hAnsi="Arial"/>
          <w:sz w:val="18"/>
          <w:szCs w:val="18"/>
          <w:u w:val="single" w:color="auto"/>
          <w:color w:val="auto"/>
        </w:rPr>
        <w:t>Section 13.12</w:t>
      </w:r>
      <w:r>
        <w:rPr>
          <w:rFonts w:ascii="Arial" w:cs="Arial" w:eastAsia="Arial" w:hAnsi="Arial"/>
          <w:sz w:val="18"/>
          <w:szCs w:val="18"/>
          <w:color w:val="auto"/>
        </w:rPr>
        <w:t xml:space="preserve">) have otherwise consented or (ii) release any Guarantor from the Guarantee pursuant to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or with respect to which Required Lenders (or such other Lenders as may be required to give such consent under </w:t>
      </w:r>
      <w:r>
        <w:rPr>
          <w:rFonts w:ascii="Arial" w:cs="Arial" w:eastAsia="Arial" w:hAnsi="Arial"/>
          <w:sz w:val="18"/>
          <w:szCs w:val="18"/>
          <w:u w:val="single" w:color="auto"/>
          <w:color w:val="auto"/>
        </w:rPr>
        <w:t>Section 13.12</w:t>
      </w:r>
      <w:r>
        <w:rPr>
          <w:rFonts w:ascii="Arial" w:cs="Arial" w:eastAsia="Arial" w:hAnsi="Arial"/>
          <w:sz w:val="18"/>
          <w:szCs w:val="18"/>
          <w:color w:val="auto"/>
        </w:rPr>
        <w:t>) have otherwise consented.</w:t>
      </w:r>
    </w:p>
    <w:p>
      <w:pPr>
        <w:spacing w:after="0" w:line="268" w:lineRule="exact"/>
        <w:rPr>
          <w:sz w:val="20"/>
          <w:szCs w:val="20"/>
          <w:color w:val="auto"/>
        </w:rPr>
      </w:pPr>
    </w:p>
    <w:p>
      <w:pPr>
        <w:jc w:val="both"/>
        <w:ind w:left="960" w:right="20" w:firstLine="602"/>
        <w:spacing w:after="0" w:line="250" w:lineRule="auto"/>
        <w:rPr>
          <w:sz w:val="20"/>
          <w:szCs w:val="20"/>
          <w:color w:val="auto"/>
        </w:rPr>
      </w:pPr>
      <w:r>
        <w:rPr>
          <w:rFonts w:ascii="Arial" w:cs="Arial" w:eastAsia="Arial" w:hAnsi="Arial"/>
          <w:sz w:val="17"/>
          <w:szCs w:val="17"/>
          <w:color w:val="auto"/>
        </w:rPr>
        <w:t>(f)The Borrower hereby certifies that (i) each of CreatingWill.com, LLC, a Delaware Corporation, LegalZoom Enterprises, LLC, a Delaware limited liability company, Legalzoom.com Texas, LLC, a Texas limited liability company, United States Corporation Agents, Inc., a Nevada corporation, LZ Financial Services LLC, a Delaware corporation, United States Corporation Agents, Inc., a California corporation, United States Corporation Agents, Inc., a Maryland corporation, LegalZoom Enterprise Initiatives, Inc., a Delaware corporation, LegalZoom Insurance Services, Inc. (f.k.a. LegalZoom SMB Initiatives, Inc.), a Delaware corporation, and LegalInc Corporate Services Inc., a Delaware corporation (each, a “</w:t>
      </w:r>
      <w:r>
        <w:rPr>
          <w:rFonts w:ascii="Arial" w:cs="Arial" w:eastAsia="Arial" w:hAnsi="Arial"/>
          <w:sz w:val="17"/>
          <w:szCs w:val="17"/>
          <w:u w:val="single" w:color="auto"/>
          <w:color w:val="auto"/>
        </w:rPr>
        <w:t>Released Subsidiary</w:t>
      </w:r>
      <w:r>
        <w:rPr>
          <w:rFonts w:ascii="Arial" w:cs="Arial" w:eastAsia="Arial" w:hAnsi="Arial"/>
          <w:sz w:val="17"/>
          <w:szCs w:val="17"/>
          <w:color w:val="auto"/>
        </w:rPr>
        <w:t>”) constitutes an Immaterial Subsidiary as of the Closing Date and (ii) after giving effect to the release of each Released Subsidiary as a Subsidiary Guarantor on the Closing Date, the aggregate amount of third-party gross revenues or Total Assets attributable to all Immaterial Subsidiaries does not exceed the maximum permitted amount thereof as set forth in the proviso to the definition of the term “Immaterial Subsidiary”. Effective as of the Closing Date, each Released Subsidiary is hereby released as a Subsidiary Guarantor hereunder and as a Grantor under the Security Agreement and the other Security Documents. The Administrative Agent and the Collateral Agent are hereby authorized to execute or file such documents or instruments evidencing the release of the Released Guarantors hereunder and under the Security Documents as are reasonably requested by the Borrower.</w:t>
      </w:r>
    </w:p>
    <w:p>
      <w:pPr>
        <w:spacing w:after="0" w:line="199" w:lineRule="exact"/>
        <w:rPr>
          <w:sz w:val="20"/>
          <w:szCs w:val="20"/>
          <w:color w:val="auto"/>
        </w:rPr>
      </w:pPr>
    </w:p>
    <w:p>
      <w:pPr>
        <w:jc w:val="both"/>
        <w:ind w:left="960" w:right="20" w:firstLine="603"/>
        <w:spacing w:after="0" w:line="255" w:lineRule="auto"/>
        <w:tabs>
          <w:tab w:leader="none" w:pos="236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Each Secured Party hereby authorizes the Collateral Agent (whether or not by or through employees or agents) to (i) exercise such rights, remedies, powers and discretions as are specifically delegated to or conferred upon the Collateral Agent under the Security Documents together with such powers and discretions as are reasonably incidental thereto and (ii) take such action on its behalf as may from time to time be authorized under or in accordance with the Security Documents. At the request of the Collateral Agent, each Secured Party shall provide the Collateral Agent with a separate written power of attorney for the purposes of executing any agreements or document or otherwise acting on their behalf.</w:t>
      </w:r>
    </w:p>
    <w:p>
      <w:pPr>
        <w:spacing w:after="0" w:line="195" w:lineRule="exact"/>
        <w:rPr>
          <w:rFonts w:ascii="Arial" w:cs="Arial" w:eastAsia="Arial" w:hAnsi="Arial"/>
          <w:sz w:val="17"/>
          <w:szCs w:val="17"/>
          <w:color w:val="auto"/>
        </w:rPr>
      </w:pPr>
    </w:p>
    <w:p>
      <w:pPr>
        <w:ind w:left="2160" w:hanging="595"/>
        <w:spacing w:after="0"/>
        <w:tabs>
          <w:tab w:leader="none" w:pos="2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960" w:right="20" w:firstLine="604"/>
        <w:spacing w:after="0" w:line="242" w:lineRule="auto"/>
        <w:tabs>
          <w:tab w:leader="none" w:pos="17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Secured Party hereby ratifies and approves all acts and declarations previously done by the Collateral Agent (or representative acting for and on its behalf) on such Secured Party’s behalf (including, but not limited to, for the avoidance of doubt, the declarations made by the Collateral Agent as representative without power of attorney in relation to the creation of any pledge on behalf and for the benefit of any Secured Party as future pledgee or otherwise).</w:t>
      </w:r>
    </w:p>
    <w:p>
      <w:pPr>
        <w:spacing w:after="0" w:line="205" w:lineRule="exact"/>
        <w:rPr>
          <w:rFonts w:ascii="Arial" w:cs="Arial" w:eastAsia="Arial" w:hAnsi="Arial"/>
          <w:sz w:val="18"/>
          <w:szCs w:val="18"/>
          <w:color w:val="auto"/>
        </w:rPr>
      </w:pPr>
    </w:p>
    <w:p>
      <w:pPr>
        <w:ind w:left="960" w:right="20" w:firstLine="604"/>
        <w:spacing w:after="0" w:line="263" w:lineRule="auto"/>
        <w:tabs>
          <w:tab w:leader="none" w:pos="17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Anything contained in any of the Loan Documents to the contrary notwithstanding, the Administrative Agent, the Collateral Agent and each Secured Party hereby agree that (i) no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720"/>
          </w:cols>
          <w:pgMar w:left="360" w:top="1326" w:right="819" w:bottom="1440" w:gutter="0" w:footer="0" w:header="0"/>
        </w:sectPr>
      </w:pPr>
    </w:p>
    <w:bookmarkStart w:id="256" w:name="page257"/>
    <w:bookmarkEnd w:id="256"/>
    <w:p>
      <w:pPr>
        <w:jc w:val="both"/>
        <w:ind w:left="960" w:right="20"/>
        <w:spacing w:after="0" w:line="250" w:lineRule="auto"/>
        <w:rPr>
          <w:sz w:val="20"/>
          <w:szCs w:val="20"/>
          <w:color w:val="auto"/>
        </w:rPr>
      </w:pPr>
      <w:r>
        <w:rPr>
          <w:rFonts w:ascii="Arial" w:cs="Arial" w:eastAsia="Arial" w:hAnsi="Arial"/>
          <w:sz w:val="17"/>
          <w:szCs w:val="17"/>
          <w:color w:val="auto"/>
        </w:rPr>
        <w:t>shall have any right individually to realize upon any of the Collateral or to enforce the Guarantee or take any other action under any Loan Document, it being understood and agreed that all powers, rights and remedies hereunder and under any of the Loan Documents may be exercised solely by the Administrative Agent or the Collateral Agent, as applicable, for the benefit of the Secured Parties in accordance with the terms hereof and thereof and all powers, rights and remedies under the Security Documents may be exercised solely by the Collateral Agent for the benefit of the Secured Parties in accordance with the terms thereof, and (ii) 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 may be the purchaser or licensor of any or all of such Collateral at any such sale or other disposition and the Collateral Agent,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99" w:lineRule="exact"/>
        <w:rPr>
          <w:sz w:val="20"/>
          <w:szCs w:val="20"/>
          <w:color w:val="auto"/>
        </w:rPr>
      </w:pPr>
    </w:p>
    <w:p>
      <w:pPr>
        <w:jc w:val="both"/>
        <w:ind w:left="960" w:right="20" w:firstLine="604"/>
        <w:spacing w:after="0" w:line="237" w:lineRule="auto"/>
        <w:tabs>
          <w:tab w:leader="none" w:pos="235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No Swap Agreement or agreement in respect of Cash Management Obligations will create (or be deemed to create) in favor of any Qualified Counterparty or provider of Cash Management Obligation, as applicable, that is a party to such Swap Agreement or agreement in respect of Cash Management Obligations, as applicable, any rights in connection with the management or release of any Collateral or of the obligations of any Guarantor under the Loan Documents except as expressly provided in </w:t>
      </w:r>
      <w:r>
        <w:rPr>
          <w:rFonts w:ascii="Arial" w:cs="Arial" w:eastAsia="Arial" w:hAnsi="Arial"/>
          <w:sz w:val="18"/>
          <w:szCs w:val="18"/>
          <w:u w:val="single" w:color="auto"/>
          <w:color w:val="auto"/>
        </w:rPr>
        <w:t>Section 13.12(a)(6)</w:t>
      </w:r>
      <w:r>
        <w:rPr>
          <w:rFonts w:ascii="Arial" w:cs="Arial" w:eastAsia="Arial" w:hAnsi="Arial"/>
          <w:sz w:val="18"/>
          <w:szCs w:val="18"/>
          <w:color w:val="auto"/>
        </w:rPr>
        <w:t xml:space="preserve"> of this Agreement and any Security Document and any Intercreditor Agreement. By accepting the benefits of the Collateral, each Qualified Counterparty and provider of Cash Management Obligations shall be deemed to have appointed the Collateral Agent as its agent and agreed to be bound by the Loan Documents as a Secured Party, subject to the limitations set forth in this clause (k).</w:t>
      </w:r>
    </w:p>
    <w:p>
      <w:pPr>
        <w:spacing w:after="0" w:line="195" w:lineRule="exact"/>
        <w:rPr>
          <w:rFonts w:ascii="Arial" w:cs="Arial" w:eastAsia="Arial" w:hAnsi="Arial"/>
          <w:sz w:val="18"/>
          <w:szCs w:val="18"/>
          <w:color w:val="auto"/>
        </w:rPr>
      </w:pPr>
    </w:p>
    <w:p>
      <w:pPr>
        <w:jc w:val="both"/>
        <w:ind w:left="960" w:right="20" w:firstLine="604"/>
        <w:spacing w:after="0" w:line="254" w:lineRule="auto"/>
        <w:tabs>
          <w:tab w:leader="none" w:pos="17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to the contrary, the Administrative Agent and the Collateral Agent shall not be required to verify the payment of, or that other satisfactory arrangements have been made with respect to, Obligations arising under Swap Agreements with a Qualified Counterparty or in respect of Cash Management Obligations. 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Loan Party in connection therewith, nor shall the Collateral Agent be responsible or liable to the Secured Parties for any failure to monitor or maintain any portion of the Collateral.</w:t>
      </w:r>
    </w:p>
    <w:p>
      <w:pPr>
        <w:spacing w:after="0" w:line="194" w:lineRule="exact"/>
        <w:rPr>
          <w:rFonts w:ascii="Arial" w:cs="Arial" w:eastAsia="Arial" w:hAnsi="Arial"/>
          <w:sz w:val="17"/>
          <w:szCs w:val="17"/>
          <w:color w:val="auto"/>
        </w:rPr>
      </w:pPr>
    </w:p>
    <w:p>
      <w:pPr>
        <w:jc w:val="both"/>
        <w:ind w:left="960" w:firstLine="604"/>
        <w:spacing w:after="0" w:line="235" w:lineRule="auto"/>
        <w:tabs>
          <w:tab w:leader="none" w:pos="235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any other Loan Document, when all Obligations (other than (i) contingent indemnification and reimbursement obligations for which no claim has been made and (ii) Obligations in respect of any Swap Agreement, Cash Management Obligations and other contingent obligations, in each case not then due and owing) have been paid indefeasibly in full, all Commitments have terminated or expired and no Letter of Credit shall be outstanding, upon request of the Borrower, the Administrative Agent shall (without notice to, or vote or consent of, any party to any Swap Agreement or provider of Cash Management Obligations) take such actions as shall be required to release its security interest in all Collateral, and to release all guarantee obligations provided for in any Loan Document, whether or not on the date of such release there may be outstanding Obligations in respect of Swap Agreements or Cash Management Obligations.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353060</wp:posOffset>
            </wp:positionV>
            <wp:extent cx="326390" cy="182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720"/>
          </w:cols>
          <w:pgMar w:left="360" w:top="1326" w:right="819" w:bottom="1440" w:gutter="0" w:footer="0" w:header="0"/>
        </w:sectPr>
      </w:pPr>
    </w:p>
    <w:bookmarkStart w:id="257" w:name="page258"/>
    <w:bookmarkEnd w:id="257"/>
    <w:p>
      <w:pPr>
        <w:ind w:left="960" w:right="20"/>
        <w:spacing w:after="0" w:line="263" w:lineRule="auto"/>
        <w:rPr>
          <w:sz w:val="20"/>
          <w:szCs w:val="20"/>
          <w:color w:val="auto"/>
        </w:rPr>
      </w:pPr>
      <w:r>
        <w:rPr>
          <w:rFonts w:ascii="Arial" w:cs="Arial" w:eastAsia="Arial" w:hAnsi="Arial"/>
          <w:sz w:val="18"/>
          <w:szCs w:val="18"/>
          <w:color w:val="auto"/>
        </w:rPr>
        <w:t>appointment of a receiver, intervenor or conservator of, or trustee or similar officer for, the Borrower or any Guarantor or any substantial part of its property, or otherwise, all as though such payment had not been made.</w:t>
      </w:r>
    </w:p>
    <w:p>
      <w:pPr>
        <w:spacing w:after="0" w:line="186" w:lineRule="exact"/>
        <w:rPr>
          <w:sz w:val="20"/>
          <w:szCs w:val="20"/>
          <w:color w:val="auto"/>
        </w:rPr>
      </w:pPr>
    </w:p>
    <w:p>
      <w:pPr>
        <w:jc w:val="both"/>
        <w:ind w:left="960" w:firstLine="604"/>
        <w:spacing w:after="0"/>
        <w:tabs>
          <w:tab w:leader="none" w:pos="235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In each case as specified in this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any Security Document or to subordinate its interest in such item, or to release such Guarantor from its obligations under the Guarantee, in each case in accordance with the terms of the Loan Documents and this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6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95" w:lineRule="exact"/>
        <w:rPr>
          <w:sz w:val="20"/>
          <w:szCs w:val="20"/>
          <w:color w:val="auto"/>
        </w:rPr>
      </w:pPr>
    </w:p>
    <w:p>
      <w:pPr>
        <w:jc w:val="both"/>
        <w:ind w:left="960" w:right="20" w:firstLine="602"/>
        <w:spacing w:after="0" w:line="23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Delivery of Information</w:t>
      </w:r>
      <w:r>
        <w:rPr>
          <w:rFonts w:ascii="Arial" w:cs="Arial" w:eastAsia="Arial" w:hAnsi="Arial"/>
          <w:sz w:val="18"/>
          <w:szCs w:val="18"/>
          <w:color w:val="auto"/>
        </w:rPr>
        <w:t>.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w:t>
      </w:r>
    </w:p>
    <w:p>
      <w:pPr>
        <w:spacing w:after="0" w:line="1" w:lineRule="exact"/>
        <w:rPr>
          <w:sz w:val="20"/>
          <w:szCs w:val="20"/>
          <w:color w:val="auto"/>
        </w:rPr>
      </w:pPr>
    </w:p>
    <w:p>
      <w:pPr>
        <w:jc w:val="both"/>
        <w:ind w:left="960" w:right="20" w:firstLine="3"/>
        <w:spacing w:after="0" w:line="237" w:lineRule="auto"/>
        <w:tabs>
          <w:tab w:leader="none" w:pos="119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to the extent permitted hereunder and in accordance with such specific request.</w:t>
      </w:r>
    </w:p>
    <w:p>
      <w:pPr>
        <w:spacing w:after="0" w:line="195" w:lineRule="exact"/>
        <w:rPr>
          <w:sz w:val="20"/>
          <w:szCs w:val="20"/>
          <w:color w:val="auto"/>
        </w:rPr>
      </w:pPr>
    </w:p>
    <w:p>
      <w:pPr>
        <w:jc w:val="both"/>
        <w:ind w:left="960" w:firstLine="602"/>
        <w:spacing w:after="0" w:line="265"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To the extent required by any applicable law, the Administrative Agent may withhold from any payment to any Lender under any Loan Document an amount equivalent to any applicable withholding Tax. If the IRS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that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and hold harmless the Administrative Agent against, and shall make payable in respect thereof within ten (10) days of demand therefor, all amounts paid, directly or indirectly, by the Administrative Agent as Tax or otherwise, including any penalties or interest and together with all related losses, claims, liabilities and expenses (including legal expenses, allocated internal costs and out-of-pocket expenses) incurred by or asserted against the Administrative Agent.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shall survive the resignation or replacement of the Administrative Agent, any assignment of rights by, or the replacement of, a Lender, the termination of the Commitments and the repayment, satisfaction or discharge of all other Obligations. For the avoidance of doubt, the term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shall, for purposes of this </w:t>
      </w:r>
      <w:r>
        <w:rPr>
          <w:rFonts w:ascii="Arial" w:cs="Arial" w:eastAsia="Arial" w:hAnsi="Arial"/>
          <w:sz w:val="16"/>
          <w:szCs w:val="16"/>
          <w:u w:val="single" w:color="auto"/>
          <w:color w:val="auto"/>
        </w:rPr>
        <w:t>Section 12.13</w:t>
      </w:r>
      <w:r>
        <w:rPr>
          <w:rFonts w:ascii="Arial" w:cs="Arial" w:eastAsia="Arial" w:hAnsi="Arial"/>
          <w:sz w:val="16"/>
          <w:szCs w:val="16"/>
          <w:color w:val="auto"/>
        </w:rPr>
        <w:t>, include any Issuing Lender.</w:t>
      </w:r>
    </w:p>
    <w:p>
      <w:pPr>
        <w:spacing w:after="0" w:line="258" w:lineRule="exact"/>
        <w:rPr>
          <w:sz w:val="20"/>
          <w:szCs w:val="20"/>
          <w:color w:val="auto"/>
        </w:rPr>
      </w:pPr>
    </w:p>
    <w:p>
      <w:pPr>
        <w:jc w:val="both"/>
        <w:ind w:left="960" w:right="20" w:firstLine="602"/>
        <w:spacing w:after="0"/>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The Administrative Agent is authorized to enter into each Intercreditor Agreement or any other intercreditor agreement contemplated hereunder (and any amendments, amendments and restatements, restatements or waivers of or supplements to or other modifications to, such agreements in connection with the incurrence by any Loan Party of any Indebtedness of such Loan Party that is permitted to be secured pursuant to </w:t>
      </w:r>
      <w:r>
        <w:rPr>
          <w:rFonts w:ascii="Arial" w:cs="Arial" w:eastAsia="Arial" w:hAnsi="Arial"/>
          <w:sz w:val="18"/>
          <w:szCs w:val="18"/>
          <w:u w:val="single" w:color="auto"/>
          <w:color w:val="auto"/>
        </w:rPr>
        <w:t>Sections 9.3(b)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of this Agreement (with such priority as may be designated by such Loan Party, to the extent such priority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720"/>
          </w:cols>
          <w:pgMar w:left="360" w:top="1326" w:right="819" w:bottom="1440" w:gutter="0" w:footer="0" w:header="0"/>
        </w:sectPr>
      </w:pPr>
    </w:p>
    <w:bookmarkStart w:id="258" w:name="page259"/>
    <w:bookmarkEnd w:id="258"/>
    <w:p>
      <w:pPr>
        <w:ind w:left="960"/>
        <w:spacing w:after="0"/>
        <w:rPr>
          <w:sz w:val="20"/>
          <w:szCs w:val="20"/>
          <w:color w:val="auto"/>
        </w:rPr>
      </w:pPr>
      <w:r>
        <w:rPr>
          <w:rFonts w:ascii="Arial" w:cs="Arial" w:eastAsia="Arial" w:hAnsi="Arial"/>
          <w:sz w:val="16"/>
          <w:szCs w:val="16"/>
          <w:color w:val="auto"/>
        </w:rPr>
        <w:t>permitted by the Loan Documents)), and the parties hereto acknowledge that any Intercreditor Agreement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326390" cy="182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099"/>
          </w:cols>
          <w:pgMar w:left="360" w:top="1339" w:right="1440" w:bottom="1440" w:gutter="0" w:footer="0" w:header="0"/>
        </w:sectPr>
      </w:pPr>
    </w:p>
    <w:bookmarkStart w:id="259" w:name="page260"/>
    <w:bookmarkEnd w:id="259"/>
    <w:p>
      <w:pPr>
        <w:ind w:left="960"/>
        <w:spacing w:after="0"/>
        <w:rPr>
          <w:sz w:val="20"/>
          <w:szCs w:val="20"/>
          <w:color w:val="auto"/>
        </w:rPr>
      </w:pPr>
      <w:r>
        <w:rPr>
          <w:rFonts w:ascii="Arial" w:cs="Arial" w:eastAsia="Arial" w:hAnsi="Arial"/>
          <w:sz w:val="18"/>
          <w:szCs w:val="18"/>
          <w:color w:val="auto"/>
        </w:rPr>
        <w:t>intercreditor agreement contemplated hereunder (if entered into) will be binding upon them. Each Lender</w:t>
      </w:r>
    </w:p>
    <w:p>
      <w:pPr>
        <w:spacing w:after="0" w:line="10" w:lineRule="exact"/>
        <w:rPr>
          <w:sz w:val="20"/>
          <w:szCs w:val="20"/>
          <w:color w:val="auto"/>
        </w:rPr>
      </w:pPr>
    </w:p>
    <w:p>
      <w:pPr>
        <w:jc w:val="both"/>
        <w:ind w:left="960" w:firstLine="2"/>
        <w:spacing w:after="0" w:line="250" w:lineRule="auto"/>
        <w:tabs>
          <w:tab w:leader="none" w:pos="123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hereby agrees that it will be bound by and will take no actions contrary to the provisions of any Intercreditor Agreement (if entered into) and (b) hereby authorizes and instructs the Administrative Agent to enter into each Intercreditor Agreement or any other intercreditor agreement contemplated hereunder (and any amendments, amendments and restatements, restatements or waivers of or supplements to or other modifications to, such agreements in connection with the incurrence by any Loan Party of any Indebtedness of such Loan Party that is permitted to be secured pursuant to </w:t>
      </w:r>
      <w:r>
        <w:rPr>
          <w:rFonts w:ascii="Arial" w:cs="Arial" w:eastAsia="Arial" w:hAnsi="Arial"/>
          <w:sz w:val="17"/>
          <w:szCs w:val="17"/>
          <w:u w:val="single" w:color="auto"/>
          <w:color w:val="auto"/>
        </w:rPr>
        <w:t>Sections 9.3(b)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w:t>
      </w:r>
      <w:r>
        <w:rPr>
          <w:rFonts w:ascii="Arial" w:cs="Arial" w:eastAsia="Arial" w:hAnsi="Arial"/>
          <w:sz w:val="17"/>
          <w:szCs w:val="17"/>
          <w:color w:val="auto"/>
        </w:rPr>
        <w:t xml:space="preserve"> of this Agreement (with such priority as may be designated by such Loan Party, to the extent such priority is permitted by the Loan Documents)), and to subject the Liens on the Collateral securing the Obligations to the provisions thereof.</w:t>
      </w:r>
    </w:p>
    <w:p>
      <w:pPr>
        <w:spacing w:after="0" w:line="201" w:lineRule="exact"/>
        <w:rPr>
          <w:sz w:val="20"/>
          <w:szCs w:val="20"/>
          <w:color w:val="auto"/>
        </w:rPr>
      </w:pPr>
    </w:p>
    <w:p>
      <w:pPr>
        <w:jc w:val="both"/>
        <w:ind w:left="960" w:firstLine="602"/>
        <w:spacing w:after="0"/>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Administrative Agent May File Proofs of Claim; Credit Bidding</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4" w:lineRule="exact"/>
        <w:rPr>
          <w:sz w:val="20"/>
          <w:szCs w:val="20"/>
          <w:color w:val="auto"/>
        </w:rPr>
      </w:pPr>
    </w:p>
    <w:p>
      <w:pPr>
        <w:jc w:val="both"/>
        <w:ind w:left="960" w:firstLine="604"/>
        <w:spacing w:after="0" w:line="255" w:lineRule="auto"/>
        <w:tabs>
          <w:tab w:leader="none" w:pos="235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12.6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13.1</w:t>
      </w:r>
      <w:r>
        <w:rPr>
          <w:rFonts w:ascii="Arial" w:cs="Arial" w:eastAsia="Arial" w:hAnsi="Arial"/>
          <w:sz w:val="17"/>
          <w:szCs w:val="17"/>
          <w:color w:val="auto"/>
        </w:rPr>
        <w:t>) allowed in such judicial proceeding;</w:t>
      </w:r>
    </w:p>
    <w:p>
      <w:pPr>
        <w:spacing w:after="0" w:line="258" w:lineRule="exact"/>
        <w:rPr>
          <w:rFonts w:ascii="Arial" w:cs="Arial" w:eastAsia="Arial" w:hAnsi="Arial"/>
          <w:sz w:val="17"/>
          <w:szCs w:val="17"/>
          <w:color w:val="auto"/>
        </w:rPr>
      </w:pPr>
    </w:p>
    <w:p>
      <w:pPr>
        <w:ind w:left="2360" w:hanging="796"/>
        <w:spacing w:after="0"/>
        <w:tabs>
          <w:tab w:leader="none" w:pos="23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w:t>
      </w:r>
    </w:p>
    <w:p>
      <w:pPr>
        <w:spacing w:after="0" w:line="21"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the same; and</w:t>
      </w:r>
    </w:p>
    <w:p>
      <w:pPr>
        <w:spacing w:after="0" w:line="215" w:lineRule="exact"/>
        <w:rPr>
          <w:rFonts w:ascii="Arial" w:cs="Arial" w:eastAsia="Arial" w:hAnsi="Arial"/>
          <w:sz w:val="17"/>
          <w:szCs w:val="17"/>
          <w:color w:val="auto"/>
        </w:rPr>
      </w:pPr>
    </w:p>
    <w:p>
      <w:pPr>
        <w:jc w:val="both"/>
        <w:ind w:left="960" w:firstLine="604"/>
        <w:spacing w:after="0" w:line="277" w:lineRule="auto"/>
        <w:tabs>
          <w:tab w:leader="none" w:pos="235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if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2.9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11.4</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left="960" w:firstLine="604"/>
        <w:spacing w:after="0" w:line="242" w:lineRule="auto"/>
        <w:tabs>
          <w:tab w:leader="none" w:pos="235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or in any such proceeding;</w:t>
      </w:r>
    </w:p>
    <w:p>
      <w:pPr>
        <w:spacing w:after="0" w:line="205" w:lineRule="exact"/>
        <w:rPr>
          <w:rFonts w:ascii="Arial" w:cs="Arial" w:eastAsia="Arial" w:hAnsi="Arial"/>
          <w:sz w:val="18"/>
          <w:szCs w:val="18"/>
          <w:color w:val="auto"/>
        </w:rPr>
      </w:pPr>
    </w:p>
    <w:p>
      <w:pPr>
        <w:jc w:val="both"/>
        <w:ind w:left="960" w:firstLine="604"/>
        <w:spacing w:after="0" w:line="254" w:lineRule="auto"/>
        <w:tabs>
          <w:tab w:leader="none" w:pos="235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any applicable Security Document)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 363, 1123 or 1129 of the Bankruptcy Code of the United States, or any similar laws in any other jurisdictions to which a Loan Party is subject, (b) at any other sale or foreclosure or acceptance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340995</wp:posOffset>
            </wp:positionV>
            <wp:extent cx="326390" cy="182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700"/>
          </w:cols>
          <w:pgMar w:left="360" w:top="1326" w:right="839" w:bottom="1440" w:gutter="0" w:footer="0" w:header="0"/>
        </w:sectPr>
      </w:pPr>
    </w:p>
    <w:bookmarkStart w:id="260" w:name="page261"/>
    <w:bookmarkEnd w:id="260"/>
    <w:p>
      <w:pPr>
        <w:jc w:val="both"/>
        <w:ind w:left="960"/>
        <w:spacing w:after="0" w:line="248" w:lineRule="auto"/>
        <w:rPr>
          <w:sz w:val="20"/>
          <w:szCs w:val="20"/>
          <w:color w:val="auto"/>
        </w:rPr>
      </w:pPr>
      <w:r>
        <w:rPr>
          <w:rFonts w:ascii="Arial" w:cs="Arial" w:eastAsia="Arial" w:hAnsi="Arial"/>
          <w:sz w:val="17"/>
          <w:szCs w:val="17"/>
          <w:color w:val="auto"/>
        </w:rPr>
        <w:t>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Arial" w:cs="Arial" w:eastAsia="Arial" w:hAnsi="Arial"/>
          <w:sz w:val="17"/>
          <w:szCs w:val="17"/>
          <w:u w:val="single" w:color="auto"/>
          <w:color w:val="auto"/>
        </w:rPr>
        <w:t>Section 13.12</w:t>
      </w:r>
      <w:r>
        <w:rPr>
          <w:rFonts w:ascii="Arial" w:cs="Arial" w:eastAsia="Arial" w:hAnsi="Arial"/>
          <w:sz w:val="17"/>
          <w:szCs w:val="17"/>
          <w:color w:val="auto"/>
        </w:rPr>
        <w:t xml:space="preserve"> of this Agreement), (iii) the Administrative Agent shall be authorized to assign the relevant Obligations to any such acquisition vehicle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Lenders, as a result of which each of the Lenders shall be deemed to have received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portion of any Equity Interests 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and the Equity Interests 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10"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7"/>
          <w:szCs w:val="17"/>
          <w:u w:val="single" w:color="auto"/>
          <w:color w:val="auto"/>
        </w:rPr>
        <w:t>Certain ERISA Matters</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48" w:lineRule="auto"/>
        <w:tabs>
          <w:tab w:leader="none" w:pos="235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at least one of the following is and will be true: (i) such Lender is not using “plan assets” (within the meaning of 29 CFR § 2510.3-101, as modified by Section 3(42) of ERISA) of one or more Benefit Plans in connection with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352425</wp:posOffset>
            </wp:positionV>
            <wp:extent cx="326390" cy="182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720"/>
          </w:cols>
          <w:pgMar w:left="360" w:top="1326" w:right="819" w:bottom="1440" w:gutter="0" w:footer="0" w:header="0"/>
        </w:sectPr>
      </w:pPr>
    </w:p>
    <w:bookmarkStart w:id="261" w:name="page262"/>
    <w:bookmarkEnd w:id="261"/>
    <w:p>
      <w:pPr>
        <w:ind w:left="960" w:right="380"/>
        <w:spacing w:after="0" w:line="263" w:lineRule="auto"/>
        <w:rPr>
          <w:sz w:val="20"/>
          <w:szCs w:val="20"/>
          <w:color w:val="auto"/>
        </w:rPr>
      </w:pPr>
      <w:r>
        <w:rPr>
          <w:rFonts w:ascii="Arial" w:cs="Arial" w:eastAsia="Arial" w:hAnsi="Arial"/>
          <w:sz w:val="18"/>
          <w:szCs w:val="18"/>
          <w:color w:val="auto"/>
        </w:rPr>
        <w:t>representation, warranty and covenant as may be agreed in writing between the Administrative Agent, in its sole discretion, and such Lender;</w:t>
      </w:r>
    </w:p>
    <w:p>
      <w:pPr>
        <w:spacing w:after="0" w:line="186" w:lineRule="exact"/>
        <w:rPr>
          <w:sz w:val="20"/>
          <w:szCs w:val="20"/>
          <w:color w:val="auto"/>
        </w:rPr>
      </w:pPr>
    </w:p>
    <w:p>
      <w:pPr>
        <w:jc w:val="both"/>
        <w:ind w:left="960" w:right="20" w:firstLine="604"/>
        <w:spacing w:after="0" w:line="252" w:lineRule="auto"/>
        <w:tabs>
          <w:tab w:leader="none" w:pos="2353"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4"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307" w:lineRule="exact"/>
        <w:rPr>
          <w:sz w:val="20"/>
          <w:szCs w:val="20"/>
          <w:color w:val="auto"/>
        </w:rPr>
      </w:pPr>
    </w:p>
    <w:p>
      <w:pPr>
        <w:jc w:val="both"/>
        <w:ind w:left="960" w:right="20" w:firstLine="605"/>
        <w:spacing w:after="0" w:line="264" w:lineRule="auto"/>
        <w:tabs>
          <w:tab w:leader="none" w:pos="182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6"/>
          <w:szCs w:val="16"/>
          <w:u w:val="single" w:color="auto"/>
          <w:color w:val="auto"/>
        </w:rPr>
        <w:t>Payment</w:t>
      </w:r>
      <w:r>
        <w:rPr>
          <w:rFonts w:ascii="Arial" w:cs="Arial" w:eastAsia="Arial" w:hAnsi="Arial"/>
          <w:sz w:val="16"/>
          <w:szCs w:val="16"/>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w:t>
      </w:r>
    </w:p>
    <w:p>
      <w:pPr>
        <w:jc w:val="both"/>
        <w:ind w:left="960" w:firstLine="3"/>
        <w:spacing w:after="0" w:line="236" w:lineRule="auto"/>
        <w:tabs>
          <w:tab w:leader="none" w:pos="123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8"/>
          <w:szCs w:val="18"/>
          <w:u w:val="single" w:color="auto"/>
          <w:color w:val="auto"/>
        </w:rPr>
        <w:t>Section 12.17(a)</w:t>
      </w:r>
      <w:r>
        <w:rPr>
          <w:rFonts w:ascii="Arial" w:cs="Arial" w:eastAsia="Arial" w:hAnsi="Arial"/>
          <w:sz w:val="18"/>
          <w:szCs w:val="18"/>
          <w:color w:val="auto"/>
        </w:rPr>
        <w:t xml:space="preserve"> shall be conclusive, absent manifest error.</w:t>
      </w:r>
    </w:p>
    <w:p>
      <w:pPr>
        <w:spacing w:after="0" w:line="207" w:lineRule="exact"/>
        <w:rPr>
          <w:rFonts w:ascii="Arial" w:cs="Arial" w:eastAsia="Arial" w:hAnsi="Arial"/>
          <w:sz w:val="18"/>
          <w:szCs w:val="18"/>
          <w:color w:val="auto"/>
        </w:rPr>
      </w:pPr>
    </w:p>
    <w:p>
      <w:pPr>
        <w:jc w:val="both"/>
        <w:ind w:left="1480" w:right="20" w:firstLine="612"/>
        <w:spacing w:after="0" w:line="250" w:lineRule="auto"/>
        <w:tabs>
          <w:tab w:leader="none" w:pos="2372" w:val="left"/>
        </w:tabs>
        <w:numPr>
          <w:ilvl w:val="2"/>
          <w:numId w:val="292"/>
        </w:numPr>
        <w:rPr>
          <w:rFonts w:ascii="Arial" w:cs="Arial" w:eastAsia="Arial" w:hAnsi="Arial"/>
          <w:sz w:val="17"/>
          <w:szCs w:val="17"/>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346075</wp:posOffset>
            </wp:positionV>
            <wp:extent cx="326390" cy="182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720"/>
          </w:cols>
          <w:pgMar w:left="360" w:top="1326" w:right="819" w:bottom="1440" w:gutter="0" w:footer="0" w:header="0"/>
        </w:sectPr>
      </w:pPr>
    </w:p>
    <w:bookmarkStart w:id="262" w:name="page263"/>
    <w:bookmarkEnd w:id="262"/>
    <w:p>
      <w:pPr>
        <w:jc w:val="both"/>
        <w:ind w:left="1480" w:right="20" w:firstLine="561"/>
        <w:spacing w:after="0" w:line="268" w:lineRule="auto"/>
        <w:tabs>
          <w:tab w:leader="none" w:pos="237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12.17</w:t>
      </w:r>
      <w:r>
        <w:rPr>
          <w:rFonts w:ascii="Arial" w:cs="Arial" w:eastAsia="Arial" w:hAnsi="Arial"/>
          <w:sz w:val="16"/>
          <w:szCs w:val="16"/>
          <w:color w:val="auto"/>
        </w:rPr>
        <w:t xml:space="preserve"> shall not be interpreted to increase (or accelerate the due date for), or have the effect of increasing (or accelerating the due date for), the Loans and interest thereon relative to the amount (and/or timing for payment) thereof that would have been payable had such erroneous Payment not been made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the avoidance of doubt, the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89" w:lineRule="exact"/>
        <w:rPr>
          <w:rFonts w:ascii="Arial" w:cs="Arial" w:eastAsia="Arial" w:hAnsi="Arial"/>
          <w:sz w:val="16"/>
          <w:szCs w:val="16"/>
          <w:color w:val="auto"/>
        </w:rPr>
      </w:pPr>
    </w:p>
    <w:p>
      <w:pPr>
        <w:jc w:val="both"/>
        <w:ind w:left="1480" w:right="20" w:firstLine="572"/>
        <w:spacing w:after="0" w:line="248" w:lineRule="auto"/>
        <w:tabs>
          <w:tab w:leader="none" w:pos="237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12.17(a)</w:t>
      </w:r>
      <w:r>
        <w:rPr>
          <w:rFonts w:ascii="Arial" w:cs="Arial" w:eastAsia="Arial" w:hAnsi="Arial"/>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SECTION 13.</w:t>
      </w: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MISCELLANEOUS</w:t>
      </w:r>
    </w:p>
    <w:p>
      <w:pPr>
        <w:spacing w:after="0" w:line="295" w:lineRule="exact"/>
        <w:rPr>
          <w:sz w:val="20"/>
          <w:szCs w:val="20"/>
          <w:color w:val="auto"/>
        </w:rPr>
      </w:pPr>
    </w:p>
    <w:p>
      <w:pPr>
        <w:jc w:val="both"/>
        <w:ind w:left="960" w:firstLine="602"/>
        <w:spacing w:after="0" w:line="264"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Payment of Expenses, etc.</w:t>
      </w:r>
      <w:r>
        <w:rPr>
          <w:rFonts w:ascii="Arial" w:cs="Arial" w:eastAsia="Arial" w:hAnsi="Arial"/>
          <w:sz w:val="16"/>
          <w:szCs w:val="16"/>
          <w:color w:val="auto"/>
        </w:rPr>
        <w:t xml:space="preserve"> The Borrower hereby agrees to: (i) subject to the limitations set forth in the Commitment Letter (to the extent they are applicable), pay all reasonable out-of-pocket costs and expenses of the Administrative Agent, the Issuing Lenders, the Swingline Lender, the Collateral Agent and the Joint Lead Arrangers (limited in respect of legal costs and expenses to the reasonable fees and disbursements of a single counsel selected by the Administrative Agent and of a single local and special counsel to the Administrative Agent, the Swingline Lender and Joint Lead Arrangers in each relevant jurisdiction) (and, in the case of an actual or perceived conflict of interest, a single additional counsel in each relevant jurisdiction to the affected Lenders, taken as a whole) in connection with the syndication of the Facilities or preparation, execution, delivery and administration of this Agreement, any Letters of Credit issued hereunder, and the other Loan Documents and the documents and instruments referred to herein and therein and any amendment, waiver, modification, maintenance or protection of any security interest or consent relating hereto or thereto and enforcement or protection of rights in connection with this Agreement and the other Loan Documents, including its rights under this </w:t>
      </w:r>
      <w:r>
        <w:rPr>
          <w:rFonts w:ascii="Arial" w:cs="Arial" w:eastAsia="Arial" w:hAnsi="Arial"/>
          <w:sz w:val="16"/>
          <w:szCs w:val="16"/>
          <w:u w:val="single" w:color="auto"/>
          <w:color w:val="auto"/>
        </w:rPr>
        <w:t>Section 13.1</w:t>
      </w:r>
      <w:r>
        <w:rPr>
          <w:rFonts w:ascii="Arial" w:cs="Arial" w:eastAsia="Arial" w:hAnsi="Arial"/>
          <w:sz w:val="16"/>
          <w:szCs w:val="16"/>
          <w:color w:val="auto"/>
        </w:rPr>
        <w:t>, of the Administrative Agent, the Issuing Lenders, the Swingline Lender and their Affiliates in connection with its or their syndication efforts with respect to this Agreement and of the Administrative Agent, the Collateral Agent, each of the Issuing Lenders and Lenders in connection with the enforcement of this Agreement, any Loans or Letters of Credit issued hereunder, and the other Loan Documents and the documents and instruments referred to herein and therein or in connection with any refinancing or restructuring of the credit arrangements provided under this Agreement in the nature of a “work-out” or pursuant to any insolvency or bankruptcy proceedings (limited in respect of legal costs and expenses to, in each case, the reasonable out-of-pocket costs and expenses of one special counsel and one local counsel in each relevant jurisdiction for the Administrative Agent and, after the occurrence and during the continuance of an Event of Default, for the group of Issuing Lenders and the group of Lenders (and, solely in the case of any actual or potential conflict of interest as determined by the affected Issuing Lender or Lender, one additional counsel for the affected Lenders as a whole)); and (ii) pay and hold the Administrative Agent, the Collateral Agent, the Swingline Lender, the Joint Lead Arrangers, each of the Issuing Lenders and each of the Lenders harmless from and against any and all present and future stamp, excise and other similar documentary taxes with respect to the foregoing matters and save the Administrative Agent, the Collateral Agent, the Swingline Lender, the Joint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471805</wp:posOffset>
            </wp:positionV>
            <wp:extent cx="326390" cy="182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720"/>
          </w:cols>
          <w:pgMar w:left="360" w:top="1326" w:right="819" w:bottom="1440" w:gutter="0" w:footer="0" w:header="0"/>
        </w:sectPr>
      </w:pPr>
    </w:p>
    <w:bookmarkStart w:id="263" w:name="page264"/>
    <w:bookmarkEnd w:id="263"/>
    <w:p>
      <w:pPr>
        <w:jc w:val="both"/>
        <w:ind w:left="960"/>
        <w:spacing w:after="0" w:line="248" w:lineRule="auto"/>
        <w:rPr>
          <w:sz w:val="20"/>
          <w:szCs w:val="20"/>
          <w:color w:val="auto"/>
        </w:rPr>
      </w:pPr>
      <w:r>
        <w:rPr>
          <w:rFonts w:ascii="Arial" w:cs="Arial" w:eastAsia="Arial" w:hAnsi="Arial"/>
          <w:sz w:val="18"/>
          <w:szCs w:val="18"/>
          <w:color w:val="auto"/>
        </w:rPr>
        <w:t>Arrangers, each of the Issuing Lenders and each of the Lenders harmless from and against any and all liabilities with respect to or resulting from any delay or omission (other than to the extent attributable to the Administrative Agent, the Collateral Agent, the Swingline Lender, such Issuing Lender or such Lender) to pay such taxes.</w:t>
      </w:r>
    </w:p>
    <w:p>
      <w:pPr>
        <w:spacing w:after="0" w:line="198"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6"/>
          <w:szCs w:val="16"/>
          <w:color w:val="auto"/>
        </w:rPr>
        <w:t>The Borrower hereby agrees to indemnify the Joint Lead Arrangers, the Administrative Agent, the Collateral Agent, the Swingline Lender, each Issuing Lender, each Lender and each of their respective Related Persons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from and hold each of them harmless against any and all liabilities, obligations (including removal or remedial actions), losses, damages, penalties, claims (including any claims brought against any Indemnified Person by a third party, a Loan Party, any Affiliate or equity holder of a Loan Party or any director or officer or creditor thereof), actions, judgments, suits, investigations, costs, expenses and disbursements (including any prospective claim, suit, action or investigation) (limited in respect of legal costs and expenses to reasonable and documented out-of-pocket fees for a single firm of counsel for all Indemnified Persons, taken as a whole, and if necessary, one single local and special counsel in each appropriate jurisdiction and, in the case of an actual or perceived conflict of interest, one additional counsel in each relevant jurisdiction for any affected Lenders, taken as a whole) incurred by, imposed on or assessed against any of them as a result of, or arising out of, or in any way related to, or by reason of, (a) any investigation, litigation or other proceeding related to the entering into or performance of this Agreement or any other Loan Document or the use of any Letter of Credit or the proceeds of any Loans hereunder or the consummation of the Transactions or any other transactions contemplated herein or in any other Loan Document or the exercise of any of their rights or remedies provided herein or in the other Loan Documents or (b) the actual or alleged presence of Materials of Environmental Concern at any Property; the generation, storage, transportation, handling or disposal of Materials of Environmental Concern by the Borrower or any of its Subsidiaries at any location; the non- compliance with or liability under any Environmental Law (including applicable permits thereunder) relating to the Borrower or any of its Subsidiaries or any Property; or any related claim asserted against the Borrower, any of its Subsidiaries or any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Indemnified Person will be indemnified under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for (i) any cost, expense or liability to the extent determined by a court of competent jurisdiction in a final and non-appealable decision to have resulted from the gross negligence, bad faith or willful misconduct of such Indemnified Person or any of its controlled Affiliates or controlling Persons and their respective officers, directors, employees, managers or members and in the case of an agent, representative or advisor, such Person acting at the instruction of such Indemnified Person, a material breach under this Agreement or any other Loan Document by any such persons or disputes between and among Indemnified Persons (other than disputes against the Joint Lead Arrangers, the Administrative Agent, the Collateral Agent, the Swingline Lender or any Issuing Lender in such capacity or arising from any act or omission by the Borrower of its affiliates), (ii) any settlement entered into by such person without the Borrower’s written consent (such consent not to be unreasonably withheld, conditioned or delayed), but if settled with the Borrower’s consent, or if there is a judgment against an Indemnified Person in any such claim, investigation, litigation or proceeding, the Borrower agrees to indemnify and hold harmless each Indemnified Person in the manner set forth above, (iii) without limiting any other provision of this Agreement (including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any Taxes, other than any Taxes that represent losses or damages arising from any non-Tax claim and (iv) any increased costs, compensation or net payments incurred by or owed to any Indemnified Person that are provided for in </w:t>
      </w:r>
      <w:r>
        <w:rPr>
          <w:rFonts w:ascii="Arial" w:cs="Arial" w:eastAsia="Arial" w:hAnsi="Arial"/>
          <w:sz w:val="16"/>
          <w:szCs w:val="16"/>
          <w:u w:val="single" w:color="auto"/>
          <w:color w:val="auto"/>
        </w:rPr>
        <w:t>Section 2.11</w:t>
      </w:r>
      <w:r>
        <w:rPr>
          <w:rFonts w:ascii="Arial" w:cs="Arial" w:eastAsia="Arial" w:hAnsi="Arial"/>
          <w:sz w:val="16"/>
          <w:szCs w:val="16"/>
          <w:color w:val="auto"/>
        </w:rPr>
        <w:t>. To the extent that the undertaking to indemnify, pay or hold harmless the Administrative Agent, any Issuing Lender or any Lender set forth in the preceding sentence may be unenforceable because it is violative of any law or public policy, the Borrower shall make the maximum contribution to the payment and satisfaction of each of the indemnified liabilities which is permissible under applicable law. For clarity, the term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include the Administrative Agent acting in its capacity as Collateral Agent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474980</wp:posOffset>
            </wp:positionV>
            <wp:extent cx="326390" cy="182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720"/>
          </w:cols>
          <w:pgMar w:left="360" w:top="1326" w:right="819" w:bottom="1440" w:gutter="0" w:footer="0" w:header="0"/>
        </w:sectPr>
      </w:pPr>
    </w:p>
    <w:bookmarkStart w:id="264" w:name="page265"/>
    <w:bookmarkEnd w:id="264"/>
    <w:p>
      <w:pPr>
        <w:jc w:val="both"/>
        <w:ind w:left="960" w:firstLine="602"/>
        <w:spacing w:after="0" w:line="249" w:lineRule="auto"/>
        <w:rPr>
          <w:sz w:val="20"/>
          <w:szCs w:val="20"/>
          <w:color w:val="auto"/>
        </w:rPr>
      </w:pPr>
      <w:r>
        <w:rPr>
          <w:rFonts w:ascii="Arial" w:cs="Arial" w:eastAsia="Arial" w:hAnsi="Arial"/>
          <w:sz w:val="17"/>
          <w:szCs w:val="17"/>
          <w:color w:val="auto"/>
        </w:rPr>
        <w:t xml:space="preserve">To the full extent permitted by applicable law, each Loan Party, Subsidiary and Lender-Related Person (as defined below) shall not assert, and hereby waives, any claim against any other such party, on any theory of liability, for special, indirect, consequential, punitive or incidental damages (as opposed to direct or actual damages) arising out of, in connection with, or as a result of, this Agreement or any agreement or instrument contemplated hereby, the transactions contemplated hereby or thereby,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in this sentence shall limit the Loan Parties’ indemnification obligations to the extent such special, indirect, consequential and punitive damages are included in any third-party claim in connection with which such Indemnified Person is entitled to indemnification hereunder. Each Loan Party, Subsidiary and Lender-Related Person shall not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the liability of such party results from such party’s gross negligence, bad faith or willful misconduct (as determined by a court of competent jurisdiction in a final and non- appealable decision);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in this sentence shall limit the Loan Parties’ indemnification obligations to the extent such damages are included in any third-party claim in connection with which any Indemnified Person is entitled to indemnification hereunder. As used herein, “Lender- Related Person” means the Administrative Agent, the Collateral Agent, the Joint Lead Arrangers, the Swingline Lender, each Issuing Bank and each Lender and their respective Related Persons.</w:t>
      </w:r>
    </w:p>
    <w:p>
      <w:pPr>
        <w:spacing w:after="0" w:line="203" w:lineRule="exact"/>
        <w:rPr>
          <w:sz w:val="20"/>
          <w:szCs w:val="20"/>
          <w:color w:val="auto"/>
        </w:rPr>
      </w:pPr>
    </w:p>
    <w:p>
      <w:pPr>
        <w:jc w:val="both"/>
        <w:ind w:left="960" w:right="20" w:firstLine="601"/>
        <w:spacing w:after="0" w:line="26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shall not apply in respect of the matters addressed in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w:t>
      </w:r>
      <w:r>
        <w:rPr>
          <w:rFonts w:ascii="Arial" w:cs="Arial" w:eastAsia="Arial" w:hAnsi="Arial"/>
          <w:sz w:val="18"/>
          <w:szCs w:val="18"/>
          <w:color w:val="auto"/>
        </w:rPr>
        <w:t>, which shall be the sole remedy in respect of matters addressed in such sections.</w:t>
      </w:r>
    </w:p>
    <w:p>
      <w:pPr>
        <w:spacing w:after="0" w:line="24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Right of Setoff</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48" w:lineRule="auto"/>
        <w:tabs>
          <w:tab w:leader="none" w:pos="235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In addition to any rights now or hereafter granted under applicable law or otherwise, and not by way of limitation of any such rights, upon the occurrence and during the continuance of an Event of Default, the Administrative Agent, each Issuing Lender and each Lender (or any Affiliate of such Lender) is hereby authorized at any time or from time to time, without presentment, demand, protest or other notice of any kind to any Loan Party or to any other Person, any such notice being hereby expressly waived, to set off and to appropriate and apply any and all deposits (general or special) and any other Indebtedness at any time held or owing by the Administrative Agent, such Issuing Lender or such Lender (or any Affiliate of such Lender) (including, without limitation, by branches and agencies of the Administrative Agent, such Issuing Lender or such Lender (or any Affiliate of such Lender) wherever located) to or for the credit or the account of the Borrower or any of its Subsidiaries against and on account of the Obligations and liabilities of the Loan Parties to the Administrative Agent, such Issuing Lender or such Lender under this Agreement or under any of the other Loan Documents, including, without limitation, all interests in Obligations purchased by such Lender pursuant to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and all other claims of any nature or description arising out of or connected with this Agreement or any other Loan Document, irrespective of whether or not the Administrative Agent, such Issuing Lender or such Lender shall have made any demand hereunder and although said Obligations, liabilities or claims, or any of them, shall be contingent or unmatured;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Sections 2.17(d)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each Issuing Lender, and the Lenders, and (y) the Defaulting Lender shall provide promptly to the Administrative Agent a statement describing in reasonable detail the Obligations owing to such Defaulting Lender as to which it exercised such right of setoff;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352425</wp:posOffset>
            </wp:positionV>
            <wp:extent cx="326390" cy="182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720"/>
          </w:cols>
          <w:pgMar w:left="360" w:top="1326" w:right="819" w:bottom="1440" w:gutter="0" w:footer="0" w:header="0"/>
        </w:sectPr>
      </w:pPr>
    </w:p>
    <w:bookmarkStart w:id="265" w:name="page266"/>
    <w:bookmarkEnd w:id="265"/>
    <w:p>
      <w:pPr>
        <w:jc w:val="both"/>
        <w:ind w:left="1480" w:firstLine="664"/>
        <w:spacing w:after="0" w:line="248" w:lineRule="auto"/>
        <w:tabs>
          <w:tab w:leader="none" w:pos="237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98" w:lineRule="exact"/>
        <w:rPr>
          <w:rFonts w:ascii="Arial" w:cs="Arial" w:eastAsia="Arial" w:hAnsi="Arial"/>
          <w:sz w:val="18"/>
          <w:szCs w:val="18"/>
          <w:color w:val="auto"/>
        </w:rPr>
      </w:pPr>
    </w:p>
    <w:p>
      <w:pPr>
        <w:jc w:val="both"/>
        <w:ind w:left="1480" w:firstLine="612"/>
        <w:spacing w:after="0" w:line="255" w:lineRule="auto"/>
        <w:tabs>
          <w:tab w:leader="none" w:pos="2372" w:val="left"/>
        </w:tabs>
        <w:numPr>
          <w:ilvl w:val="1"/>
          <w:numId w:val="295"/>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(z) any payment obtained by a Lender as consideration for the assignment of or sale of a participation in any of its Loans or subparticipations in L/C Obligations or Swingline Loans to any assignee or participant, other than an assignment to the Borrower or any Subsidiary thereof (as to which the provisions of this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apply).</w:t>
      </w:r>
    </w:p>
    <w:p>
      <w:pPr>
        <w:spacing w:after="0" w:line="258" w:lineRule="exact"/>
        <w:rPr>
          <w:rFonts w:ascii="Arial" w:cs="Arial" w:eastAsia="Arial" w:hAnsi="Arial"/>
          <w:sz w:val="17"/>
          <w:szCs w:val="17"/>
          <w:color w:val="auto"/>
        </w:rPr>
      </w:pPr>
    </w:p>
    <w:p>
      <w:pPr>
        <w:jc w:val="both"/>
        <w:ind w:left="960" w:firstLine="604"/>
        <w:spacing w:after="0" w:line="242" w:lineRule="auto"/>
        <w:tabs>
          <w:tab w:leader="none" w:pos="23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9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4"/>
        <w:spacing w:after="0" w:line="250" w:lineRule="auto"/>
        <w:tabs>
          <w:tab w:leader="none" w:pos="235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notices and other communications provided for hereunder shall be in writing (including by facsimile or overnight courier) and mailed, telefaxed or delivered: if to any Loan Party, at the address specified opposite its signature below or in the other relevant Loan Documents; if to any Lender to the address, facsimile number, electronic mail address or telephone number specified in an Administrative Questionnaire substantially in the form of </w:t>
      </w:r>
      <w:r>
        <w:rPr>
          <w:rFonts w:ascii="Arial" w:cs="Arial" w:eastAsia="Arial" w:hAnsi="Arial"/>
          <w:sz w:val="17"/>
          <w:szCs w:val="17"/>
          <w:u w:val="single" w:color="auto"/>
          <w:color w:val="auto"/>
        </w:rPr>
        <w:t>Exhibit O</w:t>
      </w:r>
      <w:r>
        <w:rPr>
          <w:rFonts w:ascii="Arial" w:cs="Arial" w:eastAsia="Arial" w:hAnsi="Arial"/>
          <w:sz w:val="17"/>
          <w:szCs w:val="17"/>
          <w:color w:val="auto"/>
        </w:rPr>
        <w:t xml:space="preserve"> (including, as appropriate, notices delivered solely to the Person designated by a Lender on its Administrative Questionnaire then in effect for the delivery of notices that may contain material non-public information relating to the Borrower); and if to the Administrative Agent, at the Notice Office; or, as to any Loan Party or the Administrative Agent, at such other address as shall be designated by such party in a written notice to the other parties hereto and, as to each Lender, at such other address as shall be designated by such Lender in a written notice to the Borrower and the Administrative Agent. All such notices and communications shall, when mailed, telefaxed or sent by overnight courier, be effective when deposited in the mails or overnight courier, as the case may be, or sent by telefax, except that notices and communications to the Administrative Agent and the Borrower shall not be effective until received by the Administrative Agent or the Borrower, as the case may be.</w:t>
      </w:r>
    </w:p>
    <w:p>
      <w:pPr>
        <w:spacing w:after="0" w:line="202" w:lineRule="exact"/>
        <w:rPr>
          <w:rFonts w:ascii="Arial" w:cs="Arial" w:eastAsia="Arial" w:hAnsi="Arial"/>
          <w:sz w:val="17"/>
          <w:szCs w:val="17"/>
          <w:color w:val="auto"/>
        </w:rPr>
      </w:pPr>
    </w:p>
    <w:p>
      <w:pPr>
        <w:jc w:val="both"/>
        <w:ind w:left="960" w:firstLine="604"/>
        <w:spacing w:after="0" w:line="250" w:lineRule="auto"/>
        <w:tabs>
          <w:tab w:leader="none" w:pos="235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(i)Notices and other communications to the Lenders hereunder may be delivered or furnished by electronic communications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unless otherwise agreed by the Administrative Agent and the applicable Lender. Each of the Administrative Agent, the Borrower and each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346075</wp:posOffset>
            </wp:positionV>
            <wp:extent cx="326390" cy="182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700"/>
          </w:cols>
          <w:pgMar w:left="360" w:top="1326" w:right="839" w:bottom="1440" w:gutter="0" w:footer="0" w:header="0"/>
        </w:sectPr>
      </w:pPr>
    </w:p>
    <w:bookmarkStart w:id="266" w:name="page267"/>
    <w:bookmarkEnd w:id="266"/>
    <w:p>
      <w:pPr>
        <w:ind w:left="960"/>
        <w:spacing w:after="0"/>
        <w:rPr>
          <w:sz w:val="20"/>
          <w:szCs w:val="20"/>
          <w:color w:val="auto"/>
        </w:rPr>
      </w:pPr>
      <w:r>
        <w:rPr>
          <w:rFonts w:ascii="Arial" w:cs="Arial" w:eastAsia="Arial" w:hAnsi="Arial"/>
          <w:sz w:val="17"/>
          <w:szCs w:val="17"/>
          <w:color w:val="auto"/>
        </w:rPr>
        <w:t>foregoing clause (i) of notification that such notice or communication is available and identifying the website address therefor.</w:t>
      </w:r>
    </w:p>
    <w:p>
      <w:pPr>
        <w:spacing w:after="0" w:line="243" w:lineRule="exact"/>
        <w:rPr>
          <w:sz w:val="20"/>
          <w:szCs w:val="20"/>
          <w:color w:val="auto"/>
        </w:rPr>
      </w:pPr>
    </w:p>
    <w:p>
      <w:pPr>
        <w:jc w:val="both"/>
        <w:ind w:left="1560" w:right="20" w:firstLine="607"/>
        <w:spacing w:after="0"/>
        <w:tabs>
          <w:tab w:leader="none" w:pos="2963" w:val="left"/>
        </w:tabs>
        <w:numPr>
          <w:ilvl w:val="2"/>
          <w:numId w:val="298"/>
        </w:numPr>
        <w:rPr>
          <w:rFonts w:ascii="Arial" w:cs="Arial" w:eastAsia="Arial" w:hAnsi="Arial"/>
          <w:sz w:val="18"/>
          <w:szCs w:val="18"/>
          <w:color w:val="auto"/>
        </w:rPr>
      </w:pPr>
      <w:r>
        <w:rPr>
          <w:rFonts w:ascii="Arial" w:cs="Arial" w:eastAsia="Arial" w:hAnsi="Arial"/>
          <w:sz w:val="18"/>
          <w:szCs w:val="18"/>
          <w:color w:val="auto"/>
        </w:rPr>
        <w:t>Each Loan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93" w:lineRule="exact"/>
        <w:rPr>
          <w:rFonts w:ascii="Arial" w:cs="Arial" w:eastAsia="Arial" w:hAnsi="Arial"/>
          <w:sz w:val="18"/>
          <w:szCs w:val="18"/>
          <w:color w:val="auto"/>
        </w:rPr>
      </w:pPr>
    </w:p>
    <w:p>
      <w:pPr>
        <w:jc w:val="both"/>
        <w:ind w:left="1560" w:right="20" w:firstLine="607"/>
        <w:spacing w:after="0" w:line="249" w:lineRule="auto"/>
        <w:tabs>
          <w:tab w:leader="none" w:pos="2964" w:val="left"/>
        </w:tabs>
        <w:numPr>
          <w:ilvl w:val="2"/>
          <w:numId w:val="298"/>
        </w:numPr>
        <w:rPr>
          <w:rFonts w:ascii="Arial" w:cs="Arial" w:eastAsia="Arial" w:hAnsi="Arial"/>
          <w:sz w:val="17"/>
          <w:szCs w:val="17"/>
          <w:color w:val="auto"/>
        </w:rPr>
      </w:pPr>
      <w:r>
        <w:rPr>
          <w:rFonts w:ascii="Arial" w:cs="Arial" w:eastAsia="Arial" w:hAnsi="Arial"/>
          <w:sz w:val="17"/>
          <w:szCs w:val="17"/>
          <w:color w:val="auto"/>
        </w:rPr>
        <w:t>The Platform and any electronic communications are provided “as is” and “as available.” Neither the Administrative Agent nor any of its respective officers, directors, employees, agents, advisors or representatives warrant the accuracy, adequacy, or completeness of the electronic communications or the Platform and each expressly disclaims liability for errors or omissions in the Platform and the electronic communications. No warranty of any kind, express, implied or statutory, including any warranty of merchantability, fitness for a particular purpose, non-infringement of third-party rights or freedom from viruses or other code defects is made by the Administrative Agent nor any of its respective officers, directors, employees, agents, advisors or representatives in connection with the Platform or the electronic communications. In no event shall the Administrative Agent or any of its Related Persons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any Lender, any Issuing Lender or any other Person for losses, claims, damages, liabilities or expenses of any kind (whether in tort, contract or otherwise) arising out of the Borrower’s, any Loan Party’s or the Administrative Agent’s transmission of Loan Documents, Finance Documents or other documentation, information or notices through the Platform, any other electronic messaging service, or through the Internet, except to the extent caused by the willful misconduct or gross negligence of the Agent Parties, as determined by a final, non-appealable judgment of a court of competent jurisdiction.</w:t>
      </w:r>
    </w:p>
    <w:p>
      <w:pPr>
        <w:spacing w:after="0" w:line="207" w:lineRule="exact"/>
        <w:rPr>
          <w:rFonts w:ascii="Arial" w:cs="Arial" w:eastAsia="Arial" w:hAnsi="Arial"/>
          <w:sz w:val="17"/>
          <w:szCs w:val="17"/>
          <w:color w:val="auto"/>
        </w:rPr>
      </w:pPr>
    </w:p>
    <w:p>
      <w:pPr>
        <w:jc w:val="both"/>
        <w:ind w:left="1560" w:firstLine="607"/>
        <w:spacing w:after="0" w:line="239" w:lineRule="auto"/>
        <w:tabs>
          <w:tab w:leader="none" w:pos="2954" w:val="left"/>
        </w:tabs>
        <w:numPr>
          <w:ilvl w:val="2"/>
          <w:numId w:val="298"/>
        </w:numPr>
        <w:rPr>
          <w:rFonts w:ascii="Arial" w:cs="Arial" w:eastAsia="Arial" w:hAnsi="Arial"/>
          <w:sz w:val="18"/>
          <w:szCs w:val="18"/>
          <w:color w:val="auto"/>
        </w:rPr>
      </w:pPr>
      <w:r>
        <w:rPr>
          <w:rFonts w:ascii="Arial" w:cs="Arial" w:eastAsia="Arial" w:hAnsi="Arial"/>
          <w:sz w:val="18"/>
          <w:szCs w:val="18"/>
          <w:color w:val="auto"/>
        </w:rPr>
        <w:t xml:space="preserve">Each Loan Party, each Lender and each Issuing Lender and each other party thereto agrees that Administrative Agent may, but shall not be obligated to, store any notice, demand, communication, information, document or other material that any Loan Party provides to the Administrative Agent pursuant to any Loan Document or the transactions contemplated therein which is distributed to the Administrative Agent, Lenders or Issuing Lenders by means of electronic communications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on the Platform in accordance with the Administrative Agent’s customary document retention procedures and policies.</w:t>
      </w:r>
    </w:p>
    <w:p>
      <w:pPr>
        <w:spacing w:after="0" w:line="205" w:lineRule="exact"/>
        <w:rPr>
          <w:rFonts w:ascii="Arial" w:cs="Arial" w:eastAsia="Arial" w:hAnsi="Arial"/>
          <w:sz w:val="18"/>
          <w:szCs w:val="18"/>
          <w:color w:val="auto"/>
        </w:rPr>
      </w:pPr>
    </w:p>
    <w:p>
      <w:pPr>
        <w:ind w:left="1560" w:right="20" w:firstLine="607"/>
        <w:spacing w:after="0" w:line="263" w:lineRule="auto"/>
        <w:tabs>
          <w:tab w:leader="none" w:pos="2953" w:val="left"/>
        </w:tabs>
        <w:numPr>
          <w:ilvl w:val="2"/>
          <w:numId w:val="298"/>
        </w:numPr>
        <w:rPr>
          <w:rFonts w:ascii="Arial" w:cs="Arial" w:eastAsia="Arial" w:hAnsi="Arial"/>
          <w:sz w:val="18"/>
          <w:szCs w:val="18"/>
          <w:color w:val="auto"/>
        </w:rPr>
      </w:pPr>
      <w:r>
        <w:rPr>
          <w:rFonts w:ascii="Arial" w:cs="Arial" w:eastAsia="Arial" w:hAnsi="Arial"/>
          <w:sz w:val="18"/>
          <w:szCs w:val="18"/>
          <w:color w:val="auto"/>
        </w:rPr>
        <w:t>Any notice of Default or Event of Default may be provided by telephone if confirmed promptly thereafter by delivery of written notice thereof.</w:t>
      </w:r>
    </w:p>
    <w:p>
      <w:pPr>
        <w:spacing w:after="0" w:line="173" w:lineRule="exact"/>
        <w:rPr>
          <w:rFonts w:ascii="Arial" w:cs="Arial" w:eastAsia="Arial" w:hAnsi="Arial"/>
          <w:sz w:val="18"/>
          <w:szCs w:val="18"/>
          <w:color w:val="auto"/>
        </w:rPr>
      </w:pPr>
    </w:p>
    <w:p>
      <w:pPr>
        <w:jc w:val="both"/>
        <w:ind w:left="960" w:firstLine="604"/>
        <w:spacing w:after="0" w:line="250" w:lineRule="auto"/>
        <w:tabs>
          <w:tab w:leader="none" w:pos="2355" w:val="left"/>
        </w:tabs>
        <w:numPr>
          <w:ilvl w:val="1"/>
          <w:numId w:val="299"/>
        </w:numPr>
        <w:rPr>
          <w:rFonts w:ascii="Arial" w:cs="Arial" w:eastAsia="Arial" w:hAnsi="Arial"/>
          <w:sz w:val="17"/>
          <w:szCs w:val="17"/>
          <w:color w:val="auto"/>
        </w:rPr>
      </w:pPr>
      <w:r>
        <w:rPr>
          <w:rFonts w:ascii="Arial" w:cs="Arial" w:eastAsia="Arial" w:hAnsi="Arial"/>
          <w:sz w:val="17"/>
          <w:szCs w:val="17"/>
          <w:color w:val="auto"/>
        </w:rPr>
        <w:t>Each of the Borrower, the Administrative Agent, each Issuing Lender and the Swingline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Issuing Lenders and the Swingline Lender. In addition, each Lender agrees to notify the Administrative Agent from time to time to ensure that the Administrative Agent has on record</w:t>
      </w:r>
    </w:p>
    <w:p>
      <w:pPr>
        <w:spacing w:after="0" w:line="1" w:lineRule="exact"/>
        <w:rPr>
          <w:rFonts w:ascii="Arial" w:cs="Arial" w:eastAsia="Arial" w:hAnsi="Arial"/>
          <w:sz w:val="17"/>
          <w:szCs w:val="17"/>
          <w:color w:val="auto"/>
        </w:rPr>
      </w:pPr>
    </w:p>
    <w:p>
      <w:pPr>
        <w:jc w:val="both"/>
        <w:ind w:left="960" w:firstLine="2"/>
        <w:spacing w:after="0" w:line="253" w:lineRule="auto"/>
        <w:tabs>
          <w:tab w:leader="none" w:pos="1159"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an effective address, contact name, telephone number, facsimile number and electronic mail address to which notices and other communications may be sent and (ii) accurate wire instructions for such Lender. Furthermore, each “public-side” Lender agrees to cause at least one individual at or on behalf of such “public-side” Lender to at all times have selected the “Private Side Information” or similar designation on the content declaration screen of the Platform in order to enable such “public-side” Lender or its delegate, in accordance with such “public-side” Lender’s compliance procedures and applicable law,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341630</wp:posOffset>
            </wp:positionV>
            <wp:extent cx="326390" cy="182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720"/>
          </w:cols>
          <w:pgMar w:left="360" w:top="1326" w:right="819" w:bottom="1440" w:gutter="0" w:footer="0" w:header="0"/>
        </w:sectPr>
      </w:pPr>
    </w:p>
    <w:bookmarkStart w:id="267" w:name="page268"/>
    <w:bookmarkEnd w:id="267"/>
    <w:p>
      <w:pPr>
        <w:jc w:val="right"/>
        <w:ind w:right="1219"/>
        <w:spacing w:after="0"/>
        <w:rPr>
          <w:sz w:val="20"/>
          <w:szCs w:val="20"/>
          <w:color w:val="auto"/>
        </w:rPr>
      </w:pPr>
      <w:r>
        <w:rPr>
          <w:rFonts w:ascii="Arial" w:cs="Arial" w:eastAsia="Arial" w:hAnsi="Arial"/>
          <w:sz w:val="18"/>
          <w:szCs w:val="18"/>
          <w:color w:val="auto"/>
        </w:rPr>
        <w:t>United States federal and state securities laws, to make reference to documentation and information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099"/>
          </w:cols>
          <w:pgMar w:left="360" w:top="1264" w:right="1440" w:bottom="1440" w:gutter="0" w:footer="0" w:header="0"/>
        </w:sectPr>
      </w:pPr>
    </w:p>
    <w:bookmarkStart w:id="268" w:name="page269"/>
    <w:bookmarkEnd w:id="268"/>
    <w:p>
      <w:pPr>
        <w:jc w:val="both"/>
        <w:ind w:left="960"/>
        <w:spacing w:after="0" w:line="255" w:lineRule="auto"/>
        <w:rPr>
          <w:sz w:val="20"/>
          <w:szCs w:val="20"/>
          <w:color w:val="auto"/>
        </w:rPr>
      </w:pPr>
      <w:r>
        <w:rPr>
          <w:rFonts w:ascii="Arial" w:cs="Arial" w:eastAsia="Arial" w:hAnsi="Arial"/>
          <w:sz w:val="17"/>
          <w:szCs w:val="17"/>
          <w:color w:val="auto"/>
        </w:rPr>
        <w:t>not made available through the “public-lender information” portion of the Platform and that may contain material non-public information with respect to the Borrower or its securities for purposes of United States federal or state securities laws. In the event that any “public-side” Lender has determined for itself to not access any information disclosed through the Platform or otherwise, such “public-side” Lender acknowledges that (i) other Lenders may have availed themselves of such information and (ii) neither the Borrower nor the Administrative Agent has any responsibility for such “public-side” Lender’s decision to limit the scope of the information it has obtained in connection with this Agreement and the other Loan Documents.</w:t>
      </w:r>
    </w:p>
    <w:p>
      <w:pPr>
        <w:spacing w:after="0" w:line="196" w:lineRule="exact"/>
        <w:rPr>
          <w:sz w:val="20"/>
          <w:szCs w:val="20"/>
          <w:color w:val="auto"/>
        </w:rPr>
      </w:pPr>
    </w:p>
    <w:p>
      <w:pPr>
        <w:jc w:val="both"/>
        <w:ind w:left="960" w:right="20" w:firstLine="605"/>
        <w:spacing w:after="0" w:line="270" w:lineRule="auto"/>
        <w:tabs>
          <w:tab w:leader="none" w:pos="235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Administrative Agent, the Issuing Lenders and the Lenders shall be entitled to rely and act upon any notices (including telephonic notices, Letter of Credit Requests and 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Issuing Lender, each Lender and the Related Persons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74" w:lineRule="exact"/>
        <w:rPr>
          <w:rFonts w:ascii="Arial" w:cs="Arial" w:eastAsia="Arial" w:hAnsi="Arial"/>
          <w:sz w:val="16"/>
          <w:szCs w:val="16"/>
          <w:color w:val="auto"/>
        </w:rPr>
      </w:pPr>
    </w:p>
    <w:p>
      <w:pPr>
        <w:ind w:left="960" w:right="20" w:firstLine="604"/>
        <w:spacing w:after="0" w:line="263" w:lineRule="auto"/>
        <w:tabs>
          <w:tab w:leader="none" w:pos="235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Borrower agrees to notify the Administrative Agent of any update to the list of Disqualified Lenders in writing at the following address: JPMDQ_Contact@jpmorgan.com.</w:t>
      </w:r>
    </w:p>
    <w:p>
      <w:pPr>
        <w:spacing w:after="0" w:line="18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Benefit of Agreement; Assignments; Participations</w:t>
      </w:r>
      <w:r>
        <w:rPr>
          <w:rFonts w:ascii="Arial" w:cs="Arial" w:eastAsia="Arial" w:hAnsi="Arial"/>
          <w:sz w:val="16"/>
          <w:szCs w:val="16"/>
          <w:color w:val="auto"/>
        </w:rPr>
        <w:t>.</w:t>
      </w:r>
    </w:p>
    <w:p>
      <w:pPr>
        <w:spacing w:after="0" w:line="295" w:lineRule="exact"/>
        <w:rPr>
          <w:sz w:val="20"/>
          <w:szCs w:val="20"/>
          <w:color w:val="auto"/>
        </w:rPr>
      </w:pPr>
    </w:p>
    <w:p>
      <w:pPr>
        <w:jc w:val="both"/>
        <w:ind w:left="960" w:firstLine="605"/>
        <w:spacing w:after="0" w:line="252" w:lineRule="auto"/>
        <w:tabs>
          <w:tab w:leader="none" w:pos="235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Assignments</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(including any affiliate of any Issuing Lender that issues any Letter of Credit), except that neither the Borrower nor any other Loan Party may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Participants to the extent provided in clause (b) of this Section and, to the extent expressly contemplated hereby, the Related Persons of each of the Administrative Agent, the Collateral Agent, the Joint Lead Arrangers, each Issuing Lender, the Swingline Lender and the Lenders) any legal or equitable right, remedy or claim under or by reason of this Agreement.</w:t>
      </w:r>
    </w:p>
    <w:p>
      <w:pPr>
        <w:spacing w:after="0" w:line="197"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Subject to the conditions set forth in paragraph (a)(ii) below, any Lender may assign to one or more Eligible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and the Note or Notes (if any) held by it) with the prior written consent (such consent not to be unreasonably withheld or delayed) of:</w:t>
      </w:r>
    </w:p>
    <w:p>
      <w:pPr>
        <w:spacing w:after="0" w:line="193" w:lineRule="exact"/>
        <w:rPr>
          <w:sz w:val="20"/>
          <w:szCs w:val="20"/>
          <w:color w:val="auto"/>
        </w:rPr>
      </w:pPr>
    </w:p>
    <w:p>
      <w:pPr>
        <w:ind w:left="2760" w:hanging="594"/>
        <w:spacing w:after="0"/>
        <w:tabs>
          <w:tab w:leader="none" w:pos="27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Administrative Agent, the Swingline Lender and each Issuing Lender; and</w:t>
      </w:r>
    </w:p>
    <w:p>
      <w:pPr>
        <w:spacing w:after="0" w:line="231" w:lineRule="exact"/>
        <w:rPr>
          <w:rFonts w:ascii="Arial" w:cs="Arial" w:eastAsia="Arial" w:hAnsi="Arial"/>
          <w:sz w:val="18"/>
          <w:szCs w:val="18"/>
          <w:color w:val="auto"/>
        </w:rPr>
      </w:pPr>
    </w:p>
    <w:p>
      <w:pPr>
        <w:jc w:val="both"/>
        <w:ind w:left="1560" w:right="20" w:firstLine="607"/>
        <w:spacing w:after="0" w:line="248" w:lineRule="auto"/>
        <w:tabs>
          <w:tab w:leader="none" w:pos="295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 for assignments to a Lender, an Affiliate of a Lender, or an Approved Fund or (ii) if a Significant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326390" cy="182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720"/>
          </w:cols>
          <w:pgMar w:left="360" w:top="1326" w:right="819" w:bottom="1440" w:gutter="0" w:footer="0" w:header="0"/>
        </w:sectPr>
      </w:pPr>
    </w:p>
    <w:bookmarkStart w:id="269" w:name="page270"/>
    <w:bookmarkEnd w:id="269"/>
    <w:p>
      <w:pPr>
        <w:ind w:left="156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Assignment Conditions</w:t>
      </w:r>
      <w:r>
        <w:rPr>
          <w:rFonts w:ascii="Arial" w:cs="Arial" w:eastAsia="Arial" w:hAnsi="Arial"/>
          <w:sz w:val="18"/>
          <w:szCs w:val="18"/>
          <w:color w:val="auto"/>
        </w:rPr>
        <w:t>. Assignments shall be subject to the following additional conditions:</w:t>
      </w:r>
    </w:p>
    <w:p>
      <w:pPr>
        <w:spacing w:after="0" w:line="295" w:lineRule="exact"/>
        <w:rPr>
          <w:sz w:val="20"/>
          <w:szCs w:val="20"/>
          <w:color w:val="auto"/>
        </w:rPr>
      </w:pPr>
    </w:p>
    <w:p>
      <w:pPr>
        <w:jc w:val="both"/>
        <w:ind w:left="1560" w:firstLine="606"/>
        <w:spacing w:after="0" w:line="236" w:lineRule="auto"/>
        <w:tabs>
          <w:tab w:leader="none" w:pos="295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except in the case of an assignment to a Lender, an Affiliate of a Lender or an Approved Fund or an assignment of the entire remaining amount of the assigning Lender’s Commitments or Loans under any Class, the amount of the Commitments or Loans of the assigning Lender subject to each such assignment (determined as of the date the Assignment and Assumption with respect to such assignment is delivered to the Administrative Agent) shall not be less than</w:t>
      </w:r>
    </w:p>
    <w:p>
      <w:pPr>
        <w:spacing w:after="0" w:line="1" w:lineRule="exact"/>
        <w:rPr>
          <w:rFonts w:ascii="Arial" w:cs="Arial" w:eastAsia="Arial" w:hAnsi="Arial"/>
          <w:sz w:val="18"/>
          <w:szCs w:val="18"/>
          <w:color w:val="auto"/>
        </w:rPr>
      </w:pPr>
    </w:p>
    <w:p>
      <w:pPr>
        <w:jc w:val="both"/>
        <w:ind w:left="1560"/>
        <w:spacing w:after="0" w:line="237" w:lineRule="auto"/>
        <w:rPr>
          <w:rFonts w:ascii="Arial" w:cs="Arial" w:eastAsia="Arial" w:hAnsi="Arial"/>
          <w:sz w:val="18"/>
          <w:szCs w:val="18"/>
          <w:color w:val="auto"/>
        </w:rPr>
      </w:pPr>
      <w:r>
        <w:rPr>
          <w:rFonts w:ascii="Arial" w:cs="Arial" w:eastAsia="Arial" w:hAnsi="Arial"/>
          <w:sz w:val="18"/>
          <w:szCs w:val="18"/>
          <w:color w:val="auto"/>
        </w:rPr>
        <w:t>$2,500,000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simultaneous assignments to or by two or more Approved Funds shall be aggregated for purposes of determining such amount) unless the Administrative Agent and the Borrower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conditions in this clause (A) shall not be applicable to transfers by the Administrative Agent pursuant to </w:t>
      </w:r>
      <w:r>
        <w:rPr>
          <w:rFonts w:ascii="Arial" w:cs="Arial" w:eastAsia="Arial" w:hAnsi="Arial"/>
          <w:sz w:val="18"/>
          <w:szCs w:val="18"/>
          <w:u w:val="single" w:color="auto"/>
          <w:color w:val="auto"/>
        </w:rPr>
        <w:t>Section 12.15(e)(iii)</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jc w:val="both"/>
        <w:ind w:left="1560" w:firstLine="606"/>
        <w:spacing w:after="0" w:line="258" w:lineRule="auto"/>
        <w:tabs>
          <w:tab w:leader="none" w:pos="295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the parties to each assignment shall execute and deliver to the Administrative Agent an Assignment and Assumption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conditions in this clause (B) shall not be applicable to transfers by the Administrative Agent pursuant to </w:t>
      </w:r>
      <w:r>
        <w:rPr>
          <w:rFonts w:ascii="Arial" w:cs="Arial" w:eastAsia="Arial" w:hAnsi="Arial"/>
          <w:sz w:val="17"/>
          <w:szCs w:val="17"/>
          <w:u w:val="single" w:color="auto"/>
          <w:color w:val="auto"/>
        </w:rPr>
        <w:t>Section 12.15(e)(iii)</w:t>
      </w:r>
      <w:r>
        <w:rPr>
          <w:rFonts w:ascii="Arial" w:cs="Arial" w:eastAsia="Arial" w:hAnsi="Arial"/>
          <w:sz w:val="17"/>
          <w:szCs w:val="17"/>
          <w:color w:val="auto"/>
        </w:rPr>
        <w:t>; and</w:t>
      </w:r>
    </w:p>
    <w:p>
      <w:pPr>
        <w:spacing w:after="0" w:line="253" w:lineRule="exact"/>
        <w:rPr>
          <w:rFonts w:ascii="Arial" w:cs="Arial" w:eastAsia="Arial" w:hAnsi="Arial"/>
          <w:sz w:val="17"/>
          <w:szCs w:val="17"/>
          <w:color w:val="auto"/>
        </w:rPr>
      </w:pPr>
    </w:p>
    <w:p>
      <w:pPr>
        <w:jc w:val="both"/>
        <w:ind w:left="1560" w:firstLine="606"/>
        <w:spacing w:after="0" w:line="269" w:lineRule="auto"/>
        <w:tabs>
          <w:tab w:leader="none" w:pos="295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the Assignee, if it is not already a Lender hereunder, shall deliver to the Administrative Agent an Administrative Questionnaire and any applicable Internal Revenue Service forms described in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(including the Non-Bank Certificate, as applicable) and any documentation described in </w:t>
      </w:r>
      <w:r>
        <w:rPr>
          <w:rFonts w:ascii="Arial" w:cs="Arial" w:eastAsia="Arial" w:hAnsi="Arial"/>
          <w:sz w:val="17"/>
          <w:szCs w:val="17"/>
          <w:u w:val="single" w:color="auto"/>
          <w:color w:val="auto"/>
        </w:rPr>
        <w:t>Section 5.5(c)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(if applicable).</w:t>
      </w:r>
    </w:p>
    <w:p>
      <w:pPr>
        <w:spacing w:after="0" w:line="246" w:lineRule="exact"/>
        <w:rPr>
          <w:sz w:val="20"/>
          <w:szCs w:val="20"/>
          <w:color w:val="auto"/>
        </w:rPr>
      </w:pPr>
    </w:p>
    <w:p>
      <w:pPr>
        <w:ind w:left="960" w:right="360"/>
        <w:spacing w:after="0" w:line="26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not prohibit any Lender from assigning all or any portion of its rights and obligations among separate Facilities on a non-</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w:t>
      </w:r>
    </w:p>
    <w:p>
      <w:pPr>
        <w:spacing w:after="0" w:line="249" w:lineRule="exact"/>
        <w:rPr>
          <w:sz w:val="20"/>
          <w:szCs w:val="20"/>
          <w:color w:val="auto"/>
        </w:rPr>
      </w:pPr>
    </w:p>
    <w:p>
      <w:pPr>
        <w:ind w:left="2160" w:hanging="596"/>
        <w:spacing w:after="0"/>
        <w:tabs>
          <w:tab w:leader="none" w:pos="2160"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94" w:lineRule="exact"/>
        <w:rPr>
          <w:rFonts w:ascii="Arial" w:cs="Arial" w:eastAsia="Arial" w:hAnsi="Arial"/>
          <w:sz w:val="18"/>
          <w:szCs w:val="18"/>
          <w:color w:val="auto"/>
        </w:rPr>
      </w:pPr>
    </w:p>
    <w:p>
      <w:pPr>
        <w:ind w:left="2160" w:hanging="596"/>
        <w:spacing w:after="0"/>
        <w:tabs>
          <w:tab w:leader="none" w:pos="2160"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307" w:lineRule="exact"/>
        <w:rPr>
          <w:rFonts w:ascii="Arial" w:cs="Arial" w:eastAsia="Arial" w:hAnsi="Arial"/>
          <w:sz w:val="18"/>
          <w:szCs w:val="18"/>
          <w:color w:val="auto"/>
        </w:rPr>
      </w:pPr>
    </w:p>
    <w:p>
      <w:pPr>
        <w:ind w:left="2360" w:hanging="796"/>
        <w:spacing w:after="0"/>
        <w:tabs>
          <w:tab w:leader="none" w:pos="2360"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Novation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13.4(a)(vi)</w:t>
      </w:r>
      <w:r>
        <w:rPr>
          <w:rFonts w:ascii="Arial" w:cs="Arial" w:eastAsia="Arial" w:hAnsi="Arial"/>
          <w:sz w:val="17"/>
          <w:szCs w:val="17"/>
          <w:color w:val="auto"/>
        </w:rPr>
        <w:t xml:space="preserve"> and the acceptance and recording thereof pursuant to </w:t>
      </w:r>
      <w:r>
        <w:rPr>
          <w:rFonts w:ascii="Arial" w:cs="Arial" w:eastAsia="Arial" w:hAnsi="Arial"/>
          <w:sz w:val="17"/>
          <w:szCs w:val="17"/>
          <w:u w:val="single" w:color="auto"/>
          <w:color w:val="auto"/>
        </w:rPr>
        <w:t>Section 13.4(a)</w:t>
      </w:r>
    </w:p>
    <w:p>
      <w:pPr>
        <w:spacing w:after="0" w:line="21" w:lineRule="exact"/>
        <w:rPr>
          <w:rFonts w:ascii="Arial" w:cs="Arial" w:eastAsia="Arial" w:hAnsi="Arial"/>
          <w:sz w:val="17"/>
          <w:szCs w:val="17"/>
          <w:color w:val="auto"/>
        </w:rPr>
      </w:pPr>
    </w:p>
    <w:p>
      <w:pPr>
        <w:jc w:val="both"/>
        <w:ind w:left="960" w:firstLine="2"/>
        <w:spacing w:after="0" w:line="232" w:lineRule="auto"/>
        <w:tabs>
          <w:tab w:leader="none" w:pos="1323" w:val="left"/>
        </w:tabs>
        <w:numPr>
          <w:ilvl w:val="0"/>
          <w:numId w:val="306"/>
        </w:numPr>
        <w:rPr>
          <w:rFonts w:ascii="Arial" w:cs="Arial" w:eastAsia="Arial" w:hAnsi="Arial"/>
          <w:sz w:val="18"/>
          <w:szCs w:val="18"/>
          <w:u w:val="single" w:color="auto"/>
          <w:color w:val="auto"/>
        </w:rPr>
      </w:pPr>
      <w:r>
        <w:rPr>
          <w:rFonts w:ascii="Arial" w:cs="Arial" w:eastAsia="Arial" w:hAnsi="Arial"/>
          <w:sz w:val="18"/>
          <w:szCs w:val="18"/>
          <w:color w:val="auto"/>
        </w:rPr>
        <w:t xml:space="preserve">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w:t>
      </w:r>
    </w:p>
    <w:p>
      <w:pPr>
        <w:spacing w:after="0" w:line="3" w:lineRule="exact"/>
        <w:rPr>
          <w:rFonts w:ascii="Arial" w:cs="Arial" w:eastAsia="Arial" w:hAnsi="Arial"/>
          <w:sz w:val="18"/>
          <w:szCs w:val="18"/>
          <w:u w:val="single" w:color="auto"/>
          <w:color w:val="auto"/>
        </w:rPr>
      </w:pPr>
    </w:p>
    <w:p>
      <w:pPr>
        <w:jc w:val="both"/>
        <w:ind w:left="960"/>
        <w:spacing w:after="0" w:line="239"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shall be treated for purposes of this Agreement as a sale by such Lender of a participation in such rights and obligations if such transaction complies with the requirements of this </w:t>
      </w:r>
      <w:r>
        <w:rPr>
          <w:rFonts w:ascii="Arial" w:cs="Arial" w:eastAsia="Arial" w:hAnsi="Arial"/>
          <w:sz w:val="18"/>
          <w:szCs w:val="18"/>
          <w:u w:val="single" w:color="auto"/>
          <w:color w:val="auto"/>
        </w:rPr>
        <w:t>Section 13.4</w:t>
      </w:r>
      <w:r>
        <w:rPr>
          <w:rFonts w:ascii="Arial" w:cs="Arial" w:eastAsia="Arial" w:hAnsi="Arial"/>
          <w:sz w:val="18"/>
          <w:szCs w:val="18"/>
          <w:color w:val="auto"/>
        </w:rPr>
        <w:t>.</w:t>
      </w:r>
    </w:p>
    <w:p>
      <w:pPr>
        <w:spacing w:after="0" w:line="280" w:lineRule="exact"/>
        <w:rPr>
          <w:rFonts w:ascii="Arial" w:cs="Arial" w:eastAsia="Arial" w:hAnsi="Arial"/>
          <w:sz w:val="18"/>
          <w:szCs w:val="18"/>
          <w:u w:val="single" w:color="auto"/>
          <w:color w:val="auto"/>
        </w:rPr>
      </w:pPr>
    </w:p>
    <w:p>
      <w:pPr>
        <w:jc w:val="both"/>
        <w:ind w:left="960" w:firstLine="604"/>
        <w:spacing w:after="0" w:line="248" w:lineRule="auto"/>
        <w:tabs>
          <w:tab w:leader="none" w:pos="235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Each Lender hereby expressly reserve and agree to the preservation of (or any action to preserve) the Guarantee in case of assignment, novation, amendment or any other transfer of any Lender’s rights and obligations under this Agreement in accordance with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487045</wp:posOffset>
            </wp:positionV>
            <wp:extent cx="326390" cy="182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700"/>
          </w:cols>
          <w:pgMar w:left="360" w:top="1326" w:right="839" w:bottom="1440" w:gutter="0" w:footer="0" w:header="0"/>
        </w:sectPr>
      </w:pPr>
    </w:p>
    <w:bookmarkStart w:id="270" w:name="page271"/>
    <w:bookmarkEnd w:id="270"/>
    <w:p>
      <w:pPr>
        <w:ind w:left="960" w:firstLine="605"/>
        <w:spacing w:after="0" w:line="263" w:lineRule="auto"/>
        <w:tabs>
          <w:tab w:leader="none" w:pos="235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Acceptance and Register</w:t>
      </w:r>
      <w:r>
        <w:rPr>
          <w:rFonts w:ascii="Arial" w:cs="Arial" w:eastAsia="Arial" w:hAnsi="Arial"/>
          <w:sz w:val="18"/>
          <w:szCs w:val="18"/>
          <w:color w:val="auto"/>
        </w:rPr>
        <w:t>. Upon its receipt of a duly completed Assignment and Assumption executed by an assigning Lender and an Assignee, the Assignee’s completed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700"/>
          </w:cols>
          <w:pgMar w:left="360" w:top="1264" w:right="839" w:bottom="1440" w:gutter="0" w:footer="0" w:header="0"/>
        </w:sectPr>
      </w:pPr>
    </w:p>
    <w:bookmarkStart w:id="271" w:name="page272"/>
    <w:bookmarkEnd w:id="271"/>
    <w:p>
      <w:pPr>
        <w:ind w:left="960"/>
        <w:spacing w:after="0"/>
        <w:rPr>
          <w:sz w:val="20"/>
          <w:szCs w:val="20"/>
          <w:color w:val="auto"/>
        </w:rPr>
      </w:pPr>
      <w:r>
        <w:rPr>
          <w:rFonts w:ascii="Arial" w:cs="Arial" w:eastAsia="Arial" w:hAnsi="Arial"/>
          <w:sz w:val="16"/>
          <w:szCs w:val="16"/>
          <w:color w:val="auto"/>
        </w:rPr>
        <w:t>Questionnaire (unless the Assignee shall already be a Lender hereunder), together with (x) any processing and recordation fee and</w:t>
      </w:r>
    </w:p>
    <w:p>
      <w:pPr>
        <w:spacing w:after="0" w:line="33" w:lineRule="exact"/>
        <w:rPr>
          <w:sz w:val="20"/>
          <w:szCs w:val="20"/>
          <w:color w:val="auto"/>
        </w:rPr>
      </w:pPr>
    </w:p>
    <w:p>
      <w:pPr>
        <w:jc w:val="both"/>
        <w:ind w:left="960" w:firstLine="2"/>
        <w:spacing w:after="0" w:line="239" w:lineRule="auto"/>
        <w:tabs>
          <w:tab w:leader="none" w:pos="124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any written consents to such assignment required by this </w:t>
      </w:r>
      <w:r>
        <w:rPr>
          <w:rFonts w:ascii="Arial" w:cs="Arial" w:eastAsia="Arial" w:hAnsi="Arial"/>
          <w:sz w:val="18"/>
          <w:szCs w:val="18"/>
          <w:u w:val="single" w:color="auto"/>
          <w:color w:val="auto"/>
        </w:rPr>
        <w:t>Section 13.4</w:t>
      </w:r>
      <w:r>
        <w:rPr>
          <w:rFonts w:ascii="Arial" w:cs="Arial" w:eastAsia="Arial" w:hAnsi="Arial"/>
          <w:sz w:val="18"/>
          <w:szCs w:val="18"/>
          <w:color w:val="auto"/>
        </w:rPr>
        <w:t>, the Administrative Agent shall promptly accept such Assignment and Assumption and record the information contained therein in the Register. No assignment shall be effective for purposes of this Agreement unless it has been recorded in the Register as provided in this paragraph.</w:t>
      </w:r>
    </w:p>
    <w:p>
      <w:pPr>
        <w:spacing w:after="0" w:line="205" w:lineRule="exact"/>
        <w:rPr>
          <w:rFonts w:ascii="Arial" w:cs="Arial" w:eastAsia="Arial" w:hAnsi="Arial"/>
          <w:sz w:val="18"/>
          <w:szCs w:val="18"/>
          <w:color w:val="auto"/>
        </w:rPr>
      </w:pPr>
    </w:p>
    <w:p>
      <w:pPr>
        <w:jc w:val="both"/>
        <w:ind w:left="960" w:firstLine="604"/>
        <w:spacing w:after="0" w:line="234" w:lineRule="auto"/>
        <w:tabs>
          <w:tab w:leader="none" w:pos="235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 Any Lender may, without the consent of or notice to the Borrower, the Administrative Agent, the Swingline Lender or any Issuing Lender, sell participations in respect of Revolving Loan Commitments or Revolving Loans to one or more banks or other entities (other than a natural person, a Defaulting Lender, the Sponsors (or their Affiliates), the Borrower and its Subsidiaries or a Disqualified Lender)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each Borrower, the Administrative Agent, each Issuing Lender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w:t>
      </w:r>
    </w:p>
    <w:p>
      <w:pPr>
        <w:spacing w:after="0" w:line="5" w:lineRule="exact"/>
        <w:rPr>
          <w:rFonts w:ascii="Arial" w:cs="Arial" w:eastAsia="Arial" w:hAnsi="Arial"/>
          <w:sz w:val="18"/>
          <w:szCs w:val="18"/>
          <w:color w:val="auto"/>
        </w:rPr>
      </w:pPr>
    </w:p>
    <w:p>
      <w:pPr>
        <w:jc w:val="both"/>
        <w:ind w:left="960"/>
        <w:spacing w:after="0" w:line="264" w:lineRule="auto"/>
        <w:rPr>
          <w:rFonts w:ascii="Arial" w:cs="Arial" w:eastAsia="Arial" w:hAnsi="Arial"/>
          <w:sz w:val="18"/>
          <w:szCs w:val="18"/>
          <w:color w:val="auto"/>
        </w:rPr>
      </w:pPr>
      <w:r>
        <w:rPr>
          <w:rFonts w:ascii="Arial" w:cs="Arial" w:eastAsia="Arial" w:hAnsi="Arial"/>
          <w:sz w:val="16"/>
          <w:szCs w:val="16"/>
          <w:u w:val="single" w:color="auto"/>
          <w:color w:val="auto"/>
        </w:rPr>
        <w:t>12.6</w:t>
      </w:r>
      <w:r>
        <w:rPr>
          <w:rFonts w:ascii="Arial" w:cs="Arial" w:eastAsia="Arial" w:hAnsi="Arial"/>
          <w:sz w:val="16"/>
          <w:szCs w:val="16"/>
          <w:color w:val="auto"/>
        </w:rPr>
        <w:t xml:space="preserve"> without regard to the existence of any participation.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amendment, modification or waiver that (1) requires the consent of each Lender pursuant to </w:t>
      </w:r>
      <w:r>
        <w:rPr>
          <w:rFonts w:ascii="Arial" w:cs="Arial" w:eastAsia="Arial" w:hAnsi="Arial"/>
          <w:sz w:val="16"/>
          <w:szCs w:val="16"/>
          <w:u w:val="single" w:color="auto"/>
          <w:color w:val="auto"/>
        </w:rPr>
        <w:t>Section 13.12(a)</w:t>
      </w:r>
      <w:r>
        <w:rPr>
          <w:rFonts w:ascii="Arial" w:cs="Arial" w:eastAsia="Arial" w:hAnsi="Arial"/>
          <w:sz w:val="16"/>
          <w:szCs w:val="16"/>
          <w:color w:val="auto"/>
        </w:rPr>
        <w:t xml:space="preserve"> and (2) directly affects such Participant. Each Lender that sells a participation shall, acting solely for U.S. federal income tax purposes as the agent of the Borrower, maintain a register on which it enters the name and address of each Participant and the commitment of, and the principal amounts (and stated interest) of, each Participant’s interest in the Loans, L/C Obligations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L/C Obligations or its other obligations under any Loan Document) except to the extent that the relevant parties, acting reasonably and in good faith, determine that such disclosure is necessary to establish that such Commitment, Loan, L/C Obligation or other obligation is in registered form under Section 5f.103-1(c) of the United States Treasury Regulations. Unless otherwise required by the IRS, any disclosure required by the foregoing sentence shall be made by the relevant Lender directly and solely to the IRS. The entries in the Participant Register shall be conclusive and binding absent manifest error, and such Lender shall treat each Person whose name is recorded in the Participant Register as the owner of such participation for all purposes of this Agreement notwithstanding any notice to the contrary.</w:t>
      </w:r>
    </w:p>
    <w:p>
      <w:pPr>
        <w:spacing w:after="0" w:line="182" w:lineRule="exact"/>
        <w:rPr>
          <w:sz w:val="20"/>
          <w:szCs w:val="20"/>
          <w:color w:val="auto"/>
        </w:rPr>
      </w:pPr>
    </w:p>
    <w:p>
      <w:pPr>
        <w:jc w:val="both"/>
        <w:ind w:left="960" w:firstLine="604"/>
        <w:spacing w:after="0" w:line="250" w:lineRule="auto"/>
        <w:tabs>
          <w:tab w:leader="none" w:pos="1832"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The Borrower agrees that (x) each Participant shall be entitled to the benefits of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(subject to the requirements of those sections) to the same extent as if it were a Lender and had acquired its interest by assignment pursuant to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 (y) each Participant shall be entitled to the benefits of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and subject to the requirements and limitations of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to the same extent as if it were a Lender that had acquired its interest by assignment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13.4(a)</w:t>
      </w:r>
      <w:r>
        <w:rPr>
          <w:rFonts w:ascii="Arial" w:cs="Arial" w:eastAsia="Arial" w:hAnsi="Arial"/>
          <w:sz w:val="17"/>
          <w:szCs w:val="17"/>
          <w:color w:val="auto"/>
        </w:rPr>
        <w:t xml:space="preserve"> (and for the purposes of the definitions of Excluded Taxes, Indemnified Taxes and Taxes, such Participant shall be treated as if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the provisions of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as if it had acquired its interest by assignment pursuant to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with respect to any Participant. Notwithstanding the foregoing, no Participant shall be entitled to receive any greater payment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than the applicable participating Lender would have been entitled to receive in respect of the amount of the participation transferred by such participating Lender to such Participant had no such participation occurred, except to the extent such entitlement to receive a greater payment results from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346075</wp:posOffset>
            </wp:positionV>
            <wp:extent cx="326390" cy="182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700"/>
          </w:cols>
          <w:pgMar w:left="360" w:top="1327" w:right="839" w:bottom="1440" w:gutter="0" w:footer="0" w:header="0"/>
        </w:sectPr>
      </w:pPr>
    </w:p>
    <w:bookmarkStart w:id="272" w:name="page273"/>
    <w:bookmarkEnd w:id="272"/>
    <w:p>
      <w:pPr>
        <w:ind w:left="960"/>
        <w:spacing w:after="0" w:line="263" w:lineRule="auto"/>
        <w:rPr>
          <w:sz w:val="20"/>
          <w:szCs w:val="20"/>
          <w:color w:val="auto"/>
        </w:rPr>
      </w:pPr>
      <w:r>
        <w:rPr>
          <w:rFonts w:ascii="Arial" w:cs="Arial" w:eastAsia="Arial" w:hAnsi="Arial"/>
          <w:sz w:val="18"/>
          <w:szCs w:val="18"/>
          <w:color w:val="auto"/>
        </w:rPr>
        <w:t xml:space="preserve">Change in Tax Law that occurs after the Participant acquired the applicable participation. To the extent permitted by law, each Participant also shall be entitled to the benefits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61" w:lineRule="exact"/>
        <w:rPr>
          <w:sz w:val="20"/>
          <w:szCs w:val="20"/>
          <w:color w:val="auto"/>
        </w:rPr>
      </w:pPr>
    </w:p>
    <w:p>
      <w:pPr>
        <w:jc w:val="both"/>
        <w:ind w:left="960" w:right="360" w:firstLine="604"/>
        <w:spacing w:after="0"/>
        <w:tabs>
          <w:tab w:leader="none" w:pos="235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93" w:lineRule="exact"/>
        <w:rPr>
          <w:rFonts w:ascii="Arial" w:cs="Arial" w:eastAsia="Arial" w:hAnsi="Arial"/>
          <w:sz w:val="18"/>
          <w:szCs w:val="18"/>
          <w:color w:val="auto"/>
        </w:rPr>
      </w:pPr>
    </w:p>
    <w:p>
      <w:pPr>
        <w:ind w:left="960" w:right="380" w:firstLine="605"/>
        <w:spacing w:after="0" w:line="263" w:lineRule="auto"/>
        <w:tabs>
          <w:tab w:leader="none" w:pos="235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The Borrower, upon receipt of written notice from the relevant Lender, agrees to issue Notes to any Lender requiring Notes to facilitate transactions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960" w:right="380" w:firstLine="604"/>
        <w:spacing w:after="0" w:line="263" w:lineRule="auto"/>
        <w:tabs>
          <w:tab w:leader="none" w:pos="235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Lender, upon succeeding to an interest in Commitments or Loans, as the case may be, represents and warrants as of the effective date of the applicable Assignment and Assumption that it is an Eligible Assignee.</w:t>
      </w:r>
    </w:p>
    <w:p>
      <w:pPr>
        <w:spacing w:after="0" w:line="186" w:lineRule="exact"/>
        <w:rPr>
          <w:sz w:val="20"/>
          <w:szCs w:val="20"/>
          <w:color w:val="auto"/>
        </w:rPr>
      </w:pPr>
    </w:p>
    <w:p>
      <w:pPr>
        <w:jc w:val="both"/>
        <w:ind w:left="960" w:right="380" w:firstLine="602"/>
        <w:spacing w:after="0" w:line="250" w:lineRule="auto"/>
        <w:rPr>
          <w:sz w:val="20"/>
          <w:szCs w:val="20"/>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the Borrower shall have consented thereto in writing in its sole discretion, the Administrative Agent shall have the right, but not the obligation, to effectuate assignments of Loans and Commitments via an electronic settlement system acceptable to the Administrative Agent and the Borrower as designated in writing from time to time to the Lenders by the Administrative Agent (the “</w:t>
      </w:r>
      <w:r>
        <w:rPr>
          <w:rFonts w:ascii="Arial" w:cs="Arial" w:eastAsia="Arial" w:hAnsi="Arial"/>
          <w:sz w:val="17"/>
          <w:szCs w:val="17"/>
          <w:u w:val="single" w:color="auto"/>
          <w:color w:val="auto"/>
        </w:rPr>
        <w:t>Settlement Service</w:t>
      </w:r>
      <w:r>
        <w:rPr>
          <w:rFonts w:ascii="Arial" w:cs="Arial" w:eastAsia="Arial" w:hAnsi="Arial"/>
          <w:sz w:val="17"/>
          <w:szCs w:val="17"/>
          <w:color w:val="auto"/>
        </w:rPr>
        <w:t xml:space="preserve">”). At any time when the Administrative Agent elects, in its sole discretion, to implement such Settlement Service, each such assignment shall be effected by the assigning Lender and proposed Assignee pursuant to the procedures then in effect under the Settlement Service, which procedures shall be subject to the prior written approval of the Borrower and shall be consistent with the other provisions of this </w:t>
      </w:r>
      <w:r>
        <w:rPr>
          <w:rFonts w:ascii="Arial" w:cs="Arial" w:eastAsia="Arial" w:hAnsi="Arial"/>
          <w:sz w:val="17"/>
          <w:szCs w:val="17"/>
          <w:u w:val="single" w:color="auto"/>
          <w:color w:val="auto"/>
        </w:rPr>
        <w:t>Section 13.4</w:t>
      </w:r>
      <w:r>
        <w:rPr>
          <w:rFonts w:ascii="Arial" w:cs="Arial" w:eastAsia="Arial" w:hAnsi="Arial"/>
          <w:sz w:val="17"/>
          <w:szCs w:val="17"/>
          <w:color w:val="auto"/>
        </w:rPr>
        <w:t>. Each assigning Lender and proposed Assignee shall comply with the requirements of the Settlement Service in connection with effecting any assignment of Loans and Commitments pursuant to the Settlement Service. Assignments and assumptions of Loans and Commitments shall be effected by the provisions otherwise set forth herein until the Administrative Agent notifies Lenders of the Settlement Service as set forth herein. The Borrower may withdraw its consent to the use of the Settlement Service at any time upon notice to the Administrative Agent, and thereafter assignments and assumptions of the Loans and Commitments shall be effected by the provisions otherwise set forth herein.</w:t>
      </w:r>
    </w:p>
    <w:p>
      <w:pPr>
        <w:spacing w:after="0" w:line="199" w:lineRule="exact"/>
        <w:rPr>
          <w:sz w:val="20"/>
          <w:szCs w:val="20"/>
          <w:color w:val="auto"/>
        </w:rPr>
      </w:pPr>
    </w:p>
    <w:p>
      <w:pPr>
        <w:jc w:val="both"/>
        <w:ind w:left="960" w:right="360" w:firstLine="601"/>
        <w:spacing w:after="0" w:line="23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No Waiver; Remedies Cumulative</w:t>
      </w:r>
      <w:r>
        <w:rPr>
          <w:rFonts w:ascii="Arial" w:cs="Arial" w:eastAsia="Arial" w:hAnsi="Arial"/>
          <w:sz w:val="18"/>
          <w:szCs w:val="18"/>
          <w:color w:val="auto"/>
        </w:rPr>
        <w:t>. No failure or delay on the part of the Administrative Agent, the Collateral Agent, any Issuing Lender or any Lender in exercising any right, power or privilege hereunder or under any other Loan Document and no course of dealing between the Borrower or any other Loan Party and the Administrative Agent, the Collateral Agent, any Issuing Lender or any Lender shall operate as a waiver thereof; nor shall any single or partial exercise of any right, power or privilege hereunder or under any other Loan Document preclude any other or further exercise thereof or the exercise of any other right, power or privilege hereunder or thereunder. The rights, powers and remedies herein or in any other Loan Document expressly provided are cumulative and not exclusive of any rights, powers or remedies which the Administrative Agent, the Collateral Agent, any Issuing Lender or any Lender would otherwise have. No notice to or demand on any Loan Party in any case shall entitle any Loan Party to any other or further notice or demand in similar or other circumstances or constitute a waiver of the rights of the Administrative Agent, the Collateral Agent, any Issuing Lender or any Lender to any other or further action in any circumstances without notice or demand.</w:t>
      </w:r>
    </w:p>
    <w:p>
      <w:pPr>
        <w:spacing w:after="0" w:line="194"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Payments Pro Rata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60" w:top="1326" w:right="459" w:bottom="1440" w:gutter="0" w:footer="0" w:header="0"/>
        </w:sectPr>
      </w:pPr>
    </w:p>
    <w:bookmarkStart w:id="273" w:name="page274"/>
    <w:bookmarkEnd w:id="273"/>
    <w:p>
      <w:pPr>
        <w:jc w:val="both"/>
        <w:ind w:left="960" w:firstLine="605"/>
        <w:spacing w:after="0"/>
        <w:tabs>
          <w:tab w:leader="none" w:pos="2355" w:val="left"/>
        </w:tabs>
        <w:numPr>
          <w:ilvl w:val="1"/>
          <w:numId w:val="31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Agreement, the Administrative Agent agrees that promptly after its receipt of each payment from or on behalf of the Borrower in respect of any Obligations hereunder, the Administrative Agent shall distribute such payment to the Lenders entitled thereto (other than any Lender that has consented in writing to waive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any such payment)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(or in accordance with </w:t>
      </w:r>
      <w:r>
        <w:rPr>
          <w:rFonts w:ascii="Arial" w:cs="Arial" w:eastAsia="Arial" w:hAnsi="Arial"/>
          <w:sz w:val="18"/>
          <w:szCs w:val="18"/>
          <w:u w:val="single" w:color="auto"/>
          <w:color w:val="auto"/>
        </w:rPr>
        <w:t>Section 11.4</w:t>
      </w:r>
      <w:r>
        <w:rPr>
          <w:rFonts w:ascii="Arial" w:cs="Arial" w:eastAsia="Arial" w:hAnsi="Arial"/>
          <w:sz w:val="18"/>
          <w:szCs w:val="18"/>
          <w:color w:val="auto"/>
        </w:rPr>
        <w:t>, as applicable) based upon their respective shares, if any, of the Obligations with respect to which such payment was received.</w:t>
      </w:r>
    </w:p>
    <w:p>
      <w:pPr>
        <w:spacing w:after="0" w:line="206" w:lineRule="exact"/>
        <w:rPr>
          <w:rFonts w:ascii="Arial" w:cs="Arial" w:eastAsia="Arial" w:hAnsi="Arial"/>
          <w:sz w:val="18"/>
          <w:szCs w:val="18"/>
          <w:color w:val="auto"/>
        </w:rPr>
      </w:pPr>
    </w:p>
    <w:p>
      <w:pPr>
        <w:jc w:val="both"/>
        <w:ind w:left="960" w:firstLine="604"/>
        <w:spacing w:after="0" w:line="251" w:lineRule="auto"/>
        <w:tabs>
          <w:tab w:leader="none" w:pos="2353" w:val="left"/>
        </w:tabs>
        <w:numPr>
          <w:ilvl w:val="1"/>
          <w:numId w:val="311"/>
        </w:numPr>
        <w:rPr>
          <w:rFonts w:ascii="Arial" w:cs="Arial" w:eastAsia="Arial" w:hAnsi="Arial"/>
          <w:sz w:val="17"/>
          <w:szCs w:val="17"/>
          <w:color w:val="auto"/>
        </w:rPr>
      </w:pPr>
      <w:r>
        <w:rPr>
          <w:rFonts w:ascii="Arial" w:cs="Arial" w:eastAsia="Arial" w:hAnsi="Arial"/>
          <w:sz w:val="17"/>
          <w:szCs w:val="17"/>
          <w:color w:val="auto"/>
        </w:rPr>
        <w:t xml:space="preserve">Each of the Lenders agrees that, if it should receive any amount hereunder (whether by voluntary payment, by realization upon security, by the exercise of the right of setoff or banker’s lien, by counterclaim or cross action, by the enforcement of any right under the Loan Documents, or otherwise), which is applicable to the payment of the principal of, or interest on, the Loans, Unpaid Drawings, Commitment Fees or Letter of Credit Fees, of a sum which with respect to the related sum or sums received by other Lenders is in a greater proportion than the total of such Obligation then owed and due to such Lender bears to the total of such Obligation then owed and due to all of the Lenders immediately prior to such receipt, then such Lender receiving such excess payment shall purchase for cash without recourse or warranty from the other Lenders an interest in the Obligations of the respective Loan Party to such Lenders in such amount as shall result in a proportional participation by all the Lenders in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all or any portion of such excess amount is thereafter recovered from such Lenders, such purchase shall be rescinded and the purchase price restored to the extent of such recovery, but without interest.</w:t>
      </w:r>
    </w:p>
    <w:p>
      <w:pPr>
        <w:spacing w:after="0" w:line="187" w:lineRule="exact"/>
        <w:rPr>
          <w:rFonts w:ascii="Arial" w:cs="Arial" w:eastAsia="Arial" w:hAnsi="Arial"/>
          <w:sz w:val="17"/>
          <w:szCs w:val="17"/>
          <w:color w:val="auto"/>
        </w:rPr>
      </w:pPr>
    </w:p>
    <w:p>
      <w:pPr>
        <w:ind w:left="2360" w:hanging="795"/>
        <w:spacing w:after="0"/>
        <w:tabs>
          <w:tab w:leader="none" w:pos="236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provisions of the preceding </w:t>
      </w:r>
      <w:r>
        <w:rPr>
          <w:rFonts w:ascii="Arial" w:cs="Arial" w:eastAsia="Arial" w:hAnsi="Arial"/>
          <w:sz w:val="16"/>
          <w:szCs w:val="16"/>
          <w:u w:val="single" w:color="auto"/>
          <w:color w:val="auto"/>
        </w:rPr>
        <w:t>Sections 13.6(a)</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left="960" w:right="20" w:firstLine="3"/>
        <w:spacing w:after="0" w:line="232" w:lineRule="auto"/>
        <w:tabs>
          <w:tab w:leader="none" w:pos="1225" w:val="left"/>
        </w:tabs>
        <w:numPr>
          <w:ilvl w:val="0"/>
          <w:numId w:val="312"/>
        </w:numPr>
        <w:rPr>
          <w:rFonts w:ascii="Arial" w:cs="Arial" w:eastAsia="Arial" w:hAnsi="Arial"/>
          <w:sz w:val="18"/>
          <w:szCs w:val="18"/>
          <w:u w:val="single" w:color="auto"/>
          <w:color w:val="auto"/>
        </w:rPr>
      </w:pPr>
      <w:r>
        <w:rPr>
          <w:rFonts w:ascii="Arial" w:cs="Arial" w:eastAsia="Arial" w:hAnsi="Arial"/>
          <w:sz w:val="18"/>
          <w:szCs w:val="18"/>
          <w:color w:val="auto"/>
        </w:rPr>
        <w:t>shall be subject to the express provisions of this Agreement which (i) require, or permit, differing payments to be made to Non-Defaulting Lenders as opposed to Defaulting Lenders and</w:t>
      </w:r>
    </w:p>
    <w:p>
      <w:pPr>
        <w:spacing w:after="0" w:line="1" w:lineRule="exact"/>
        <w:rPr>
          <w:rFonts w:ascii="Arial" w:cs="Arial" w:eastAsia="Arial" w:hAnsi="Arial"/>
          <w:sz w:val="18"/>
          <w:szCs w:val="18"/>
          <w:u w:val="single" w:color="auto"/>
          <w:color w:val="auto"/>
        </w:rPr>
      </w:pPr>
    </w:p>
    <w:p>
      <w:pPr>
        <w:ind w:left="1240" w:hanging="277"/>
        <w:spacing w:after="0"/>
        <w:tabs>
          <w:tab w:leader="none" w:pos="12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permit disproportionate payments with respect to the Loans as, and to the extent, expressly provided herein.</w:t>
      </w:r>
    </w:p>
    <w:p>
      <w:pPr>
        <w:spacing w:after="0" w:line="215" w:lineRule="exact"/>
        <w:rPr>
          <w:rFonts w:ascii="Arial" w:cs="Arial" w:eastAsia="Arial" w:hAnsi="Arial"/>
          <w:sz w:val="18"/>
          <w:szCs w:val="18"/>
          <w:color w:val="auto"/>
        </w:rPr>
      </w:pPr>
    </w:p>
    <w:p>
      <w:pPr>
        <w:jc w:val="both"/>
        <w:ind w:left="960" w:firstLine="605"/>
        <w:spacing w:after="0" w:line="264" w:lineRule="auto"/>
        <w:tabs>
          <w:tab w:leader="none" w:pos="2353"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the Borrower and Administrative Agent, the applicable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(i) pay and satisfy in full all payment liabilities then owed by such Defaulting Lender to Administrative Agent, each Issuing Lender, Swingline Lender and each other Lender hereunder (and interest accrued thereon), and</w:t>
      </w:r>
    </w:p>
    <w:p>
      <w:pPr>
        <w:spacing w:after="0" w:line="1" w:lineRule="exact"/>
        <w:rPr>
          <w:rFonts w:ascii="Arial" w:cs="Arial" w:eastAsia="Arial" w:hAnsi="Arial"/>
          <w:sz w:val="16"/>
          <w:szCs w:val="16"/>
          <w:color w:val="auto"/>
        </w:rPr>
      </w:pPr>
    </w:p>
    <w:p>
      <w:pPr>
        <w:jc w:val="both"/>
        <w:ind w:left="960" w:right="20" w:firstLine="3"/>
        <w:spacing w:after="0" w:line="276" w:lineRule="auto"/>
        <w:tabs>
          <w:tab w:leader="none" w:pos="123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acquire (and fund as appropriate) its full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all Loans and participations in Letters of Credit and Swingline Lender.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8" w:lineRule="exact"/>
        <w:rPr>
          <w:sz w:val="20"/>
          <w:szCs w:val="20"/>
          <w:color w:val="auto"/>
        </w:rPr>
      </w:pPr>
    </w:p>
    <w:p>
      <w:pPr>
        <w:jc w:val="both"/>
        <w:ind w:left="960" w:right="20" w:firstLine="602"/>
        <w:spacing w:after="0" w:line="23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in this Section 13.7 applicable notwithstanding that the Loan Documents and any Supported QFC may in fact be stated to be governed by the laws of the State of New York 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349885</wp:posOffset>
            </wp:positionV>
            <wp:extent cx="326390" cy="182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720"/>
          </w:cols>
          <w:pgMar w:left="360" w:top="1326" w:right="819" w:bottom="1440" w:gutter="0" w:footer="0" w:header="0"/>
        </w:sectPr>
      </w:pPr>
    </w:p>
    <w:bookmarkStart w:id="274" w:name="page275"/>
    <w:bookmarkEnd w:id="274"/>
    <w:p>
      <w:pPr>
        <w:jc w:val="both"/>
        <w:ind w:left="960"/>
        <w:spacing w:after="0" w:line="250" w:lineRule="auto"/>
        <w:rPr>
          <w:sz w:val="20"/>
          <w:szCs w:val="20"/>
          <w:color w:val="auto"/>
        </w:rPr>
      </w:pPr>
      <w:r>
        <w:rPr>
          <w:rFonts w:ascii="Arial" w:cs="Arial" w:eastAsia="Arial" w:hAnsi="Arial"/>
          <w:sz w:val="17"/>
          <w:szCs w:val="17"/>
          <w:color w:val="auto"/>
        </w:rPr>
        <w:t>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9" w:lineRule="exact"/>
        <w:rPr>
          <w:sz w:val="20"/>
          <w:szCs w:val="20"/>
          <w:color w:val="auto"/>
        </w:rPr>
      </w:pPr>
    </w:p>
    <w:p>
      <w:pPr>
        <w:ind w:left="1560"/>
        <w:spacing w:after="0"/>
        <w:tabs>
          <w:tab w:leader="none" w:pos="23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7"/>
          <w:szCs w:val="17"/>
          <w:u w:val="single" w:color="auto"/>
          <w:color w:val="auto"/>
        </w:rPr>
        <w:t>GOVERNING LAW; SUBMISSION TO JURISDICTION; VENUE; WAIVER OF JURY TRIAL</w:t>
      </w:r>
      <w:r>
        <w:rPr>
          <w:rFonts w:ascii="Arial" w:cs="Arial" w:eastAsia="Arial" w:hAnsi="Arial"/>
          <w:sz w:val="17"/>
          <w:szCs w:val="17"/>
          <w:color w:val="auto"/>
        </w:rPr>
        <w:t>.</w:t>
      </w:r>
    </w:p>
    <w:p>
      <w:pPr>
        <w:spacing w:after="0" w:line="295" w:lineRule="exact"/>
        <w:rPr>
          <w:sz w:val="20"/>
          <w:szCs w:val="20"/>
          <w:color w:val="auto"/>
        </w:rPr>
      </w:pPr>
    </w:p>
    <w:p>
      <w:pPr>
        <w:jc w:val="both"/>
        <w:ind w:left="960" w:right="20" w:firstLine="604"/>
        <w:spacing w:after="0" w:line="234" w:lineRule="auto"/>
        <w:tabs>
          <w:tab w:leader="none" w:pos="235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EACH PARTY HERETO IRREVOCABLY AND UNCONDITIONALLY AGREES THAT IT WILL NOT COMMENCE ANY ACTION, LITIGATION OR PROCEEDING OF ANY KIND OR DESCRIPTION, WHETHER IN LAW OR EQUITY, WHETHER IN CONTRACT OR IN TORT OR OTHERWISE, AGAINST ANY OTHER PARTY HERETO OR ANY RELATED PARTY THEREOF IN ANY WAY RELATING TO THIS AGREEMENT OR ANY OTHER LOAN DOCUMENT OR THE TRANSACTIONS RELATING HERETO OR THERETO (EXCEPT, AS TO ANY OTHER LOAN DOCUMENT, AS EXPRESSLY SET FORTH THEREIN),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(EXCEPT, AS TO ANY OTHER LOAN DOCUMENT, AS EXPRESSLY SET FORTH THEREIN) TO THE EXCLUSIVE JURISDICTION OF SUCH COURTS AND AGREES THAT ALL CLAIMS IN RESPECT OF ANY SUCH ACTION, LITIGATION OR PROCEEDING SHALL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351155</wp:posOffset>
            </wp:positionV>
            <wp:extent cx="326390" cy="182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0720"/>
          </w:cols>
          <w:pgMar w:left="360" w:top="1327" w:right="819" w:bottom="1440" w:gutter="0" w:footer="0" w:header="0"/>
        </w:sectPr>
      </w:pPr>
    </w:p>
    <w:bookmarkStart w:id="275" w:name="page276"/>
    <w:bookmarkEnd w:id="275"/>
    <w:p>
      <w:pPr>
        <w:jc w:val="both"/>
        <w:ind w:left="960" w:firstLine="604"/>
        <w:spacing w:after="0" w:line="237" w:lineRule="auto"/>
        <w:tabs>
          <w:tab w:leader="none" w:pos="235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PERMITTED BY APPLICABLE LAW, ANY OBJECTION THAT IT MAY NOW OR HEREAFTER HAVE TO THE LAYING OF VENUE OF ANY ACTION OR PROCEEDING ARISING OUT OF OR RELATING TO THIS AGREEMENT OR ANY OTHER LOAN DOCUMENT (EXCEPT, AS TO ANY OTHER LOAN DOCUMENT, AS EXPRESSLY SET FORTH THEREIN) IN ANY COURT REFERRED TO IN CLAUSE (A) OF THIS SECTION. EACH OF THE PARTIES HERETO HEREBY IRREVOCABLY WAIVES, TO THE FULLEST EXTENT PERMITTED BY APPLICABLE LAW (EXCEPT, AS TO ANY OTHER LOAN DOCUMENT, AS EXPRESSLY SET FORTH THEREIN), THE DEFENSE OF AN INCONVENIENT FORUM TO THE MAINTENANCE OF SUCH ACTION OR PROCEEDING IN ANY SUCH COURT.</w:t>
      </w:r>
    </w:p>
    <w:p>
      <w:pPr>
        <w:spacing w:after="0" w:line="208" w:lineRule="exact"/>
        <w:rPr>
          <w:rFonts w:ascii="Arial" w:cs="Arial" w:eastAsia="Arial" w:hAnsi="Arial"/>
          <w:sz w:val="18"/>
          <w:szCs w:val="18"/>
          <w:color w:val="auto"/>
        </w:rPr>
      </w:pPr>
    </w:p>
    <w:p>
      <w:pPr>
        <w:jc w:val="both"/>
        <w:ind w:left="960" w:firstLine="604"/>
        <w:spacing w:after="0" w:line="251" w:lineRule="auto"/>
        <w:tabs>
          <w:tab w:leader="none" w:pos="235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BUT EXCEPT, AS TO ANY OTHER LOAN DOCUMENT, AS EXPRESSLY SET FORTH THEREIN).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8" w:lineRule="exact"/>
        <w:rPr>
          <w:sz w:val="20"/>
          <w:szCs w:val="20"/>
          <w:color w:val="auto"/>
        </w:rPr>
      </w:pPr>
    </w:p>
    <w:p>
      <w:pPr>
        <w:jc w:val="both"/>
        <w:ind w:left="960" w:firstLine="602"/>
        <w:spacing w:after="0" w:line="267"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any number of counterparts and by the different parties hereto on separate counterparts, each of which when so executed and delivered shall be an original, but all of which shall together constitute one and the same instrument. A set of counterparts executed by all the parties hereto shall be lodged with the Borrower and the Administrative Agent. Delivery of an executed counterpart by facsimile or electronic transmission shall be as effective as delivery of an original executed counterpart. The words “execution”, “signed”, “signature”, “delivery” and words of like import in or relating to any document to be signed in connection with this Agreement and the transactions contemplated hereby shall be deemed to include any electronic sound, symbol or process attached to, or associated with, a contract or other record and adopted by a Person with the intent to sign, authenticate or accept such contract or record, and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w:t>
      </w:r>
    </w:p>
    <w:p>
      <w:pPr>
        <w:spacing w:after="0" w:line="185"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became effective on the Closing Date.</w:t>
      </w:r>
    </w:p>
    <w:p>
      <w:pPr>
        <w:spacing w:after="0" w:line="307" w:lineRule="exact"/>
        <w:rPr>
          <w:sz w:val="20"/>
          <w:szCs w:val="20"/>
          <w:color w:val="auto"/>
        </w:rPr>
      </w:pPr>
    </w:p>
    <w:p>
      <w:pPr>
        <w:jc w:val="both"/>
        <w:ind w:left="960" w:firstLine="602"/>
        <w:spacing w:after="0" w:line="263"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Headings Descriptive</w:t>
      </w:r>
      <w:r>
        <w:rPr>
          <w:rFonts w:ascii="Arial" w:cs="Arial" w:eastAsia="Arial" w:hAnsi="Arial"/>
          <w:sz w:val="18"/>
          <w:szCs w:val="18"/>
          <w:color w:val="auto"/>
        </w:rPr>
        <w:t>. The headings of the several sections and subsections of this Agreement are inserted for convenience only and shall not in any way affect the meaning or construction of any provision of this Agreement.</w:t>
      </w:r>
    </w:p>
    <w:p>
      <w:pPr>
        <w:spacing w:after="0" w:line="17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u w:val="single" w:color="auto"/>
          <w:color w:val="auto"/>
        </w:rPr>
        <w:t>Amendment or Waiver;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700"/>
          </w:cols>
          <w:pgMar w:left="360" w:top="1326" w:right="839" w:bottom="1440" w:gutter="0" w:footer="0" w:header="0"/>
        </w:sectPr>
      </w:pPr>
    </w:p>
    <w:bookmarkStart w:id="276" w:name="page277"/>
    <w:bookmarkEnd w:id="276"/>
    <w:p>
      <w:pPr>
        <w:jc w:val="both"/>
        <w:ind w:left="960" w:firstLine="604"/>
        <w:spacing w:after="0" w:line="263" w:lineRule="auto"/>
        <w:tabs>
          <w:tab w:leader="none" w:pos="2355" w:val="left"/>
        </w:tabs>
        <w:numPr>
          <w:ilvl w:val="1"/>
          <w:numId w:val="317"/>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neither this Agreement nor any other Loan Document nor any terms hereof or thereof may be changed, waived, discharged or terminated unless such change, waiver, discharge or termination is in writing signed by the respective Loan Parties party hereto or thereto and the Required Lenders (although additional parties may be added to (and annexes may be modified to reflect such additions), and Subsidiaries of the Borrower may be released from, the Guarantee and the Security Documents without the consent of the Required Lenders or all of the Lenders, as set forth below, in accordance with the provisions hereof and thereof that otherwise permit such release) (with a copy of all amendments provided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 waiver, discharge or termination shall, without the consent of each Lender, (i) release all or substantially all of the Collateral or all or substantially all of the value of the Guarantees under all the Security Documents or this Agreement, respectively (other than as permitted under the Loan Documents), (ii) reduce or increase the “majority” voting threshold specified in the definition of “Required Lenders” (it being understood that, with the consent of the Required Lenders, additional extensions of credit pursuant to this Agreement may be included in the determination of the Required Lenders on substantially the same basis as the extensions of Revolving Loan Commitments are included on the Closing Date) or</w:t>
      </w:r>
    </w:p>
    <w:p>
      <w:pPr>
        <w:spacing w:after="0" w:line="4" w:lineRule="exact"/>
        <w:rPr>
          <w:rFonts w:ascii="Arial" w:cs="Arial" w:eastAsia="Arial" w:hAnsi="Arial"/>
          <w:sz w:val="16"/>
          <w:szCs w:val="16"/>
          <w:color w:val="auto"/>
        </w:rPr>
      </w:pPr>
    </w:p>
    <w:p>
      <w:pPr>
        <w:jc w:val="both"/>
        <w:ind w:left="960" w:firstLine="2"/>
        <w:spacing w:after="0" w:line="263" w:lineRule="auto"/>
        <w:tabs>
          <w:tab w:leader="none" w:pos="1291"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amend, modify or waive the Lender Offer Right;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change, waiver, discharge or termination shall, without the consent of each Lender adversely affected thereby (other than, except with respect to following clause (i), a Defaulting Lender) (i)(x) extend the final scheduled maturity of any Commitment, Loan or Note or extend the stated expiration date of any Letter of Credit beyond the Revolving Loan Maturity Date or (y) reduce the rate or extend the time of payment of interest, premium or Fees thereon (except in connection with the waiver of applicability of any post-default increase in interest rates), or reduce (or forgive) the principal amount thereof (it being understood that any amendment or modification to the financial definitions in this Agreement, to </w:t>
      </w:r>
      <w:r>
        <w:rPr>
          <w:rFonts w:ascii="Arial" w:cs="Arial" w:eastAsia="Arial" w:hAnsi="Arial"/>
          <w:sz w:val="16"/>
          <w:szCs w:val="16"/>
          <w:u w:val="single" w:color="auto"/>
          <w:color w:val="auto"/>
        </w:rPr>
        <w:t>Section 1.5(a)</w:t>
      </w:r>
      <w:r>
        <w:rPr>
          <w:rFonts w:ascii="Arial" w:cs="Arial" w:eastAsia="Arial" w:hAnsi="Arial"/>
          <w:sz w:val="16"/>
          <w:szCs w:val="16"/>
          <w:color w:val="auto"/>
        </w:rPr>
        <w:t xml:space="preserve"> or pursuant to the terms of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not constitute a reduction in the rate of interest or Fees for the purposes of this clause (i)), (ii) amend, modify or waive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requirement provisions of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provision of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or any provision of this </w:t>
      </w:r>
      <w:r>
        <w:rPr>
          <w:rFonts w:ascii="Arial" w:cs="Arial" w:eastAsia="Arial" w:hAnsi="Arial"/>
          <w:sz w:val="16"/>
          <w:szCs w:val="16"/>
          <w:u w:val="single" w:color="auto"/>
          <w:color w:val="auto"/>
        </w:rPr>
        <w:t>Section 13.12(a)</w:t>
      </w:r>
      <w:r>
        <w:rPr>
          <w:rFonts w:ascii="Arial" w:cs="Arial" w:eastAsia="Arial" w:hAnsi="Arial"/>
          <w:sz w:val="16"/>
          <w:szCs w:val="16"/>
          <w:color w:val="auto"/>
        </w:rPr>
        <w:t xml:space="preserve"> (except for technical amendments with respect to additional extensions of credit pursuant to this Agreement which afford the protections to such additional extensions of credit of the type provided to the Revolving Loan Commitments on the Closing Date) or (iii) amend or modify the definition of the term “Alternate Currency” or the currency in which any Commitment, Loan or Note is denominated;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change, waiver, discharge or termination shall (1) increase the Commitments of any Lender over the amount thereof then in effect without the consent of such Lender (it being understood that waivers or modifications of conditions precedent, covenants, Defaults or Events of Default or of a mandatory reduction in the Total Commitment or a mandatory repayment of Loans shall not constitute an increase of the Commitment of any Lender, and that an increase in the available portion of any Commitment of any Lender shall not constitute an increase of the Commitment of such Lender), (2) without the consent of each Issuing Lender, amend, modify or waive any provision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alter its rights or obligations with respect to Letters of Credit or in its capacity as an Issuing Lender, (3) without the consent of the Swingline Lender, amend, modify or waive any provision of Section 2.1(d) or (e) or alter the Swingline Lender’s rights or obligations with respect to Swingline Loans or in its capacity as Swingline Lender, (4) without the consent of the Administrative Agent, amend, modify or waive any provision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any other provision as same relates to the rights or obligations of the Administrative Agent, (5) without the consent of Collateral Agent, amend, modify or waive any provision relating to the rights or obligations of the Collateral Agent or (6) amend, modify or waive this Agreement or the Security Documents so as to alter the ratable treatment of Obligations arising under the Loan Documents and Obligations arising under Swap Agreements or the definition of “Specified Swap Agreement,” “Qualified Counterparty,” “Swap Agreement,” “Obligations,” or “Secured Obligations” (as defined in any applicable Security Document) in each case in a manner adverse to any Qualified Counterparty with Obligations then outstanding without the written consent of any such Qualified Counterparty.</w:t>
      </w:r>
    </w:p>
    <w:p>
      <w:pPr>
        <w:spacing w:after="0" w:line="396" w:lineRule="exact"/>
        <w:rPr>
          <w:rFonts w:ascii="Arial" w:cs="Arial" w:eastAsia="Arial" w:hAnsi="Arial"/>
          <w:sz w:val="16"/>
          <w:szCs w:val="16"/>
          <w:color w:val="auto"/>
        </w:rPr>
      </w:pPr>
    </w:p>
    <w:p>
      <w:pPr>
        <w:ind w:left="960" w:right="20" w:firstLine="605"/>
        <w:spacing w:after="0" w:line="263" w:lineRule="auto"/>
        <w:tabs>
          <w:tab w:leader="none" w:pos="235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in connection with any amendment, waiver or modification of any Loan Document that would result in the contractual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720"/>
          </w:cols>
          <w:pgMar w:left="360" w:top="1326" w:right="819" w:bottom="1440" w:gutter="0" w:footer="0" w:header="0"/>
        </w:sectPr>
      </w:pPr>
    </w:p>
    <w:bookmarkStart w:id="277" w:name="page278"/>
    <w:bookmarkEnd w:id="277"/>
    <w:p>
      <w:pPr>
        <w:jc w:val="both"/>
        <w:ind w:left="960" w:right="20"/>
        <w:spacing w:after="0" w:line="242" w:lineRule="auto"/>
        <w:rPr>
          <w:sz w:val="20"/>
          <w:szCs w:val="20"/>
          <w:color w:val="auto"/>
        </w:rPr>
      </w:pPr>
      <w:r>
        <w:rPr>
          <w:rFonts w:ascii="Arial" w:cs="Arial" w:eastAsia="Arial" w:hAnsi="Arial"/>
          <w:sz w:val="18"/>
          <w:szCs w:val="18"/>
          <w:color w:val="auto"/>
        </w:rPr>
        <w:t>subordination of all or substantially all of the Liens or Obligations under the Loan Documents, at least 10 Business Days prior to the consummation thereof, the Borrower shall offer all Lenders the right to participate on a ratable basis in the applicable Indebtedness or other obligations to which the Liens or Obligations under the Loan Documents are proposed to be subordinated (the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 Right</w:t>
      </w:r>
      <w:r>
        <w:rPr>
          <w:rFonts w:ascii="Arial" w:cs="Arial" w:eastAsia="Arial" w:hAnsi="Arial"/>
          <w:sz w:val="18"/>
          <w:szCs w:val="18"/>
          <w:color w:val="auto"/>
        </w:rPr>
        <w:t>”).</w:t>
      </w:r>
    </w:p>
    <w:p>
      <w:pPr>
        <w:spacing w:after="0" w:line="281" w:lineRule="exact"/>
        <w:rPr>
          <w:sz w:val="20"/>
          <w:szCs w:val="20"/>
          <w:color w:val="auto"/>
        </w:rPr>
      </w:pPr>
    </w:p>
    <w:p>
      <w:pPr>
        <w:jc w:val="both"/>
        <w:ind w:left="960" w:right="20" w:firstLine="605"/>
        <w:spacing w:after="0" w:line="249" w:lineRule="auto"/>
        <w:tabs>
          <w:tab w:leader="none" w:pos="2355" w:val="left"/>
        </w:tabs>
        <w:numPr>
          <w:ilvl w:val="1"/>
          <w:numId w:val="319"/>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13.12(a)</w:t>
      </w:r>
      <w:r>
        <w:rPr>
          <w:rFonts w:ascii="Arial" w:cs="Arial" w:eastAsia="Arial" w:hAnsi="Arial"/>
          <w:sz w:val="17"/>
          <w:szCs w:val="17"/>
          <w:color w:val="auto"/>
        </w:rPr>
        <w:t xml:space="preserve"> (other than clause (1) of the second proviso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13.12(a)</w:t>
      </w:r>
      <w:r>
        <w:rPr>
          <w:rFonts w:ascii="Arial" w:cs="Arial" w:eastAsia="Arial" w:hAnsi="Arial"/>
          <w:sz w:val="17"/>
          <w:szCs w:val="17"/>
          <w:color w:val="auto"/>
        </w:rPr>
        <w:t>), this Agreement may be amended (or amended and restated) with the written consent of the Required Lenders, the Administrative Agent and the Borrower (i) to add one or more additional credit facilities to this Agreement or to increase the amount of the existing facilities under this Agreement and to permit the extensions of credit from time to time outstanding thereunder and the accrued interest and fees in respect thereof to share ratably in the benefits of this Agreement and the other Loan Documents with the Revolving Extensions of Credit and the accrued interest and fees in respect thereof,</w:t>
      </w:r>
    </w:p>
    <w:p>
      <w:pPr>
        <w:spacing w:after="0" w:line="2" w:lineRule="exact"/>
        <w:rPr>
          <w:rFonts w:ascii="Arial" w:cs="Arial" w:eastAsia="Arial" w:hAnsi="Arial"/>
          <w:sz w:val="17"/>
          <w:szCs w:val="17"/>
          <w:color w:val="auto"/>
        </w:rPr>
      </w:pPr>
    </w:p>
    <w:p>
      <w:pPr>
        <w:jc w:val="both"/>
        <w:ind w:left="960" w:right="20" w:firstLine="3"/>
        <w:spacing w:after="0" w:line="239" w:lineRule="auto"/>
        <w:tabs>
          <w:tab w:leader="none" w:pos="12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permit any such additional credit facility that is a revolving loan facility or any such increase in the Revolving Facility to share ratably in prepayments with the Revolving Facility and (iii) to include appropriately the Lenders holding such credit facilities in any determination of the Required Lenders.</w:t>
      </w:r>
    </w:p>
    <w:p>
      <w:pPr>
        <w:spacing w:after="0" w:line="193" w:lineRule="exact"/>
        <w:rPr>
          <w:rFonts w:ascii="Arial" w:cs="Arial" w:eastAsia="Arial" w:hAnsi="Arial"/>
          <w:sz w:val="18"/>
          <w:szCs w:val="18"/>
          <w:color w:val="auto"/>
        </w:rPr>
      </w:pPr>
    </w:p>
    <w:p>
      <w:pPr>
        <w:jc w:val="both"/>
        <w:ind w:left="960" w:right="20" w:firstLine="604"/>
        <w:spacing w:after="0" w:line="258" w:lineRule="auto"/>
        <w:tabs>
          <w:tab w:leader="none" w:pos="2353" w:val="left"/>
        </w:tabs>
        <w:numPr>
          <w:ilvl w:val="1"/>
          <w:numId w:val="320"/>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13.12(a)</w:t>
      </w:r>
      <w:r>
        <w:rPr>
          <w:rFonts w:ascii="Arial" w:cs="Arial" w:eastAsia="Arial" w:hAnsi="Arial"/>
          <w:sz w:val="17"/>
          <w:szCs w:val="17"/>
          <w:color w:val="auto"/>
        </w:rPr>
        <w:t xml:space="preserve">, this Agreement and the other Loan Documents may be amended in connection with any Permitted Amendment pursuant to a Loan Modification Offer in accordance with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the Administrative Agent and the Borrower may effect such amendments to this Agreement, any Intercreditor Agreement (or enter into a replacement thereof) and the other Loan Documents as may be necessary or appropriate, in the reasonable opinion of the Administrative Agent and the Borrower, to effect the terms of such Permitted Amendment).</w:t>
      </w:r>
    </w:p>
    <w:p>
      <w:pPr>
        <w:spacing w:after="0" w:line="190" w:lineRule="exact"/>
        <w:rPr>
          <w:rFonts w:ascii="Arial" w:cs="Arial" w:eastAsia="Arial" w:hAnsi="Arial"/>
          <w:sz w:val="17"/>
          <w:szCs w:val="17"/>
          <w:color w:val="auto"/>
        </w:rPr>
      </w:pPr>
    </w:p>
    <w:p>
      <w:pPr>
        <w:jc w:val="both"/>
        <w:ind w:left="960" w:firstLine="604"/>
        <w:spacing w:after="0" w:line="268" w:lineRule="auto"/>
        <w:tabs>
          <w:tab w:leader="none" w:pos="2355" w:val="left"/>
        </w:tabs>
        <w:numPr>
          <w:ilvl w:val="1"/>
          <w:numId w:val="320"/>
        </w:numPr>
        <w:rPr>
          <w:rFonts w:ascii="Arial" w:cs="Arial" w:eastAsia="Arial" w:hAnsi="Arial"/>
          <w:sz w:val="16"/>
          <w:szCs w:val="16"/>
          <w:color w:val="auto"/>
        </w:rPr>
      </w:pPr>
      <w:r>
        <w:rPr>
          <w:rFonts w:ascii="Arial" w:cs="Arial" w:eastAsia="Arial" w:hAnsi="Arial"/>
          <w:sz w:val="16"/>
          <w:szCs w:val="16"/>
          <w:color w:val="auto"/>
        </w:rPr>
        <w:t xml:space="preserve">In addition, notwithstanding the provisions of </w:t>
      </w:r>
      <w:r>
        <w:rPr>
          <w:rFonts w:ascii="Arial" w:cs="Arial" w:eastAsia="Arial" w:hAnsi="Arial"/>
          <w:sz w:val="16"/>
          <w:szCs w:val="16"/>
          <w:u w:val="single" w:color="auto"/>
          <w:color w:val="auto"/>
        </w:rPr>
        <w:t>Section 13.12(a)</w:t>
      </w:r>
      <w:r>
        <w:rPr>
          <w:rFonts w:ascii="Arial" w:cs="Arial" w:eastAsia="Arial" w:hAnsi="Arial"/>
          <w:sz w:val="16"/>
          <w:szCs w:val="16"/>
          <w:color w:val="auto"/>
        </w:rPr>
        <w:t xml:space="preserve"> (other than clause (1) of the second proviso in </w:t>
      </w:r>
      <w:r>
        <w:rPr>
          <w:rFonts w:ascii="Arial" w:cs="Arial" w:eastAsia="Arial" w:hAnsi="Arial"/>
          <w:sz w:val="16"/>
          <w:szCs w:val="16"/>
          <w:u w:val="single" w:color="auto"/>
          <w:color w:val="auto"/>
        </w:rPr>
        <w:t>Section 13.12(a)</w:t>
      </w:r>
      <w:r>
        <w:rPr>
          <w:rFonts w:ascii="Arial" w:cs="Arial" w:eastAsia="Arial" w:hAnsi="Arial"/>
          <w:sz w:val="16"/>
          <w:szCs w:val="16"/>
          <w:color w:val="auto"/>
        </w:rPr>
        <w:t xml:space="preserve">), this Agreement and the other Loan Documents may be amended or amended and restated as contemplated by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in connection with any Incremental Amendment and any related increase in or new Commitments or Loans, with the consent of the Borrower, the Administrative Agent (in its respective capacities as both administrative agent and collateral agent) and the Incremental Term Lenders or Incremental Revolving Lenders (as applicable) providing such increased or new Commitments or Loans (in each case, such consent not to be unreasonably withheld or delayed). If any Incremental Term Loans or Incremental Revolving Lenders are intended to have rights to share in the Collateral (either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or on a second lien, subordinated basis to the Obligations), then the Administrative Agent may enter into an Intercreditor Agreement (or amend, supplement or modify any existing Intercreditor Agreement) as may be necessary or appropriate, in the reasonable opinion of the Administrative Agent, to effect the terms of any such Incremental Term Loans or Incremental Revolving Loan Commitments.</w:t>
      </w:r>
    </w:p>
    <w:p>
      <w:pPr>
        <w:spacing w:after="0" w:line="190" w:lineRule="exact"/>
        <w:rPr>
          <w:sz w:val="20"/>
          <w:szCs w:val="20"/>
          <w:color w:val="auto"/>
        </w:rPr>
      </w:pPr>
    </w:p>
    <w:p>
      <w:pPr>
        <w:jc w:val="both"/>
        <w:ind w:left="960" w:right="20" w:firstLine="602"/>
        <w:spacing w:after="0" w:line="258" w:lineRule="auto"/>
        <w:rPr>
          <w:sz w:val="20"/>
          <w:szCs w:val="20"/>
          <w:color w:val="auto"/>
        </w:rPr>
      </w:pPr>
      <w:r>
        <w:rPr>
          <w:rFonts w:ascii="Arial" w:cs="Arial" w:eastAsia="Arial" w:hAnsi="Arial"/>
          <w:sz w:val="17"/>
          <w:szCs w:val="17"/>
          <w:color w:val="auto"/>
        </w:rPr>
        <w:t xml:space="preserve">(f)Notwithstanding the provisions of </w:t>
      </w:r>
      <w:r>
        <w:rPr>
          <w:rFonts w:ascii="Arial" w:cs="Arial" w:eastAsia="Arial" w:hAnsi="Arial"/>
          <w:sz w:val="17"/>
          <w:szCs w:val="17"/>
          <w:u w:val="single" w:color="auto"/>
          <w:color w:val="auto"/>
        </w:rPr>
        <w:t>Section 13.12(a)</w:t>
      </w:r>
      <w:r>
        <w:rPr>
          <w:rFonts w:ascii="Arial" w:cs="Arial" w:eastAsia="Arial" w:hAnsi="Arial"/>
          <w:sz w:val="17"/>
          <w:szCs w:val="17"/>
          <w:color w:val="auto"/>
        </w:rPr>
        <w:t xml:space="preserve">, this Agreement and the other Loan Documents may be amended or amended and restated as contemplated by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in connection with any Refinancing Amendment and the Lenders providing the Other Term Loans and Other Revolving Loans. In addition, the Administrative Agent may enter into an Intercreditor Agreement (or amend, supplement or modify and existing Intercreditor Agreement) as may be necessary or appropriate, in the reasonable opinion of the Administrative Agent, to effect the terms of any Other Term Loans and Other Revolving Loan.</w:t>
      </w:r>
    </w:p>
    <w:p>
      <w:pPr>
        <w:spacing w:after="0" w:line="178" w:lineRule="exact"/>
        <w:rPr>
          <w:sz w:val="20"/>
          <w:szCs w:val="20"/>
          <w:color w:val="auto"/>
        </w:rPr>
      </w:pPr>
    </w:p>
    <w:p>
      <w:pPr>
        <w:ind w:left="2160" w:hanging="595"/>
        <w:spacing w:after="0"/>
        <w:tabs>
          <w:tab w:leader="none" w:pos="2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31" w:lineRule="exact"/>
        <w:rPr>
          <w:rFonts w:ascii="Arial" w:cs="Arial" w:eastAsia="Arial" w:hAnsi="Arial"/>
          <w:sz w:val="18"/>
          <w:szCs w:val="18"/>
          <w:color w:val="auto"/>
        </w:rPr>
      </w:pPr>
    </w:p>
    <w:p>
      <w:pPr>
        <w:jc w:val="both"/>
        <w:ind w:left="960" w:right="20" w:firstLine="605"/>
        <w:spacing w:after="0" w:line="242" w:lineRule="auto"/>
        <w:tabs>
          <w:tab w:leader="none" w:pos="235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13.12</w:t>
      </w:r>
      <w:r>
        <w:rPr>
          <w:rFonts w:ascii="Arial" w:cs="Arial" w:eastAsia="Arial" w:hAnsi="Arial"/>
          <w:sz w:val="18"/>
          <w:szCs w:val="18"/>
          <w:color w:val="auto"/>
        </w:rPr>
        <w:t>, (x) Guarantor Joinder Agreements, Security Documents (including any Additional Security Documents) and related documents executed by Subsidiaries in connection with this Agreement may be in a form reasonably determined by the Administrative Agent and such documents and this Agreement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720"/>
          </w:cols>
          <w:pgMar w:left="360" w:top="1327" w:right="819" w:bottom="1440" w:gutter="0" w:footer="0" w:header="0"/>
        </w:sectPr>
      </w:pPr>
    </w:p>
    <w:bookmarkStart w:id="278" w:name="page279"/>
    <w:bookmarkEnd w:id="278"/>
    <w:p>
      <w:pPr>
        <w:ind w:left="960"/>
        <w:spacing w:after="0"/>
        <w:rPr>
          <w:sz w:val="20"/>
          <w:szCs w:val="20"/>
          <w:color w:val="auto"/>
        </w:rPr>
      </w:pPr>
      <w:r>
        <w:rPr>
          <w:rFonts w:ascii="Arial" w:cs="Arial" w:eastAsia="Arial" w:hAnsi="Arial"/>
          <w:sz w:val="16"/>
          <w:szCs w:val="16"/>
          <w:color w:val="auto"/>
        </w:rPr>
        <w:t>amended, supplemented and waived with the consent of the Administrative Agent and the Borrower without the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326390" cy="182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099"/>
          </w:cols>
          <w:pgMar w:left="360" w:top="1263" w:right="1440" w:bottom="1440" w:gutter="0" w:footer="0" w:header="0"/>
        </w:sectPr>
      </w:pPr>
    </w:p>
    <w:bookmarkStart w:id="279" w:name="page280"/>
    <w:bookmarkEnd w:id="279"/>
    <w:p>
      <w:pPr>
        <w:jc w:val="both"/>
        <w:ind w:left="960"/>
        <w:spacing w:after="0" w:line="249" w:lineRule="auto"/>
        <w:rPr>
          <w:sz w:val="20"/>
          <w:szCs w:val="20"/>
          <w:color w:val="auto"/>
        </w:rPr>
      </w:pPr>
      <w:r>
        <w:rPr>
          <w:rFonts w:ascii="Arial" w:cs="Arial" w:eastAsia="Arial" w:hAnsi="Arial"/>
          <w:sz w:val="17"/>
          <w:szCs w:val="17"/>
          <w:color w:val="auto"/>
        </w:rPr>
        <w:t>to obtain the consent of any other Person if such amendment, supplement or waiver is delivered in order (i) to comply with local law or advice of local counsel, (ii) to cure ambiguities, omissions, mistakes or defects or (iii) to cause such Security Document or other document to be consistent with this Agreement and the other Loan Documents and (y) if (A) the Administrative Agent and any Loan Party shall have jointly identified an ambiguity, inconsistency, obvious error or any error or omission of a technical or immaterial nature, in each case, in any provision of the Loan Documents (other than the Security Documents), then the Administrative Agent and the Loan Parties shall be permitted to amend such provision and such amendment shall become effective without any further action or consent of any other party to any Loan Documents or</w:t>
      </w:r>
    </w:p>
    <w:p>
      <w:pPr>
        <w:spacing w:after="0" w:line="1" w:lineRule="exact"/>
        <w:rPr>
          <w:sz w:val="20"/>
          <w:szCs w:val="20"/>
          <w:color w:val="auto"/>
        </w:rPr>
      </w:pPr>
    </w:p>
    <w:p>
      <w:pPr>
        <w:jc w:val="both"/>
        <w:ind w:left="960" w:right="20" w:firstLine="3"/>
        <w:spacing w:after="0" w:line="260" w:lineRule="auto"/>
        <w:tabs>
          <w:tab w:leader="none" w:pos="1756"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Borrower and the Administrative Agent have agreed to add any terms or conditions for the benefit of the Lenders (or any Class thereof), then the Administrative Agent and the Borrower shall be permitted to amend such provision and such amendment shall become effective without any further action or consent of any other party to any Loan Documents.</w:t>
      </w:r>
    </w:p>
    <w:p>
      <w:pPr>
        <w:spacing w:after="0" w:line="188" w:lineRule="exact"/>
        <w:rPr>
          <w:rFonts w:ascii="Arial" w:cs="Arial" w:eastAsia="Arial" w:hAnsi="Arial"/>
          <w:sz w:val="17"/>
          <w:szCs w:val="17"/>
          <w:color w:val="auto"/>
        </w:rPr>
      </w:pPr>
    </w:p>
    <w:p>
      <w:pPr>
        <w:jc w:val="both"/>
        <w:ind w:left="960" w:right="20" w:firstLine="604"/>
        <w:spacing w:after="0" w:line="250" w:lineRule="auto"/>
        <w:tabs>
          <w:tab w:leader="none" w:pos="176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13.12(a)</w:t>
      </w:r>
      <w:r>
        <w:rPr>
          <w:rFonts w:ascii="Arial" w:cs="Arial" w:eastAsia="Arial" w:hAnsi="Arial"/>
          <w:sz w:val="17"/>
          <w:szCs w:val="17"/>
          <w:color w:val="auto"/>
        </w:rPr>
        <w:t xml:space="preserve">, the Administrative Agent may amend an Intercreditor Agreement (or enter into a replacement thereof), Additional Security Documents or replacement Security Documents (including a collateral trust agreement) in connection with the incurrence of (i) any Indebtedness permitted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w:t>
      </w:r>
      <w:r>
        <w:rPr>
          <w:rFonts w:ascii="Arial" w:cs="Arial" w:eastAsia="Arial" w:hAnsi="Arial"/>
          <w:sz w:val="17"/>
          <w:szCs w:val="17"/>
          <w:color w:val="auto"/>
        </w:rPr>
        <w:t xml:space="preserve"> to provide that a Senior Representative acting on behalf of the holders of such Indebtedness shall become a party thereto and shall have rights to share in the Collateral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with the Obligations and (ii) any Indebtedness permitted under </w:t>
      </w:r>
      <w:r>
        <w:rPr>
          <w:rFonts w:ascii="Arial" w:cs="Arial" w:eastAsia="Arial" w:hAnsi="Arial"/>
          <w:sz w:val="17"/>
          <w:szCs w:val="17"/>
          <w:u w:val="single" w:color="auto"/>
          <w:color w:val="auto"/>
        </w:rPr>
        <w:t>Section</w:t>
      </w:r>
    </w:p>
    <w:p>
      <w:pPr>
        <w:spacing w:after="0" w:line="1" w:lineRule="exact"/>
        <w:rPr>
          <w:rFonts w:ascii="Arial" w:cs="Arial" w:eastAsia="Arial" w:hAnsi="Arial"/>
          <w:sz w:val="17"/>
          <w:szCs w:val="17"/>
          <w:color w:val="auto"/>
        </w:rPr>
      </w:pPr>
    </w:p>
    <w:p>
      <w:pPr>
        <w:jc w:val="both"/>
        <w:ind w:left="960" w:right="20"/>
        <w:spacing w:after="0" w:line="253" w:lineRule="auto"/>
        <w:rPr>
          <w:rFonts w:ascii="Arial" w:cs="Arial" w:eastAsia="Arial" w:hAnsi="Arial"/>
          <w:sz w:val="17"/>
          <w:szCs w:val="17"/>
          <w:color w:val="auto"/>
        </w:rPr>
      </w:pP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w:t>
      </w:r>
      <w:r>
        <w:rPr>
          <w:rFonts w:ascii="Arial" w:cs="Arial" w:eastAsia="Arial" w:hAnsi="Arial"/>
          <w:sz w:val="17"/>
          <w:szCs w:val="17"/>
          <w:color w:val="auto"/>
        </w:rPr>
        <w:t xml:space="preserve"> to provide that a Senior Representative acting on behalf of the holders of such Indebtedness shall become a party thereto and shall have rights to share in the Collateral on a second lien, subordinated basis to the Obligations and the obligations in respect of any Indebtedness described in clause (a)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Additional Security Document or replacement Security Document (including any collateral trust agreement) shall adversely affect the priority of the security interests securing the Obligations or otherwise materially and adversely affect the interests of the Secured Parties.</w:t>
      </w:r>
    </w:p>
    <w:p>
      <w:pPr>
        <w:spacing w:after="0" w:line="183"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indemnities set forth herein including, without limitation, in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w:t>
      </w:r>
      <w:r>
        <w:rPr>
          <w:rFonts w:ascii="Arial" w:cs="Arial" w:eastAsia="Arial" w:hAnsi="Arial"/>
          <w:sz w:val="18"/>
          <w:szCs w:val="18"/>
          <w:u w:val="single" w:color="auto"/>
          <w:color w:val="auto"/>
        </w:rPr>
        <w:t>12.6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w:t>
      </w:r>
      <w:r>
        <w:rPr>
          <w:rFonts w:ascii="Arial" w:cs="Arial" w:eastAsia="Arial" w:hAnsi="Arial"/>
          <w:sz w:val="18"/>
          <w:szCs w:val="18"/>
          <w:color w:val="auto"/>
        </w:rPr>
        <w:t xml:space="preserve"> shall survive the execution, delivery and termination of this Agreement and the Notes and the making and repayment of the Obligations.</w:t>
      </w:r>
    </w:p>
    <w:p>
      <w:pPr>
        <w:spacing w:after="0" w:line="198" w:lineRule="exact"/>
        <w:rPr>
          <w:sz w:val="20"/>
          <w:szCs w:val="20"/>
          <w:color w:val="auto"/>
        </w:rPr>
      </w:pPr>
    </w:p>
    <w:p>
      <w:pPr>
        <w:jc w:val="both"/>
        <w:ind w:left="960" w:firstLine="602"/>
        <w:spacing w:after="0" w:line="238"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Domicile of Loans</w:t>
      </w:r>
      <w:r>
        <w:rPr>
          <w:rFonts w:ascii="Arial" w:cs="Arial" w:eastAsia="Arial" w:hAnsi="Arial"/>
          <w:sz w:val="18"/>
          <w:szCs w:val="18"/>
          <w:color w:val="auto"/>
        </w:rPr>
        <w:t xml:space="preserve">. Each Lender may transfer and carry its Loans at, to or for the account of any office, Subsidiary or Affiliate of such Lender. Notwithstanding anything to the contrary contained herein, to the extent that a transfer of Loans pursuant to this </w:t>
      </w:r>
      <w:r>
        <w:rPr>
          <w:rFonts w:ascii="Arial" w:cs="Arial" w:eastAsia="Arial" w:hAnsi="Arial"/>
          <w:sz w:val="18"/>
          <w:szCs w:val="18"/>
          <w:u w:val="single" w:color="auto"/>
          <w:color w:val="auto"/>
        </w:rPr>
        <w:t>Section 13.14</w:t>
      </w:r>
      <w:r>
        <w:rPr>
          <w:rFonts w:ascii="Arial" w:cs="Arial" w:eastAsia="Arial" w:hAnsi="Arial"/>
          <w:sz w:val="18"/>
          <w:szCs w:val="18"/>
          <w:color w:val="auto"/>
        </w:rPr>
        <w:t xml:space="preserve"> would, at the time of such transfer, result in increased costs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from those being charged by the respective Lender prior to such transfer, then the Borrower shall not be obligated to pay such increased costs (although the Borrower shall be obligated to pay any other increased costs of the type described above resulting from changes in any applicable law, treaty, government rule, regulation, guideline or order, or in the official interpretation thereof, after the date of the respective transfer).</w:t>
      </w:r>
    </w:p>
    <w:p>
      <w:pPr>
        <w:spacing w:after="0" w:line="206" w:lineRule="exact"/>
        <w:rPr>
          <w:sz w:val="20"/>
          <w:szCs w:val="20"/>
          <w:color w:val="auto"/>
        </w:rPr>
      </w:pPr>
    </w:p>
    <w:p>
      <w:pPr>
        <w:jc w:val="both"/>
        <w:ind w:left="960" w:right="20" w:firstLine="602"/>
        <w:spacing w:after="0" w:line="251"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The Borrower hereby designates the Administrative Agent to serve as its non- fiduciary agent (and such agency being solely to the extent required for tax purposes), solely for purposes of this </w:t>
      </w:r>
      <w:r>
        <w:rPr>
          <w:rFonts w:ascii="Arial" w:cs="Arial" w:eastAsia="Arial" w:hAnsi="Arial"/>
          <w:sz w:val="17"/>
          <w:szCs w:val="17"/>
          <w:u w:val="single" w:color="auto"/>
          <w:color w:val="auto"/>
        </w:rPr>
        <w:t>Section 13.15</w:t>
      </w:r>
      <w:r>
        <w:rPr>
          <w:rFonts w:ascii="Arial" w:cs="Arial" w:eastAsia="Arial" w:hAnsi="Arial"/>
          <w:sz w:val="17"/>
          <w:szCs w:val="17"/>
          <w:color w:val="auto"/>
        </w:rPr>
        <w:t>, to maintain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on which it will record from time to time the name and address of each Lender and each Issuing Lender, the Commitments, the principal amounts (and related interest amounts) of the Loans, L/C Obligations and any other obligations under the Loan Documents, and the amounts of stated interest due thereon, owing to each Lender and each Issuing Lender pursuant the terms hereof and any Note. Failure to make any such recordation, or any error in such recordation, shall not affect the Borrower’s obligations in respect of such Loans, L/C Obligations or other obligations under the Loan Documents. With respect to any Lender or Issuing Lender, the transfer of the Commitments of such Lender or Issuing Lender and the rights to the principal of, and interest on, any Loans, L/C Obligations and any other obligations under the Loan Documents owing to such Lender or Issuing Lender shall not be effective until such transfer is recorded on the Register maintained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344805</wp:posOffset>
            </wp:positionV>
            <wp:extent cx="326390" cy="182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0720"/>
          </w:cols>
          <w:pgMar w:left="360" w:top="1326" w:right="819" w:bottom="1440" w:gutter="0" w:footer="0" w:header="0"/>
        </w:sectPr>
      </w:pPr>
    </w:p>
    <w:bookmarkStart w:id="280" w:name="page281"/>
    <w:bookmarkEnd w:id="280"/>
    <w:p>
      <w:pPr>
        <w:jc w:val="both"/>
        <w:ind w:left="960"/>
        <w:spacing w:after="0" w:line="249" w:lineRule="auto"/>
        <w:rPr>
          <w:sz w:val="20"/>
          <w:szCs w:val="20"/>
          <w:color w:val="auto"/>
        </w:rPr>
      </w:pPr>
      <w:r>
        <w:rPr>
          <w:rFonts w:ascii="Arial" w:cs="Arial" w:eastAsia="Arial" w:hAnsi="Arial"/>
          <w:sz w:val="17"/>
          <w:szCs w:val="17"/>
          <w:color w:val="auto"/>
        </w:rPr>
        <w:t xml:space="preserve">Administrative Agent and prior to such recordation all amounts owing to the transferor with respect to such Commitments and Loans, L/C Obligations and other obligations under the Loan Documents shall remain owing to the transferor. The registration of assignment or transfer of all or part of any Commitments, Loans, L/C Obligations or other obligations under the Loan Documents shall be recorded by the Administrative Agent on the Register upon and only upon the acceptance by the Administrative Agent of a properly executed and delivered Assignment and Assumption pursuant to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The entries in the Register shall be conclusive (absent manifest error) and upon such acceptance and recordation, the assignee specified therein shall be treated as a Lender or Issuing Lender for all purposes of this Agreement, notwithstanding any notice to the contrary. The Register shall be available for inspection by the Borrower and, as to entries pertaining to it, any Lender or Issuing Lender, at any reasonable time and from time to time upon reasonable prior notice. Coincident with the delivery of such an Assignment and Assumption to the Administrative Agent for acceptance and registration of assignment or transfer of all or part of a Loan, or as soon thereafter as practicable, the assigning or transferor Lender shall surrender the Note (if any) evidencing such Loan, and thereupon one or more new Notes in the same aggregate principal amount shall be issued to the assignee or transferee Lender at the request of any such Lender. The Borrower agrees to indemnify the Administrative Agent from and against any and all losses, claims, damages and liabilities of whatsoever nature which may be imposed on, asserted against or incurred by the Administrative Agent in performing its duties under this </w:t>
      </w:r>
      <w:r>
        <w:rPr>
          <w:rFonts w:ascii="Arial" w:cs="Arial" w:eastAsia="Arial" w:hAnsi="Arial"/>
          <w:sz w:val="17"/>
          <w:szCs w:val="17"/>
          <w:u w:val="single" w:color="auto"/>
          <w:color w:val="auto"/>
        </w:rPr>
        <w:t>Section 13.15</w:t>
      </w:r>
      <w:r>
        <w:rPr>
          <w:rFonts w:ascii="Arial" w:cs="Arial" w:eastAsia="Arial" w:hAnsi="Arial"/>
          <w:sz w:val="17"/>
          <w:szCs w:val="17"/>
          <w:color w:val="auto"/>
        </w:rPr>
        <w:t xml:space="preserve"> to the same extent that the Administrative Agent is otherwise indemnified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12.6</w:t>
      </w:r>
      <w:r>
        <w:rPr>
          <w:rFonts w:ascii="Arial" w:cs="Arial" w:eastAsia="Arial" w:hAnsi="Arial"/>
          <w:sz w:val="17"/>
          <w:szCs w:val="17"/>
          <w:color w:val="auto"/>
        </w:rPr>
        <w:t>.</w:t>
      </w:r>
    </w:p>
    <w:p>
      <w:pPr>
        <w:spacing w:after="0" w:line="279"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95" w:lineRule="exact"/>
        <w:rPr>
          <w:sz w:val="20"/>
          <w:szCs w:val="20"/>
          <w:color w:val="auto"/>
        </w:rPr>
      </w:pPr>
    </w:p>
    <w:p>
      <w:pPr>
        <w:jc w:val="both"/>
        <w:ind w:left="960" w:firstLine="604"/>
        <w:spacing w:after="0" w:line="248" w:lineRule="auto"/>
        <w:tabs>
          <w:tab w:leader="none" w:pos="2355"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Subject to the provisions of clause (b) of this </w:t>
      </w:r>
      <w:r>
        <w:rPr>
          <w:rFonts w:ascii="Arial" w:cs="Arial" w:eastAsia="Arial" w:hAnsi="Arial"/>
          <w:sz w:val="17"/>
          <w:szCs w:val="17"/>
          <w:u w:val="single" w:color="auto"/>
          <w:color w:val="auto"/>
        </w:rPr>
        <w:t>Section 13.16</w:t>
      </w:r>
      <w:r>
        <w:rPr>
          <w:rFonts w:ascii="Arial" w:cs="Arial" w:eastAsia="Arial" w:hAnsi="Arial"/>
          <w:sz w:val="17"/>
          <w:szCs w:val="17"/>
          <w:color w:val="auto"/>
        </w:rPr>
        <w:t>, each Lender, each Issuing Lender, the Swingline Lender, the Administrative Agent and the Collateral Agent (each, a “</w:t>
      </w:r>
      <w:r>
        <w:rPr>
          <w:rFonts w:ascii="Arial" w:cs="Arial" w:eastAsia="Arial" w:hAnsi="Arial"/>
          <w:sz w:val="17"/>
          <w:szCs w:val="17"/>
          <w:u w:val="single" w:color="auto"/>
          <w:color w:val="auto"/>
        </w:rPr>
        <w:t>Lender Party</w:t>
      </w:r>
      <w:r>
        <w:rPr>
          <w:rFonts w:ascii="Arial" w:cs="Arial" w:eastAsia="Arial" w:hAnsi="Arial"/>
          <w:sz w:val="17"/>
          <w:szCs w:val="17"/>
          <w:color w:val="auto"/>
        </w:rPr>
        <w:t xml:space="preserve">”) agrees that it will not disclose without the prior consent of the Borrower (other than to its employees, auditors, advisors, agents, representatives or counsel or to another Lender Party if such Lender Party or such Lender Party’s holding or parent company or other affiliate (other than affiliates that are engaged primarily as private equity investors (other than a limited number of senior employees who are required, in accordance with industry regulations or the Lender Party’s internal policies and procedures, to act in a supervisory capacity and the Lender Party’s internal legal, compliance, risk management, credit and investment committee members)) in its sole discretion determines that any such party should have access to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Persons shall be subject to the provisions of this </w:t>
      </w:r>
      <w:r>
        <w:rPr>
          <w:rFonts w:ascii="Arial" w:cs="Arial" w:eastAsia="Arial" w:hAnsi="Arial"/>
          <w:sz w:val="17"/>
          <w:szCs w:val="17"/>
          <w:u w:val="single" w:color="auto"/>
          <w:color w:val="auto"/>
        </w:rPr>
        <w:t>Section 13.16</w:t>
      </w:r>
      <w:r>
        <w:rPr>
          <w:rFonts w:ascii="Arial" w:cs="Arial" w:eastAsia="Arial" w:hAnsi="Arial"/>
          <w:sz w:val="17"/>
          <w:szCs w:val="17"/>
          <w:color w:val="auto"/>
        </w:rPr>
        <w:t xml:space="preserve"> to the same extent as such Lender Party) any information with respect to the Borrower or any of its Subsidiaries which is now or in the future furnished pursuant to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Party may disclose any such information (i) as has become generally available to the public other than by virtue of a breach of this </w:t>
      </w:r>
      <w:r>
        <w:rPr>
          <w:rFonts w:ascii="Arial" w:cs="Arial" w:eastAsia="Arial" w:hAnsi="Arial"/>
          <w:sz w:val="17"/>
          <w:szCs w:val="17"/>
          <w:u w:val="single" w:color="auto"/>
          <w:color w:val="auto"/>
        </w:rPr>
        <w:t>Section 13.16(a)</w:t>
      </w:r>
      <w:r>
        <w:rPr>
          <w:rFonts w:ascii="Arial" w:cs="Arial" w:eastAsia="Arial" w:hAnsi="Arial"/>
          <w:sz w:val="17"/>
          <w:szCs w:val="17"/>
          <w:color w:val="auto"/>
        </w:rPr>
        <w:t xml:space="preserve"> by the respective Lender Party, (ii) upon the request or demand of any regulatory authority (including any self-regulatory authority, such as the National Association of Insurance Commissioners) or as may be required or appropriate in any report, statement or testimony submitted to any municipal, state or federal regulatory body having or claiming to have jurisdiction over such Lender Party or to the Board or the Federal Deposit Insurance Corporation or similar organizations (whether in the United States or elsewhere) or their successors, (iii) as may be required or appropriate in respect to any summons or subpoena or in connection with any litigation, order of any court or administrative agency or in any pending legal or administrative proceeding, or otherwise as required by applicable law or compulsory legal process, (iv) to the Administrative Agent or the Collateral Agent, (v) to any direct or indirect contractual counterparty in any swap, hedge or similar agreement (or to any such contractual counterparty’s professional advisor), so long as such contractual counterparty (or such professional advisor) agrees to be bound by the provisions of this </w:t>
      </w:r>
      <w:r>
        <w:rPr>
          <w:rFonts w:ascii="Arial" w:cs="Arial" w:eastAsia="Arial" w:hAnsi="Arial"/>
          <w:sz w:val="17"/>
          <w:szCs w:val="17"/>
          <w:u w:val="single" w:color="auto"/>
          <w:color w:val="auto"/>
        </w:rPr>
        <w:t>Section 13.16</w:t>
      </w:r>
      <w:r>
        <w:rPr>
          <w:rFonts w:ascii="Arial" w:cs="Arial" w:eastAsia="Arial" w:hAnsi="Arial"/>
          <w:sz w:val="17"/>
          <w:szCs w:val="17"/>
          <w:color w:val="auto"/>
        </w:rPr>
        <w:t xml:space="preserve"> or substantially similar terms, (vi) to any prospective or actual transferee or Participant in connection with any contemplated transfer or participation of any of the Notes or Commitments or any interest therein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prospective transferee agrees to be bound by the confidentiality provisions contained in this </w:t>
      </w:r>
      <w:r>
        <w:rPr>
          <w:rFonts w:ascii="Arial" w:cs="Arial" w:eastAsia="Arial" w:hAnsi="Arial"/>
          <w:sz w:val="17"/>
          <w:szCs w:val="17"/>
          <w:u w:val="single" w:color="auto"/>
          <w:color w:val="auto"/>
        </w:rPr>
        <w:t>Section 13.16</w:t>
      </w:r>
      <w:r>
        <w:rPr>
          <w:rFonts w:ascii="Arial" w:cs="Arial" w:eastAsia="Arial" w:hAnsi="Arial"/>
          <w:sz w:val="17"/>
          <w:szCs w:val="17"/>
          <w:color w:val="auto"/>
        </w:rPr>
        <w:t xml:space="preserve"> or substantially similar terms (it being understood that the list of Disqualified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347980</wp:posOffset>
            </wp:positionV>
            <wp:extent cx="326390" cy="182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720"/>
          </w:cols>
          <w:pgMar w:left="360" w:top="1327" w:right="819" w:bottom="1440" w:gutter="0" w:footer="0" w:header="0"/>
        </w:sectPr>
      </w:pPr>
    </w:p>
    <w:bookmarkStart w:id="281" w:name="page282"/>
    <w:bookmarkEnd w:id="281"/>
    <w:p>
      <w:pPr>
        <w:jc w:val="both"/>
        <w:ind w:left="960"/>
        <w:spacing w:after="0" w:line="251" w:lineRule="auto"/>
        <w:rPr>
          <w:sz w:val="20"/>
          <w:szCs w:val="20"/>
          <w:color w:val="auto"/>
        </w:rPr>
      </w:pPr>
      <w:r>
        <w:rPr>
          <w:rFonts w:ascii="Arial" w:cs="Arial" w:eastAsia="Arial" w:hAnsi="Arial"/>
          <w:sz w:val="17"/>
          <w:szCs w:val="17"/>
          <w:color w:val="auto"/>
        </w:rPr>
        <w:t xml:space="preserve">Lenders may be disclosed to any prospective or actual transferee or Participant, in reliance on this clause (vi)), (vii) to any rating agency when required by it or the CUSIP Service Bureau or any similar agency in connection with the issuance or monitoring of CUSIP numbers or other market identifiers with respect to the credit provided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any disclosure, such rating agency shall undertake in writing to preserve the confidentiality of any confidential information relating to Loan Parties received by it from the Administrative Agent or any Lender, (viii) in connection with the exercise of any remedies hereunder or under any other Loan Document, (ix) to market data collectors, similar services providers to the lending industry, and service providers to the Administrative Agent and the Lenders in connection with the administration and management of this Agreement and the other Loan Documents and (x) to the extent such information becomes available to any Lender Party, or any Affiliates or any Related Persons of such Lender Parties, on a non-confidential basis from a source other than the Borrower or its Affiliates, other than by virtue of a breach of any confidentiality obligation owed by such Person to the Borrower or its Affiliates.</w:t>
      </w:r>
    </w:p>
    <w:p>
      <w:pPr>
        <w:spacing w:after="0" w:line="200" w:lineRule="exact"/>
        <w:rPr>
          <w:sz w:val="20"/>
          <w:szCs w:val="20"/>
          <w:color w:val="auto"/>
        </w:rPr>
      </w:pPr>
    </w:p>
    <w:p>
      <w:pPr>
        <w:jc w:val="both"/>
        <w:ind w:left="960" w:right="20" w:firstLine="604"/>
        <w:spacing w:after="0" w:line="262" w:lineRule="auto"/>
        <w:tabs>
          <w:tab w:leader="none" w:pos="2353"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The Borrower hereby acknowledges and agrees that each Lender Party may share with any of its affiliates, and such affiliates may share with such Lender Party, any information related to the Borrower or any of its Subsidiaries (including, without limitation, any non-public customer information regarding the creditworthiness of the Borrower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Persons shall be subject to the provisions of this </w:t>
      </w:r>
      <w:r>
        <w:rPr>
          <w:rFonts w:ascii="Arial" w:cs="Arial" w:eastAsia="Arial" w:hAnsi="Arial"/>
          <w:sz w:val="17"/>
          <w:szCs w:val="17"/>
          <w:u w:val="single" w:color="auto"/>
          <w:color w:val="auto"/>
        </w:rPr>
        <w:t>Section 13.16</w:t>
      </w:r>
      <w:r>
        <w:rPr>
          <w:rFonts w:ascii="Arial" w:cs="Arial" w:eastAsia="Arial" w:hAnsi="Arial"/>
          <w:sz w:val="17"/>
          <w:szCs w:val="17"/>
          <w:color w:val="auto"/>
        </w:rPr>
        <w:t xml:space="preserve"> to the same extent as such Lender Party.</w:t>
      </w:r>
    </w:p>
    <w:p>
      <w:pPr>
        <w:spacing w:after="0" w:line="249" w:lineRule="exact"/>
        <w:rPr>
          <w:rFonts w:ascii="Arial" w:cs="Arial" w:eastAsia="Arial" w:hAnsi="Arial"/>
          <w:sz w:val="17"/>
          <w:szCs w:val="17"/>
          <w:color w:val="auto"/>
        </w:rPr>
      </w:pPr>
    </w:p>
    <w:p>
      <w:pPr>
        <w:jc w:val="both"/>
        <w:ind w:left="960" w:firstLine="604"/>
        <w:spacing w:after="0"/>
        <w:tabs>
          <w:tab w:leader="none" w:pos="235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Lender Party acknowledges that (i) the information with respect to the Borrower or any of its Subsidiaries furnished pursuant to this Agreement or any other Loan Document may include material non-public information concerning the Borrower or any of its Subsidiaries,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94" w:lineRule="exact"/>
        <w:rPr>
          <w:sz w:val="20"/>
          <w:szCs w:val="20"/>
          <w:color w:val="auto"/>
        </w:rPr>
      </w:pPr>
    </w:p>
    <w:p>
      <w:pPr>
        <w:jc w:val="both"/>
        <w:ind w:left="960" w:right="20" w:firstLine="602"/>
        <w:spacing w:after="0" w:line="254" w:lineRule="auto"/>
        <w:rPr>
          <w:sz w:val="20"/>
          <w:szCs w:val="20"/>
          <w:color w:val="auto"/>
        </w:rPr>
      </w:pPr>
      <w:r>
        <w:rPr>
          <w:rFonts w:ascii="Arial" w:cs="Arial" w:eastAsia="Arial" w:hAnsi="Arial"/>
          <w:sz w:val="17"/>
          <w:szCs w:val="17"/>
          <w:color w:val="auto"/>
        </w:rPr>
        <w:t xml:space="preserve">13.17. </w:t>
      </w:r>
      <w:r>
        <w:rPr>
          <w:rFonts w:ascii="Arial" w:cs="Arial" w:eastAsia="Arial" w:hAnsi="Arial"/>
          <w:sz w:val="17"/>
          <w:szCs w:val="17"/>
          <w:u w:val="single" w:color="auto"/>
          <w:color w:val="auto"/>
        </w:rPr>
        <w:t>Patriot Act; Beneficial Ownership Regulation</w:t>
      </w:r>
      <w:r>
        <w:rPr>
          <w:rFonts w:ascii="Arial" w:cs="Arial" w:eastAsia="Arial" w:hAnsi="Arial"/>
          <w:sz w:val="17"/>
          <w:szCs w:val="17"/>
          <w:color w:val="auto"/>
        </w:rPr>
        <w:t>. Each Lender subject to the Patriot Act hereby notifies the Borrower that, pursuant to the requirements of the Patriot Act, it is required to obtain, verify and record information that identifies the Borrower and the other Loan Parties and other information that will allow such Lender to identify the Borrower and the other Loan Parties in accordance with the Patriot Act. The Borrower shall, promptly following a request by the Administrative Agent or any Lender (acting through the Administrative Agent), provide all documentation and other information that the Administrative Agent or such Lender reasonably requests in order to comply with its ongoing obligations under applicable “know your customer” and anti-money laundering rules and regulations, including the Patriot Act and the Beneficial Ownership Regulation.</w:t>
      </w:r>
    </w:p>
    <w:p>
      <w:pPr>
        <w:spacing w:after="0" w:line="194" w:lineRule="exact"/>
        <w:rPr>
          <w:sz w:val="20"/>
          <w:szCs w:val="20"/>
          <w:color w:val="auto"/>
        </w:rPr>
      </w:pPr>
    </w:p>
    <w:p>
      <w:pPr>
        <w:jc w:val="both"/>
        <w:ind w:left="960" w:right="20" w:firstLine="602"/>
        <w:spacing w:after="0" w:line="249" w:lineRule="auto"/>
        <w:rPr>
          <w:sz w:val="20"/>
          <w:szCs w:val="20"/>
          <w:color w:val="auto"/>
        </w:rPr>
      </w:pPr>
      <w:r>
        <w:rPr>
          <w:rFonts w:ascii="Arial" w:cs="Arial" w:eastAsia="Arial" w:hAnsi="Arial"/>
          <w:sz w:val="17"/>
          <w:szCs w:val="17"/>
          <w:color w:val="auto"/>
        </w:rPr>
        <w:t xml:space="preserve">13.18.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3" w:lineRule="exact"/>
        <w:rPr>
          <w:sz w:val="20"/>
          <w:szCs w:val="20"/>
          <w:color w:val="auto"/>
        </w:rPr>
      </w:pPr>
    </w:p>
    <w:p>
      <w:pPr>
        <w:jc w:val="both"/>
        <w:ind w:left="960" w:right="20" w:firstLine="2"/>
        <w:spacing w:after="0" w:line="239" w:lineRule="auto"/>
        <w:tabs>
          <w:tab w:leader="none" w:pos="175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6"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326390" cy="182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0720"/>
          </w:cols>
          <w:pgMar w:left="360" w:top="1326" w:right="819" w:bottom="1440" w:gutter="0" w:footer="0" w:header="0"/>
        </w:sectPr>
      </w:pPr>
    </w:p>
    <w:bookmarkStart w:id="282" w:name="page283"/>
    <w:bookmarkEnd w:id="282"/>
    <w:p>
      <w:pPr>
        <w:jc w:val="both"/>
        <w:ind w:left="960" w:firstLine="604"/>
        <w:spacing w:after="0" w:line="235" w:lineRule="auto"/>
        <w:tabs>
          <w:tab w:leader="none" w:pos="23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Loan Parties’ obligations hereunder and under the other Loan Documents to make payments in the respective Available Currency (the “</w:t>
      </w:r>
      <w:r>
        <w:rPr>
          <w:rFonts w:ascii="Arial" w:cs="Arial" w:eastAsia="Arial" w:hAnsi="Arial"/>
          <w:sz w:val="18"/>
          <w:szCs w:val="18"/>
          <w:u w:val="single" w:color="auto"/>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the Collateral Agent or the respective Lender of the full amount of the Obligation Currency expressed to be payable to the Administrative Agent, the Collateral Agent or such Lender under this Agreement or the other Loan Documents.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 amount due in the Obligation Currency, the conversion shall be made, at the applicable Alternate Currency Equivalent or the Dollar Equivalent thereof, as the case may be, and,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day on which the judgment is given (such day being hereinafter referred to as the “</w:t>
      </w:r>
      <w:r>
        <w:rPr>
          <w:rFonts w:ascii="Arial" w:cs="Arial" w:eastAsia="Arial" w:hAnsi="Arial"/>
          <w:sz w:val="18"/>
          <w:szCs w:val="18"/>
          <w:u w:val="single" w:color="auto"/>
          <w:color w:val="auto"/>
        </w:rPr>
        <w:t>Judgment Currency 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286" w:lineRule="exact"/>
        <w:rPr>
          <w:rFonts w:ascii="Arial" w:cs="Arial" w:eastAsia="Arial" w:hAnsi="Arial"/>
          <w:sz w:val="18"/>
          <w:szCs w:val="18"/>
          <w:color w:val="auto"/>
        </w:rPr>
      </w:pPr>
    </w:p>
    <w:p>
      <w:pPr>
        <w:jc w:val="both"/>
        <w:ind w:left="960" w:firstLine="604"/>
        <w:spacing w:after="0" w:line="239" w:lineRule="auto"/>
        <w:tabs>
          <w:tab w:leader="none" w:pos="235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Date and the date of actual payment of the amount due, the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92" w:lineRule="exact"/>
        <w:rPr>
          <w:rFonts w:ascii="Arial" w:cs="Arial" w:eastAsia="Arial" w:hAnsi="Arial"/>
          <w:sz w:val="18"/>
          <w:szCs w:val="18"/>
          <w:color w:val="auto"/>
        </w:rPr>
      </w:pPr>
    </w:p>
    <w:p>
      <w:pPr>
        <w:jc w:val="both"/>
        <w:ind w:left="960" w:right="20" w:firstLine="605"/>
        <w:spacing w:after="0" w:line="248" w:lineRule="auto"/>
        <w:tabs>
          <w:tab w:leader="none" w:pos="23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For purposes of determining the Dollar Equivalent or the applicable Alternate Currency Equivalent or any other rate of exchange for this </w:t>
      </w:r>
      <w:r>
        <w:rPr>
          <w:rFonts w:ascii="Arial" w:cs="Arial" w:eastAsia="Arial" w:hAnsi="Arial"/>
          <w:sz w:val="18"/>
          <w:szCs w:val="18"/>
          <w:u w:val="single" w:color="auto"/>
          <w:color w:val="auto"/>
        </w:rPr>
        <w:t>Section 13.19</w:t>
      </w:r>
      <w:r>
        <w:rPr>
          <w:rFonts w:ascii="Arial" w:cs="Arial" w:eastAsia="Arial" w:hAnsi="Arial"/>
          <w:sz w:val="18"/>
          <w:szCs w:val="18"/>
          <w:color w:val="auto"/>
        </w:rPr>
        <w:t>, such amounts shall include any premium and costs payable in connection with the purchase of the Obligation Currency.</w:t>
      </w:r>
    </w:p>
    <w:p>
      <w:pPr>
        <w:spacing w:after="0" w:line="198" w:lineRule="exact"/>
        <w:rPr>
          <w:sz w:val="20"/>
          <w:szCs w:val="20"/>
          <w:color w:val="auto"/>
        </w:rPr>
      </w:pPr>
    </w:p>
    <w:p>
      <w:pPr>
        <w:jc w:val="both"/>
        <w:ind w:left="960" w:firstLine="602"/>
        <w:spacing w:after="0" w:line="250"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202" w:lineRule="exact"/>
        <w:rPr>
          <w:sz w:val="20"/>
          <w:szCs w:val="20"/>
          <w:color w:val="auto"/>
        </w:rPr>
      </w:pPr>
    </w:p>
    <w:p>
      <w:pPr>
        <w:jc w:val="both"/>
        <w:ind w:left="960" w:right="20" w:firstLine="602"/>
        <w:spacing w:after="0" w:line="255" w:lineRule="auto"/>
        <w:rPr>
          <w:sz w:val="20"/>
          <w:szCs w:val="20"/>
          <w:color w:val="auto"/>
        </w:rPr>
      </w:pPr>
      <w:r>
        <w:rPr>
          <w:rFonts w:ascii="Arial" w:cs="Arial" w:eastAsia="Arial" w:hAnsi="Arial"/>
          <w:sz w:val="17"/>
          <w:szCs w:val="17"/>
          <w:color w:val="auto"/>
        </w:rPr>
        <w:t xml:space="preserve">13.21. </w:t>
      </w:r>
      <w:r>
        <w:rPr>
          <w:rFonts w:ascii="Arial" w:cs="Arial" w:eastAsia="Arial" w:hAnsi="Arial"/>
          <w:sz w:val="17"/>
          <w:szCs w:val="17"/>
          <w:u w:val="single" w:color="auto"/>
          <w:color w:val="auto"/>
        </w:rPr>
        <w:t>Electronic Execution</w:t>
      </w:r>
      <w:r>
        <w:rPr>
          <w:rFonts w:ascii="Arial" w:cs="Arial" w:eastAsia="Arial" w:hAnsi="Arial"/>
          <w:sz w:val="17"/>
          <w:szCs w:val="17"/>
          <w:color w:val="auto"/>
        </w:rPr>
        <w:t>. The words “execution,” “execute”, “signed,” “signature,” and words of like import in or related to any document to be signed in connection with this Agreement and the transactions contemplated hereby (including without limitation Assignment and Assumptions, amendments or other Notices of Borrowing, Notices of Conversion/Continuation,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0720"/>
          </w:cols>
          <w:pgMar w:left="360" w:top="1326" w:right="819" w:bottom="1440" w:gutter="0" w:footer="0" w:header="0"/>
        </w:sectPr>
      </w:pPr>
    </w:p>
    <w:bookmarkStart w:id="283" w:name="page284"/>
    <w:bookmarkEnd w:id="283"/>
    <w:p>
      <w:pPr>
        <w:jc w:val="both"/>
        <w:ind w:left="960" w:right="20"/>
        <w:spacing w:after="0" w:line="258" w:lineRule="auto"/>
        <w:rPr>
          <w:sz w:val="20"/>
          <w:szCs w:val="20"/>
          <w:color w:val="auto"/>
        </w:rPr>
      </w:pPr>
      <w:r>
        <w:rPr>
          <w:rFonts w:ascii="Arial" w:cs="Arial" w:eastAsia="Arial" w:hAnsi="Arial"/>
          <w:sz w:val="17"/>
          <w:szCs w:val="17"/>
          <w:color w:val="auto"/>
        </w:rPr>
        <w:t xml:space="preserve">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91" w:lineRule="exact"/>
        <w:rPr>
          <w:sz w:val="20"/>
          <w:szCs w:val="20"/>
          <w:color w:val="auto"/>
        </w:rPr>
      </w:pPr>
    </w:p>
    <w:p>
      <w:pPr>
        <w:jc w:val="both"/>
        <w:ind w:left="960" w:firstLine="602"/>
        <w:spacing w:after="0" w:line="264" w:lineRule="auto"/>
        <w:rPr>
          <w:sz w:val="20"/>
          <w:szCs w:val="20"/>
          <w:color w:val="auto"/>
        </w:rPr>
      </w:pPr>
      <w:r>
        <w:rPr>
          <w:rFonts w:ascii="Arial" w:cs="Arial" w:eastAsia="Arial" w:hAnsi="Arial"/>
          <w:sz w:val="16"/>
          <w:szCs w:val="16"/>
          <w:color w:val="auto"/>
        </w:rPr>
        <w:t xml:space="preserve">13.22.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arranging and other services regarding this Agreement provided by the Administrative Agent, the Joint Lead Arrangers and the Lenders are arm’s- length commercial transactions between the Loan Parties and their respective Affiliates, on the one hand, and the Administrative Agent, the Joint Lead Arrangers and the Lenders, on the other hand, (B) each Loan Party has consulted its own legal, accounting, regulatory and tax advisors to the extent it has deemed appropriate, and (C) each Loan Party is capable of evaluating, and understands and accepts, the terms, risks and conditions of the transactions contemplated hereby and by the other Loan Documents;</w:t>
      </w:r>
    </w:p>
    <w:p>
      <w:pPr>
        <w:spacing w:after="0" w:line="2" w:lineRule="exact"/>
        <w:rPr>
          <w:sz w:val="20"/>
          <w:szCs w:val="20"/>
          <w:color w:val="auto"/>
        </w:rPr>
      </w:pPr>
    </w:p>
    <w:p>
      <w:pPr>
        <w:jc w:val="both"/>
        <w:ind w:left="960" w:firstLine="2"/>
        <w:spacing w:after="0" w:line="249" w:lineRule="auto"/>
        <w:tabs>
          <w:tab w:leader="none" w:pos="1242"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 the Administrative Agent, the Joint Lead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Joint Lead Arrangers nor any Lender has any obligation to any Loan Party or any of their respective Affiliates with respect to the transactions contemplated hereby except those obligations expressly set forth herein and in the other Loan Documents; and (iii) the Administrative Agent, the Joint Lead Arrangers, the Lenders, and their respective Affiliates may be engaged in a broad range of transactions that involve interests that differ from those of the Loan Parties and their respective Affiliates, and neither the Administrative Agent, the Joint Lead Arrangers nor any Lender has any obligation to disclose any of such interests to any Loan Party or any of their respective Affiliates. To the fullest extent permitted by law, each Loan Party hereby waives and releases any claims that it may have against the Administrative Agent, the Joint Lead Arrangers and the Lenders with respect to any breach or alleged breach of agency or fiduciary duty in connection with any aspect of any transaction contemplated hereby.</w:t>
      </w:r>
    </w:p>
    <w:p>
      <w:pPr>
        <w:spacing w:after="0" w:line="186" w:lineRule="exact"/>
        <w:rPr>
          <w:sz w:val="20"/>
          <w:szCs w:val="20"/>
          <w:color w:val="auto"/>
        </w:rPr>
      </w:pPr>
    </w:p>
    <w:p>
      <w:pPr>
        <w:jc w:val="both"/>
        <w:ind w:left="960" w:right="20" w:firstLine="602"/>
        <w:spacing w:after="0" w:line="242" w:lineRule="auto"/>
        <w:rPr>
          <w:sz w:val="20"/>
          <w:szCs w:val="20"/>
          <w:color w:val="auto"/>
        </w:rPr>
      </w:pPr>
      <w:r>
        <w:rPr>
          <w:rFonts w:ascii="Arial" w:cs="Arial" w:eastAsia="Arial" w:hAnsi="Arial"/>
          <w:sz w:val="18"/>
          <w:szCs w:val="18"/>
          <w:color w:val="auto"/>
        </w:rPr>
        <w:t xml:space="preserve">13.23.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6" w:lineRule="exact"/>
        <w:rPr>
          <w:sz w:val="20"/>
          <w:szCs w:val="20"/>
          <w:color w:val="auto"/>
        </w:rPr>
      </w:pPr>
    </w:p>
    <w:p>
      <w:pPr>
        <w:jc w:val="both"/>
        <w:ind w:left="960" w:right="20" w:firstLine="601"/>
        <w:spacing w:after="0" w:line="254" w:lineRule="auto"/>
        <w:rPr>
          <w:sz w:val="20"/>
          <w:szCs w:val="20"/>
          <w:color w:val="auto"/>
        </w:rPr>
      </w:pPr>
      <w:r>
        <w:rPr>
          <w:rFonts w:ascii="Arial" w:cs="Arial" w:eastAsia="Arial" w:hAnsi="Arial"/>
          <w:sz w:val="17"/>
          <w:szCs w:val="17"/>
          <w:color w:val="auto"/>
        </w:rPr>
        <w:t xml:space="preserve">13.24.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the other Loan Documents and the provisions of the Commitment Letter that, by their terms, survive the execution of the Loan Documents and the Fee Letter represent the agreement of the parties hereto and thereto with respect to the subject matter hereof and thereof, and there are no promises, undertakings, representations or warranties by any such parties relative to subject matter hereof and thereof not expressly set forth or referred to herein, therein or in the other Loan Documents. It is expressly agreed and confirmed that the provisions of the Commitment Letter that, by their terms, survive the execution of the Loan Documents and the Fee Letter shall survive the execution and delivery of the Loan Documents, the occurrence of the Closing Date and shall continue in effect thereafter in accordance with their terms.</w:t>
      </w:r>
    </w:p>
    <w:p>
      <w:pPr>
        <w:spacing w:after="0" w:line="194"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 xml:space="preserve">13.25. </w:t>
      </w:r>
      <w:r>
        <w:rPr>
          <w:rFonts w:ascii="Arial" w:cs="Arial" w:eastAsia="Arial" w:hAnsi="Arial"/>
          <w:sz w:val="18"/>
          <w:szCs w:val="18"/>
          <w:u w:val="single" w:color="auto"/>
          <w:color w:val="auto"/>
        </w:rPr>
        <w:t>Financing Statement Authorization</w:t>
      </w:r>
      <w:r>
        <w:rPr>
          <w:rFonts w:ascii="Arial" w:cs="Arial" w:eastAsia="Arial" w:hAnsi="Arial"/>
          <w:sz w:val="18"/>
          <w:szCs w:val="18"/>
          <w:color w:val="auto"/>
        </w:rPr>
        <w:t>. The Collateral Agent is hereby authorized to file one or more financing statements (including fixture filings), continuation statements, filings with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326390" cy="182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0720"/>
          </w:cols>
          <w:pgMar w:left="360" w:top="1327" w:right="819" w:bottom="1440" w:gutter="0" w:footer="0" w:header="0"/>
        </w:sectPr>
      </w:pPr>
    </w:p>
    <w:bookmarkStart w:id="284" w:name="page285"/>
    <w:bookmarkEnd w:id="284"/>
    <w:p>
      <w:pPr>
        <w:jc w:val="both"/>
        <w:ind w:left="960" w:right="20"/>
        <w:spacing w:after="0" w:line="254" w:lineRule="auto"/>
        <w:rPr>
          <w:sz w:val="20"/>
          <w:szCs w:val="20"/>
          <w:color w:val="auto"/>
        </w:rPr>
      </w:pPr>
      <w:r>
        <w:rPr>
          <w:rFonts w:ascii="Arial" w:cs="Arial" w:eastAsia="Arial" w:hAnsi="Arial"/>
          <w:sz w:val="17"/>
          <w:szCs w:val="17"/>
          <w:color w:val="auto"/>
        </w:rPr>
        <w:t>States Patent and Trademark Office or United States Copyright Office (or any successor office or any similar office in any other country) or other documents for the purpose of perfecting, confirming, continuing, enforcing or protecting the security interest granted by each Guarantor, without the signature of any Guarantor, and naming any Guarantor or the Guarantors as debtors and the Collateral Agent as secured party. Each Guarantor authorizes the Collateral Agent to use the collateral description “all assets,” “all personal property, whether now existing or hereafter acquired,” “all of the debtor’s assets, whether now owned or hereafter acquired” or words of similar effect in any such financing statements filed or other filings for the purpose of perfecting, confirming, continuing, enforcing or protecting any security interest granted by such Guarantor under any Loan Document.</w:t>
      </w:r>
    </w:p>
    <w:p>
      <w:pPr>
        <w:spacing w:after="0" w:line="194"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13.26.</w:t>
      </w:r>
      <w:r>
        <w:rPr>
          <w:sz w:val="20"/>
          <w:szCs w:val="20"/>
          <w:color w:val="auto"/>
        </w:rPr>
        <w:tab/>
      </w:r>
      <w:r>
        <w:rPr>
          <w:rFonts w:ascii="Arial" w:cs="Arial" w:eastAsia="Arial" w:hAnsi="Arial"/>
          <w:sz w:val="17"/>
          <w:szCs w:val="17"/>
          <w:u w:val="single" w:color="auto"/>
          <w:color w:val="auto"/>
        </w:rPr>
        <w:t>Co-Borrowers</w:t>
      </w:r>
      <w:r>
        <w:rPr>
          <w:rFonts w:ascii="Arial" w:cs="Arial" w:eastAsia="Arial" w:hAnsi="Arial"/>
          <w:sz w:val="17"/>
          <w:szCs w:val="17"/>
          <w:color w:val="auto"/>
        </w:rPr>
        <w:t>.</w:t>
      </w:r>
    </w:p>
    <w:p>
      <w:pPr>
        <w:spacing w:after="0" w:line="295" w:lineRule="exact"/>
        <w:rPr>
          <w:sz w:val="20"/>
          <w:szCs w:val="20"/>
          <w:color w:val="auto"/>
        </w:rPr>
      </w:pPr>
    </w:p>
    <w:p>
      <w:pPr>
        <w:jc w:val="both"/>
        <w:ind w:left="960" w:right="20" w:firstLine="605"/>
        <w:spacing w:after="0"/>
        <w:tabs>
          <w:tab w:leader="none" w:pos="235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Without limiting their obligations as Guarantors, the Borrower may, in its sole discretion, in accordance with the provisions of this </w:t>
      </w:r>
      <w:r>
        <w:rPr>
          <w:rFonts w:ascii="Arial" w:cs="Arial" w:eastAsia="Arial" w:hAnsi="Arial"/>
          <w:sz w:val="18"/>
          <w:szCs w:val="18"/>
          <w:u w:val="single" w:color="auto"/>
          <w:color w:val="auto"/>
        </w:rPr>
        <w:t>Section 13.26</w:t>
      </w:r>
      <w:r>
        <w:rPr>
          <w:rFonts w:ascii="Arial" w:cs="Arial" w:eastAsia="Arial" w:hAnsi="Arial"/>
          <w:sz w:val="18"/>
          <w:szCs w:val="18"/>
          <w:color w:val="auto"/>
        </w:rPr>
        <w:t>, designate one or more of its direct or indirect Wholly Owned Restricted Subsidiaries organized in the United States to join this Agreement as co- borrowers under any Revolving Facility (each, a “</w:t>
      </w:r>
      <w:r>
        <w:rPr>
          <w:rFonts w:ascii="Arial" w:cs="Arial" w:eastAsia="Arial" w:hAnsi="Arial"/>
          <w:sz w:val="18"/>
          <w:szCs w:val="18"/>
          <w:u w:val="single" w:color="auto"/>
          <w:color w:val="auto"/>
        </w:rPr>
        <w:t>Co-Borrower</w:t>
      </w:r>
      <w:r>
        <w:rPr>
          <w:rFonts w:ascii="Arial" w:cs="Arial" w:eastAsia="Arial" w:hAnsi="Arial"/>
          <w:sz w:val="18"/>
          <w:szCs w:val="18"/>
          <w:color w:val="auto"/>
        </w:rPr>
        <w:t>”) hereunder and under all other Loan Documents, jointly and severally liable with respect to all applicable Obligations as primary obligors and not merely as sureties.</w:t>
      </w:r>
    </w:p>
    <w:p>
      <w:pPr>
        <w:spacing w:after="0" w:line="193" w:lineRule="exact"/>
        <w:rPr>
          <w:rFonts w:ascii="Arial" w:cs="Arial" w:eastAsia="Arial" w:hAnsi="Arial"/>
          <w:sz w:val="18"/>
          <w:szCs w:val="18"/>
          <w:color w:val="auto"/>
        </w:rPr>
      </w:pPr>
    </w:p>
    <w:p>
      <w:pPr>
        <w:jc w:val="both"/>
        <w:ind w:left="960" w:firstLine="604"/>
        <w:spacing w:after="0" w:line="248" w:lineRule="auto"/>
        <w:tabs>
          <w:tab w:leader="none" w:pos="235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In order to so designate a Co-Borrower, the Borrower shall, upon not less than 10 Business Days’ notice to the Administrative Agent (or such shorter period as may be agreed by the Administrative Agent), request that any such Wholly Owned Restricted Subsidiary (an “</w:t>
      </w:r>
      <w:r>
        <w:rPr>
          <w:rFonts w:ascii="Arial" w:cs="Arial" w:eastAsia="Arial" w:hAnsi="Arial"/>
          <w:sz w:val="17"/>
          <w:szCs w:val="17"/>
          <w:u w:val="single" w:color="auto"/>
          <w:color w:val="auto"/>
        </w:rPr>
        <w:t>Applicant Borrower</w:t>
      </w:r>
      <w:r>
        <w:rPr>
          <w:rFonts w:ascii="Arial" w:cs="Arial" w:eastAsia="Arial" w:hAnsi="Arial"/>
          <w:sz w:val="17"/>
          <w:szCs w:val="17"/>
          <w:color w:val="auto"/>
        </w:rPr>
        <w:t xml:space="preserve">”) become a Co-Borrower to receive, or become obligated with respect to, Loans under the applicable Facility by delivering to the Administrative Agent (which shall promptly deliver counterparts thereof to each applicable Lender) a duly executed notice and agreement in substantially the form of </w:t>
      </w:r>
      <w:r>
        <w:rPr>
          <w:rFonts w:ascii="Arial" w:cs="Arial" w:eastAsia="Arial" w:hAnsi="Arial"/>
          <w:sz w:val="17"/>
          <w:szCs w:val="17"/>
          <w:u w:val="single" w:color="auto"/>
          <w:color w:val="auto"/>
        </w:rPr>
        <w:t>Exhibit P</w:t>
      </w:r>
      <w:r>
        <w:rPr>
          <w:rFonts w:ascii="Arial" w:cs="Arial" w:eastAsia="Arial" w:hAnsi="Arial"/>
          <w:sz w:val="17"/>
          <w:szCs w:val="17"/>
          <w:color w:val="auto"/>
        </w:rPr>
        <w:t xml:space="preserve"> (a “</w:t>
      </w:r>
      <w:r>
        <w:rPr>
          <w:rFonts w:ascii="Arial" w:cs="Arial" w:eastAsia="Arial" w:hAnsi="Arial"/>
          <w:sz w:val="17"/>
          <w:szCs w:val="17"/>
          <w:u w:val="single" w:color="auto"/>
          <w:color w:val="auto"/>
        </w:rPr>
        <w:t>Co-Borrower Request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Assumption Agreement</w:t>
      </w:r>
      <w:r>
        <w:rPr>
          <w:rFonts w:ascii="Arial" w:cs="Arial" w:eastAsia="Arial" w:hAnsi="Arial"/>
          <w:sz w:val="17"/>
          <w:szCs w:val="17"/>
          <w:color w:val="auto"/>
        </w:rPr>
        <w:t xml:space="preserve">”). The parties hereto acknowledge and agree that prior to any Applicant Borrower becoming a Co-Borrower hereunder, (i) the obligations with respect to such Applicant Borrower becoming a Co-Borrower set forth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13.26</w:t>
      </w:r>
      <w:r>
        <w:rPr>
          <w:rFonts w:ascii="Arial" w:cs="Arial" w:eastAsia="Arial" w:hAnsi="Arial"/>
          <w:sz w:val="17"/>
          <w:szCs w:val="17"/>
          <w:color w:val="auto"/>
        </w:rPr>
        <w:t xml:space="preserve"> shall have been satisfied and (ii) for any Applicant Borrower, the Administrative Agent and the applicable Lenders shall have received (x) not more than 5 Business Days after the Borrower’s initial notice required above, the documentation and other information that are required by regulatory authorities under applicable “know-your-customer” rules and regulations, including the Patriot Act and the Beneficial Ownership Regulation and (y) such supporting resolutions, incumbency certificates, opinions of counsel, Security Documents and other documents or information, in form and substance reasonably satisfactory to the Administrative Agent, as may be required by the Administrative Agent in its reasonable discretion, and Notes signed by such new Co-Borrower to the extent any Lenders so require (the requirements set forth in the foregoing clauses (i) and (ii), the “</w:t>
      </w:r>
      <w:r>
        <w:rPr>
          <w:rFonts w:ascii="Arial" w:cs="Arial" w:eastAsia="Arial" w:hAnsi="Arial"/>
          <w:sz w:val="17"/>
          <w:szCs w:val="17"/>
          <w:u w:val="single" w:color="auto"/>
          <w:color w:val="auto"/>
        </w:rPr>
        <w:t>Co- Borrower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Requirements</w:t>
      </w:r>
      <w:r>
        <w:rPr>
          <w:rFonts w:ascii="Arial" w:cs="Arial" w:eastAsia="Arial" w:hAnsi="Arial"/>
          <w:sz w:val="17"/>
          <w:szCs w:val="17"/>
          <w:color w:val="auto"/>
        </w:rPr>
        <w:t xml:space="preserve">”). If the Co-Borrower Requirements are met, the Administrative Agent shall send a notice in substantially the form of </w:t>
      </w:r>
      <w:r>
        <w:rPr>
          <w:rFonts w:ascii="Arial" w:cs="Arial" w:eastAsia="Arial" w:hAnsi="Arial"/>
          <w:sz w:val="17"/>
          <w:szCs w:val="17"/>
          <w:u w:val="single" w:color="auto"/>
          <w:color w:val="auto"/>
        </w:rPr>
        <w:t>Exhibit Q</w:t>
      </w:r>
      <w:r>
        <w:rPr>
          <w:rFonts w:ascii="Arial" w:cs="Arial" w:eastAsia="Arial" w:hAnsi="Arial"/>
          <w:sz w:val="17"/>
          <w:szCs w:val="17"/>
          <w:color w:val="auto"/>
        </w:rPr>
        <w:t xml:space="preserve"> (a “</w:t>
      </w:r>
      <w:r>
        <w:rPr>
          <w:rFonts w:ascii="Arial" w:cs="Arial" w:eastAsia="Arial" w:hAnsi="Arial"/>
          <w:sz w:val="17"/>
          <w:szCs w:val="17"/>
          <w:u w:val="single" w:color="auto"/>
          <w:color w:val="auto"/>
        </w:rPr>
        <w:t>Co-Borrower Notice</w:t>
      </w:r>
      <w:r>
        <w:rPr>
          <w:rFonts w:ascii="Arial" w:cs="Arial" w:eastAsia="Arial" w:hAnsi="Arial"/>
          <w:sz w:val="17"/>
          <w:szCs w:val="17"/>
          <w:color w:val="auto"/>
        </w:rPr>
        <w:t xml:space="preserve">”) to the Borrower and the applicable Lenders specifying the effective date upon which the Applicant Borrower shall constitute a Co-Borrower for purposes hereof, whereupon each of the applicable Lenders agrees to permit such Co-Borrower to receive, or become obligated with respect to, Loans under the applicable Facility, on the terms and conditions set forth herein, and each of the parties agrees that such Co-Borrower otherwise shall be a Borrower for all purposes of this Agreement (and the term “Borrower” shall be deemed to include such Co- Borrower unless the context otherwise requires);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of Borrowing or Letter of Credit Request may be submitted by or on behalf of such Co-Borrower until the date five (5) Business Days after such effective date unless the Administrative Agent otherwise consents.</w:t>
      </w:r>
    </w:p>
    <w:p>
      <w:pPr>
        <w:spacing w:after="0" w:line="208" w:lineRule="exact"/>
        <w:rPr>
          <w:rFonts w:ascii="Arial" w:cs="Arial" w:eastAsia="Arial" w:hAnsi="Arial"/>
          <w:sz w:val="17"/>
          <w:szCs w:val="17"/>
          <w:color w:val="auto"/>
        </w:rPr>
      </w:pPr>
    </w:p>
    <w:p>
      <w:pPr>
        <w:jc w:val="both"/>
        <w:ind w:left="960" w:right="20" w:firstLine="604"/>
        <w:spacing w:after="0" w:line="242" w:lineRule="auto"/>
        <w:tabs>
          <w:tab w:leader="none" w:pos="235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The Obligations of the Borrower and each Co-Borrower shall be joint and several in nature. Each Subsidiary that becomes a Co-Borrower pursuant to this </w:t>
      </w:r>
      <w:r>
        <w:rPr>
          <w:rFonts w:ascii="Arial" w:cs="Arial" w:eastAsia="Arial" w:hAnsi="Arial"/>
          <w:sz w:val="18"/>
          <w:szCs w:val="18"/>
          <w:u w:val="single" w:color="auto"/>
          <w:color w:val="auto"/>
        </w:rPr>
        <w:t>Section 13.26</w:t>
      </w:r>
      <w:r>
        <w:rPr>
          <w:rFonts w:ascii="Arial" w:cs="Arial" w:eastAsia="Arial" w:hAnsi="Arial"/>
          <w:sz w:val="18"/>
          <w:szCs w:val="18"/>
          <w:color w:val="auto"/>
        </w:rPr>
        <w:t xml:space="preserve"> hereby irrevocably appoints the Borrower as its agent for all purposes relevant to this Agreement, each of the other Loan Documents and all other documents and electronic platforms entered into in connection herewith, including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326390" cy="182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720"/>
          </w:cols>
          <w:pgMar w:left="360" w:top="1326" w:right="819" w:bottom="1440" w:gutter="0" w:footer="0" w:header="0"/>
        </w:sectPr>
      </w:pPr>
    </w:p>
    <w:bookmarkStart w:id="285" w:name="page286"/>
    <w:bookmarkEnd w:id="285"/>
    <w:p>
      <w:pPr>
        <w:jc w:val="both"/>
        <w:ind w:left="960"/>
        <w:spacing w:after="0" w:line="255" w:lineRule="auto"/>
        <w:rPr>
          <w:sz w:val="20"/>
          <w:szCs w:val="20"/>
          <w:color w:val="auto"/>
        </w:rPr>
      </w:pPr>
      <w:r>
        <w:rPr>
          <w:rFonts w:ascii="Arial" w:cs="Arial" w:eastAsia="Arial" w:hAnsi="Arial"/>
          <w:sz w:val="17"/>
          <w:szCs w:val="17"/>
          <w:color w:val="auto"/>
        </w:rPr>
        <w:t>giving and receipt of notices and (ii) the execution and delivery of all documents, instruments and certificates contemplated herein and all modifications hereto. Any acknowledgment, consent, direction, certification or other action which might otherwise be valid or effective only if given or taken by the Borrower and all Co-Borrowers, or by the Borrower or each Co-Borrower acting singly, shall be valid and effective if given or taken only by the Borrower, whether or not any such other Co-Borrower joins therein. Any notice, demand, consent, acknowledgement, direction, certification or other communication delivered to the Borrower in accordance with the terms of this Agreement shall be deemed to have been delivered to each Co-Borrower.</w:t>
      </w:r>
    </w:p>
    <w:p>
      <w:pPr>
        <w:spacing w:after="0" w:line="196" w:lineRule="exact"/>
        <w:rPr>
          <w:sz w:val="20"/>
          <w:szCs w:val="20"/>
          <w:color w:val="auto"/>
        </w:rPr>
      </w:pPr>
    </w:p>
    <w:p>
      <w:pPr>
        <w:jc w:val="both"/>
        <w:ind w:left="960" w:right="20" w:firstLine="604"/>
        <w:spacing w:after="0" w:line="251" w:lineRule="auto"/>
        <w:tabs>
          <w:tab w:leader="none" w:pos="235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 xml:space="preserve">A Co-Borrower may elect to terminate its eligibility to request Borrowings and to cease to be a Co-Borrower hereunder upon the occurrence of, and such resignation shall effective upon, such resigning Co-Borrower having delivered to the Administrative Agent a notice of resignation in form and substance reasonably satisfactory to the Administrative Agent upon not less than 15 Business Days’ notice (or such shorter period as may be agreed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there are no outstanding Loans payable by such Co-Borrower, or other amounts payable by such Co-Borrower on account of any Loans made to it, as of the effective date of such termination and (ii) unless such Person is also released as a Guarantor in accordance with the terms of this Agreement, such resignation shall not, to the extent applicable, have any impact on such Person’s obligations as a Subsidiary Guarantor and such obligations, to the extent applicable, shall continue to be effective in accordance with this Agreement and the other provisions and undertakings hereunder related thereto. The Administrative Agent will promptly notify the Lenders of any such termination of a Co-Borrower’s status.</w:t>
      </w:r>
    </w:p>
    <w:p>
      <w:pPr>
        <w:spacing w:after="0" w:line="188" w:lineRule="exact"/>
        <w:rPr>
          <w:sz w:val="20"/>
          <w:szCs w:val="20"/>
          <w:color w:val="auto"/>
        </w:rPr>
      </w:pPr>
    </w:p>
    <w:p>
      <w:pPr>
        <w:jc w:val="both"/>
        <w:ind w:left="960" w:right="20" w:firstLine="605"/>
        <w:spacing w:after="0" w:line="242" w:lineRule="auto"/>
        <w:tabs>
          <w:tab w:leader="none" w:pos="235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To the extent any Co-Borrower is designated hereunder, notwithstanding anything to the contrary in this Agreement, the Borrower and the Administrative Agent shall be permitted to make such amendments to this Agreement and the other Loan Documents (without the consent of any Lender or any other party) as they reasonably deem necessary in order to effectuate the inclusion of such Co-Borrower.</w:t>
      </w:r>
    </w:p>
    <w:p>
      <w:pPr>
        <w:spacing w:after="0" w:line="206" w:lineRule="exact"/>
        <w:rPr>
          <w:sz w:val="20"/>
          <w:szCs w:val="20"/>
          <w:color w:val="auto"/>
        </w:rPr>
      </w:pPr>
    </w:p>
    <w:p>
      <w:pPr>
        <w:jc w:val="both"/>
        <w:ind w:left="960" w:firstLine="602"/>
        <w:spacing w:after="0" w:line="252" w:lineRule="auto"/>
        <w:rPr>
          <w:sz w:val="20"/>
          <w:szCs w:val="20"/>
          <w:color w:val="auto"/>
        </w:rPr>
      </w:pPr>
      <w:r>
        <w:rPr>
          <w:rFonts w:ascii="Arial" w:cs="Arial" w:eastAsia="Arial" w:hAnsi="Arial"/>
          <w:sz w:val="17"/>
          <w:szCs w:val="17"/>
          <w:color w:val="auto"/>
        </w:rPr>
        <w:t xml:space="preserve">13.27. </w:t>
      </w:r>
      <w:r>
        <w:rPr>
          <w:rFonts w:ascii="Arial" w:cs="Arial" w:eastAsia="Arial" w:hAnsi="Arial"/>
          <w:sz w:val="17"/>
          <w:szCs w:val="17"/>
          <w:u w:val="single" w:color="auto"/>
          <w:color w:val="auto"/>
        </w:rPr>
        <w:t>Reaffirmation</w:t>
      </w:r>
      <w:r>
        <w:rPr>
          <w:rFonts w:ascii="Arial" w:cs="Arial" w:eastAsia="Arial" w:hAnsi="Arial"/>
          <w:sz w:val="17"/>
          <w:szCs w:val="17"/>
          <w:color w:val="auto"/>
        </w:rPr>
        <w:t>. Each of the Loan Parties party hereto hereby consents to this Agreement and the transactions contemplated hereby and hereby confirms its guarantees, pledges, grants of security interests and other agreements, as applicable, under each of the Loan Documents to which it is party and agrees that, notwithstanding the effectiveness of this Agreement and the consummation of the transactions contemplated hereby (including, without limitation, the amendment and restatement of the Existing Credit Agreement), such guarantees, pledges, grants of security interests and other agreements of such Loan Parties shall continue to be in full force and effect and shall accrue to the benefit of the Secured Parties under this Agreement. Each of the Loan Parties party hereto further agrees to take any action that may be required under any applicable law or that is reasonably requested by the Administrative Agent to ensure compliance by the Borrower with Section 8.10 of this Agreement and hereby reaffirms its obligations under each similar provision of each Loan Document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326390" cy="182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326390" cy="18288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0720"/>
          </w:cols>
          <w:pgMar w:left="360" w:top="1326" w:right="819"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color w:val="auto"/>
        </w:rPr>
        <w:t>DocuSign Envelope ID: CAB322EE-7CBB-4980-A70B-CCC95D116690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20" w:firstLine="1204"/>
        <w:spacing w:after="0" w:line="263"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82" w:lineRule="exact"/>
        <w:rPr>
          <w:sz w:val="20"/>
          <w:szCs w:val="20"/>
          <w:color w:val="auto"/>
        </w:rPr>
      </w:pPr>
    </w:p>
    <w:p>
      <w:pPr>
        <w:ind w:left="920"/>
        <w:spacing w:after="0"/>
        <w:tabs>
          <w:tab w:leader="none" w:pos="3660" w:val="left"/>
        </w:tabs>
        <w:rPr>
          <w:sz w:val="20"/>
          <w:szCs w:val="20"/>
          <w:color w:val="auto"/>
        </w:rPr>
      </w:pPr>
      <w:r>
        <w:rPr>
          <w:sz w:val="1"/>
          <w:szCs w:val="1"/>
          <w:color w:val="auto"/>
        </w:rPr>
        <w:drawing>
          <wp:inline distT="0" distB="0" distL="0" distR="0">
            <wp:extent cx="812165" cy="37401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812165" cy="374015"/>
                    </a:xfrm>
                    <a:prstGeom prst="rect">
                      <a:avLst/>
                    </a:prstGeom>
                    <a:noFill/>
                    <a:ln>
                      <a:noFill/>
                    </a:ln>
                  </pic:spPr>
                </pic:pic>
              </a:graphicData>
            </a:graphic>
          </wp:inline>
        </w:drawing>
      </w:r>
      <w:r>
        <w:rPr>
          <w:rFonts w:ascii="Arial" w:cs="Arial" w:eastAsia="Arial" w:hAnsi="Arial"/>
          <w:sz w:val="20"/>
          <w:szCs w:val="20"/>
          <w:b w:val="1"/>
          <w:bCs w:val="1"/>
          <w:color w:val="auto"/>
        </w:rPr>
        <w:t>BORROWER:</w:t>
        <w:tab/>
        <w:t>LEGALZOOM.COM, INC.</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-8890</wp:posOffset>
            </wp:positionV>
            <wp:extent cx="1168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0"/>
          <w:szCs w:val="20"/>
          <w:color w:val="auto"/>
        </w:rPr>
        <w:t>Name: Noel Watson</w:t>
      </w:r>
    </w:p>
    <w:p>
      <w:pPr>
        <w:ind w:left="4900"/>
        <w:spacing w:after="0"/>
        <w:rPr>
          <w:sz w:val="20"/>
          <w:szCs w:val="20"/>
          <w:color w:val="auto"/>
        </w:rPr>
      </w:pPr>
      <w:r>
        <w:rPr>
          <w:rFonts w:ascii="Arial" w:cs="Arial" w:eastAsia="Arial" w:hAnsi="Arial"/>
          <w:sz w:val="20"/>
          <w:szCs w:val="20"/>
          <w:color w:val="auto"/>
        </w:rPr>
        <w:t>Title: Chief Financial Officer</w:t>
      </w:r>
    </w:p>
    <w:p>
      <w:pPr>
        <w:spacing w:after="0" w:line="375" w:lineRule="exact"/>
        <w:rPr>
          <w:sz w:val="20"/>
          <w:szCs w:val="20"/>
          <w:color w:val="auto"/>
        </w:rPr>
      </w:pPr>
    </w:p>
    <w:p>
      <w:pPr>
        <w:ind w:left="920"/>
        <w:spacing w:after="0"/>
        <w:tabs>
          <w:tab w:leader="none" w:pos="4400" w:val="left"/>
        </w:tabs>
        <w:rPr>
          <w:sz w:val="20"/>
          <w:szCs w:val="20"/>
          <w:color w:val="auto"/>
        </w:rPr>
      </w:pPr>
      <w:r>
        <w:rPr>
          <w:sz w:val="1"/>
          <w:szCs w:val="1"/>
          <w:color w:val="auto"/>
        </w:rPr>
        <w:drawing>
          <wp:inline distT="0" distB="0" distL="0" distR="0">
            <wp:extent cx="812165" cy="37401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812165" cy="374015"/>
                    </a:xfrm>
                    <a:prstGeom prst="rect">
                      <a:avLst/>
                    </a:prstGeom>
                    <a:noFill/>
                    <a:ln>
                      <a:noFill/>
                    </a:ln>
                  </pic:spPr>
                </pic:pic>
              </a:graphicData>
            </a:graphic>
          </wp:inline>
        </w:drawing>
      </w:r>
      <w:r>
        <w:rPr>
          <w:rFonts w:ascii="Arial" w:cs="Arial" w:eastAsia="Arial" w:hAnsi="Arial"/>
          <w:sz w:val="20"/>
          <w:szCs w:val="20"/>
          <w:b w:val="1"/>
          <w:bCs w:val="1"/>
          <w:color w:val="auto"/>
        </w:rPr>
        <w:t>LOAN GUARANTOR:</w:t>
      </w:r>
      <w:r>
        <w:rPr>
          <w:sz w:val="20"/>
          <w:szCs w:val="20"/>
          <w:color w:val="auto"/>
        </w:rPr>
        <w:tab/>
      </w:r>
      <w:r>
        <w:rPr>
          <w:rFonts w:ascii="Arial" w:cs="Arial" w:eastAsia="Arial" w:hAnsi="Arial"/>
          <w:sz w:val="19"/>
          <w:szCs w:val="19"/>
          <w:b w:val="1"/>
          <w:bCs w:val="1"/>
          <w:color w:val="auto"/>
        </w:rPr>
        <w:t>9900 SPECTRUM LLC</w:t>
      </w:r>
    </w:p>
    <w:p>
      <w:pPr>
        <w:spacing w:after="0" w:line="392"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20"/>
                <w:szCs w:val="20"/>
                <w:color w:val="auto"/>
                <w:w w:val="96"/>
              </w:rPr>
              <w:t>By:</w:t>
            </w:r>
          </w:p>
        </w:tc>
        <w:tc>
          <w:tcPr>
            <w:tcW w:w="360" w:type="dxa"/>
            <w:vAlign w:val="bottom"/>
          </w:tcPr>
          <w:p>
            <w:pPr>
              <w:spacing w:after="0"/>
              <w:rPr>
                <w:sz w:val="19"/>
                <w:szCs w:val="19"/>
                <w:color w:val="auto"/>
              </w:rPr>
            </w:pPr>
          </w:p>
        </w:tc>
        <w:tc>
          <w:tcPr>
            <w:tcW w:w="2040" w:type="dxa"/>
            <w:vAlign w:val="bottom"/>
          </w:tcPr>
          <w:p>
            <w:pPr>
              <w:jc w:val="center"/>
              <w:ind w:right="200"/>
              <w:spacing w:after="0"/>
              <w:rPr>
                <w:sz w:val="20"/>
                <w:szCs w:val="20"/>
                <w:color w:val="auto"/>
              </w:rPr>
            </w:pPr>
            <w:r>
              <w:rPr>
                <w:rFonts w:ascii="Arial" w:cs="Arial" w:eastAsia="Arial" w:hAnsi="Arial"/>
                <w:sz w:val="20"/>
                <w:szCs w:val="20"/>
                <w:color w:val="auto"/>
                <w:w w:val="90"/>
              </w:rPr>
              <w:t>Name: Noel Watson</w:t>
            </w: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53"/>
        </w:trPr>
        <w:tc>
          <w:tcPr>
            <w:tcW w:w="320" w:type="dxa"/>
            <w:vAlign w:val="bottom"/>
          </w:tcPr>
          <w:p>
            <w:pPr>
              <w:spacing w:after="0"/>
              <w:rPr>
                <w:sz w:val="22"/>
                <w:szCs w:val="22"/>
                <w:color w:val="auto"/>
              </w:rPr>
            </w:pP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96"/>
              </w:rPr>
              <w:t>Title: Chief Financial Officer</w:t>
            </w:r>
          </w:p>
        </w:tc>
      </w:tr>
    </w:tbl>
    <w:p>
      <w:pPr>
        <w:sectPr>
          <w:pgSz w:w="11900" w:h="16838" w:orient="portrait"/>
          <w:cols w:equalWidth="0" w:num="1">
            <w:col w:w="10340"/>
          </w:cols>
          <w:pgMar w:left="400" w:top="432" w:right="115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5"/>
          <w:szCs w:val="15"/>
          <w:color w:val="auto"/>
        </w:rPr>
        <w:t>[Signature Page to Credit Agreement]</w:t>
      </w:r>
    </w:p>
    <w:p>
      <w:pPr>
        <w:sectPr>
          <w:pgSz w:w="11900" w:h="16838" w:orient="portrait"/>
          <w:cols w:equalWidth="0" w:num="1">
            <w:col w:w="9019"/>
          </w:cols>
          <w:pgMar w:left="1440" w:top="817" w:right="1440" w:bottom="1440" w:gutter="0" w:footer="0" w:header="0"/>
        </w:sectPr>
      </w:pPr>
    </w:p>
    <w:bookmarkStart w:id="288" w:name="page289"/>
    <w:bookmarkEnd w:id="288"/>
    <w:p>
      <w:pPr>
        <w:ind w:left="4940"/>
        <w:spacing w:after="0"/>
        <w:rPr>
          <w:sz w:val="20"/>
          <w:szCs w:val="20"/>
          <w:color w:val="auto"/>
        </w:rPr>
      </w:pPr>
      <w:r>
        <w:rPr>
          <w:rFonts w:ascii="Arial" w:cs="Arial" w:eastAsia="Arial" w:hAnsi="Arial"/>
          <w:sz w:val="20"/>
          <w:szCs w:val="20"/>
          <w:color w:val="auto"/>
        </w:rPr>
        <w:t>JPMORGAN CHASE BANK, N.A.,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10795</wp:posOffset>
            </wp:positionV>
            <wp:extent cx="429895" cy="4857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429895"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99"/>
        <w:spacing w:after="0"/>
        <w:rPr>
          <w:sz w:val="20"/>
          <w:szCs w:val="20"/>
          <w:color w:val="auto"/>
        </w:rPr>
      </w:pPr>
      <w:r>
        <w:rPr>
          <w:rFonts w:ascii="Arial" w:cs="Arial" w:eastAsia="Arial" w:hAnsi="Arial"/>
          <w:sz w:val="20"/>
          <w:szCs w:val="20"/>
          <w:color w:val="auto"/>
        </w:rPr>
        <w:t>Administrative Agent, an Issuing Lender and a Lender</w:t>
      </w: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-12700</wp:posOffset>
            </wp:positionV>
            <wp:extent cx="1276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127635"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0"/>
          <w:szCs w:val="20"/>
          <w:color w:val="auto"/>
        </w:rPr>
        <w:t>Name: Jamal Toukhi 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269875</wp:posOffset>
            </wp:positionV>
            <wp:extent cx="3909695" cy="1752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909695" cy="1752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Amended and Restated Credit and Guaranty Agreement]</w:t>
      </w:r>
    </w:p>
    <w:p>
      <w:pPr>
        <w:sectPr>
          <w:pgSz w:w="11900" w:h="16838" w:orient="portrait"/>
          <w:cols w:equalWidth="0" w:num="1">
            <w:col w:w="10099"/>
          </w:cols>
          <w:pgMar w:left="360" w:top="1322" w:right="1440" w:bottom="1440"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2185670</wp:posOffset>
            </wp:positionH>
            <wp:positionV relativeFrom="page">
              <wp:posOffset>845185</wp:posOffset>
            </wp:positionV>
            <wp:extent cx="1361440" cy="4616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361440" cy="461645"/>
                    </a:xfrm>
                    <a:prstGeom prst="rect">
                      <a:avLst/>
                    </a:prstGeom>
                    <a:noFill/>
                  </pic:spPr>
                </pic:pic>
              </a:graphicData>
            </a:graphic>
          </wp:anchor>
        </w:drawing>
      </w:r>
    </w:p>
    <w:p>
      <w:pPr>
        <w:spacing w:after="0" w:line="272" w:lineRule="exact"/>
        <w:rPr>
          <w:sz w:val="20"/>
          <w:szCs w:val="20"/>
          <w:color w:val="auto"/>
        </w:rPr>
      </w:pPr>
    </w:p>
    <w:p>
      <w:pPr>
        <w:ind w:left="3080" w:right="1779" w:firstLine="2144"/>
        <w:spacing w:after="0" w:line="263" w:lineRule="auto"/>
        <w:rPr>
          <w:sz w:val="20"/>
          <w:szCs w:val="20"/>
          <w:color w:val="auto"/>
        </w:rPr>
      </w:pPr>
      <w:r>
        <w:rPr>
          <w:rFonts w:ascii="Arial" w:cs="Arial" w:eastAsia="Arial" w:hAnsi="Arial"/>
          <w:sz w:val="20"/>
          <w:szCs w:val="20"/>
          <w:color w:val="auto"/>
        </w:rPr>
        <w:t>Name of institution: Bank of America, N.A., as an Issuing Lender and a Lender</w:t>
      </w:r>
    </w:p>
    <w:p>
      <w:pPr>
        <w:spacing w:after="0" w:line="165"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400" w:type="dxa"/>
            <w:vAlign w:val="bottom"/>
            <w:gridSpan w:val="2"/>
          </w:tcPr>
          <w:p>
            <w:pPr>
              <w:spacing w:after="0"/>
              <w:rPr>
                <w:sz w:val="20"/>
                <w:szCs w:val="20"/>
                <w:color w:val="auto"/>
              </w:rPr>
            </w:pPr>
            <w:r>
              <w:rPr>
                <w:rFonts w:ascii="Arial" w:cs="Arial" w:eastAsia="Arial" w:hAnsi="Arial"/>
                <w:sz w:val="20"/>
                <w:szCs w:val="20"/>
                <w:color w:val="auto"/>
              </w:rPr>
              <w:t>By:</w:t>
            </w:r>
          </w:p>
        </w:tc>
        <w:tc>
          <w:tcPr>
            <w:tcW w:w="280" w:type="dxa"/>
            <w:vAlign w:val="bottom"/>
          </w:tcPr>
          <w:p>
            <w:pPr>
              <w:spacing w:after="0"/>
              <w:rPr>
                <w:sz w:val="19"/>
                <w:szCs w:val="19"/>
                <w:color w:val="auto"/>
              </w:rPr>
            </w:pPr>
          </w:p>
        </w:tc>
        <w:tc>
          <w:tcPr>
            <w:tcW w:w="2080" w:type="dxa"/>
            <w:vAlign w:val="bottom"/>
          </w:tcPr>
          <w:p>
            <w:pPr>
              <w:ind w:left="60"/>
              <w:spacing w:after="0"/>
              <w:rPr>
                <w:sz w:val="20"/>
                <w:szCs w:val="20"/>
                <w:color w:val="auto"/>
              </w:rPr>
            </w:pPr>
            <w:r>
              <w:rPr>
                <w:rFonts w:ascii="Arial" w:cs="Arial" w:eastAsia="Arial" w:hAnsi="Arial"/>
                <w:sz w:val="20"/>
                <w:szCs w:val="20"/>
                <w:color w:val="auto"/>
                <w:w w:val="90"/>
              </w:rPr>
              <w:t>Name: Lindsay Goldman</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3"/>
        </w:trPr>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gridSpan w:val="2"/>
          </w:tcPr>
          <w:p>
            <w:pPr>
              <w:ind w:left="120"/>
              <w:spacing w:after="0"/>
              <w:rPr>
                <w:sz w:val="20"/>
                <w:szCs w:val="20"/>
                <w:color w:val="auto"/>
              </w:rPr>
            </w:pPr>
            <w:r>
              <w:rPr>
                <w:rFonts w:ascii="Arial" w:cs="Arial" w:eastAsia="Arial" w:hAnsi="Arial"/>
                <w:sz w:val="20"/>
                <w:szCs w:val="20"/>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256540</wp:posOffset>
            </wp:positionV>
            <wp:extent cx="3909695" cy="1752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3909695" cy="1752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Amended and Restated Credit and Guaranty Agreement]</w:t>
      </w:r>
    </w:p>
    <w:p>
      <w:pPr>
        <w:sectPr>
          <w:pgSz w:w="11900" w:h="16838" w:orient="portrait"/>
          <w:cols w:equalWidth="0" w:num="1">
            <w:col w:w="10099"/>
          </w:cols>
          <w:pgMar w:left="360" w:top="1440" w:right="1440" w:bottom="1440" w:gutter="0" w:footer="0" w:header="0"/>
        </w:sectPr>
      </w:pPr>
    </w:p>
    <w:bookmarkStart w:id="290" w:name="page291"/>
    <w:bookmarkEnd w:id="290"/>
    <w:p>
      <w:pPr>
        <w:ind w:left="3080" w:right="1719" w:hanging="1"/>
        <w:spacing w:after="0" w:line="338" w:lineRule="auto"/>
        <w:rPr>
          <w:sz w:val="20"/>
          <w:szCs w:val="20"/>
          <w:color w:val="auto"/>
        </w:rPr>
      </w:pPr>
      <w:r>
        <w:rPr>
          <w:sz w:val="1"/>
          <w:szCs w:val="1"/>
          <w:color w:val="auto"/>
        </w:rPr>
        <w:drawing>
          <wp:inline distT="0" distB="0" distL="0" distR="0">
            <wp:extent cx="1242060" cy="36639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1242060" cy="366395"/>
                    </a:xfrm>
                    <a:prstGeom prst="rect">
                      <a:avLst/>
                    </a:prstGeom>
                    <a:noFill/>
                    <a:ln>
                      <a:noFill/>
                    </a:ln>
                  </pic:spPr>
                </pic:pic>
              </a:graphicData>
            </a:graphic>
          </wp:inline>
        </w:drawing>
      </w:r>
      <w:r>
        <w:rPr>
          <w:rFonts w:ascii="Arial" w:cs="Arial" w:eastAsia="Arial" w:hAnsi="Arial"/>
          <w:sz w:val="20"/>
          <w:szCs w:val="20"/>
          <w:color w:val="auto"/>
        </w:rPr>
        <w:t>Name of institution: BARCLAYS BANK PLC, as an Issuing Lender and a Lender</w:t>
      </w:r>
    </w:p>
    <w:p>
      <w:pPr>
        <w:spacing w:after="0" w:line="275"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400" w:type="dxa"/>
            <w:vAlign w:val="bottom"/>
            <w:gridSpan w:val="2"/>
          </w:tcPr>
          <w:p>
            <w:pPr>
              <w:spacing w:after="0"/>
              <w:rPr>
                <w:sz w:val="20"/>
                <w:szCs w:val="20"/>
                <w:color w:val="auto"/>
              </w:rPr>
            </w:pPr>
            <w:r>
              <w:rPr>
                <w:rFonts w:ascii="Arial" w:cs="Arial" w:eastAsia="Arial" w:hAnsi="Arial"/>
                <w:sz w:val="20"/>
                <w:szCs w:val="20"/>
                <w:color w:val="auto"/>
              </w:rPr>
              <w:t>By:</w:t>
            </w:r>
          </w:p>
        </w:tc>
        <w:tc>
          <w:tcPr>
            <w:tcW w:w="280" w:type="dxa"/>
            <w:vAlign w:val="bottom"/>
          </w:tcPr>
          <w:p>
            <w:pPr>
              <w:spacing w:after="0"/>
              <w:rPr>
                <w:sz w:val="19"/>
                <w:szCs w:val="19"/>
                <w:color w:val="auto"/>
              </w:rPr>
            </w:pPr>
          </w:p>
        </w:tc>
        <w:tc>
          <w:tcPr>
            <w:tcW w:w="1720" w:type="dxa"/>
            <w:vAlign w:val="bottom"/>
          </w:tcPr>
          <w:p>
            <w:pPr>
              <w:ind w:left="60"/>
              <w:spacing w:after="0"/>
              <w:rPr>
                <w:sz w:val="20"/>
                <w:szCs w:val="20"/>
                <w:color w:val="auto"/>
              </w:rPr>
            </w:pPr>
            <w:r>
              <w:rPr>
                <w:rFonts w:ascii="Arial" w:cs="Arial" w:eastAsia="Arial" w:hAnsi="Arial"/>
                <w:sz w:val="20"/>
                <w:szCs w:val="20"/>
                <w:color w:val="auto"/>
                <w:w w:val="87"/>
              </w:rPr>
              <w:t>Name: Sean Duggan</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3"/>
        </w:trPr>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2"/>
          </w:tcPr>
          <w:p>
            <w:pPr>
              <w:ind w:left="120"/>
              <w:spacing w:after="0"/>
              <w:rPr>
                <w:sz w:val="20"/>
                <w:szCs w:val="20"/>
                <w:color w:val="auto"/>
              </w:rPr>
            </w:pPr>
            <w:r>
              <w:rPr>
                <w:rFonts w:ascii="Arial" w:cs="Arial" w:eastAsia="Arial" w:hAnsi="Arial"/>
                <w:sz w:val="20"/>
                <w:szCs w:val="20"/>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256540</wp:posOffset>
            </wp:positionV>
            <wp:extent cx="3909695" cy="1752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3909695" cy="1752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Amended and Restated Credit and Guaranty Agreement]</w:t>
      </w:r>
    </w:p>
    <w:p>
      <w:pPr>
        <w:sectPr>
          <w:pgSz w:w="11900" w:h="16838" w:orient="portrait"/>
          <w:cols w:equalWidth="0" w:num="1">
            <w:col w:w="10099"/>
          </w:cols>
          <w:pgMar w:left="360" w:top="1343" w:right="1440" w:bottom="1440" w:gutter="0" w:footer="0" w:header="0"/>
        </w:sectPr>
      </w:pPr>
    </w:p>
    <w:bookmarkStart w:id="291" w:name="page292"/>
    <w:bookmarkEnd w:id="291"/>
    <w:p>
      <w:pPr>
        <w:ind w:left="1940"/>
        <w:spacing w:after="0"/>
        <w:rPr>
          <w:sz w:val="20"/>
          <w:szCs w:val="20"/>
          <w:color w:val="auto"/>
        </w:rPr>
      </w:pPr>
      <w:r>
        <w:rPr>
          <w:rFonts w:ascii="Arial" w:cs="Arial" w:eastAsia="Arial" w:hAnsi="Arial"/>
          <w:sz w:val="19"/>
          <w:szCs w:val="19"/>
          <w:color w:val="131313"/>
        </w:rPr>
        <w:t xml:space="preserve">Name of institution: </w:t>
      </w:r>
      <w:r>
        <w:rPr>
          <w:rFonts w:ascii="Arial" w:cs="Arial" w:eastAsia="Arial" w:hAnsi="Arial"/>
          <w:sz w:val="19"/>
          <w:szCs w:val="19"/>
          <w:color w:val="262626"/>
        </w:rPr>
        <w:t>Citibank.,, N.A.</w:t>
      </w:r>
    </w:p>
    <w:p>
      <w:pPr>
        <w:ind w:left="1920"/>
        <w:spacing w:after="0" w:line="198" w:lineRule="auto"/>
        <w:rPr>
          <w:sz w:val="20"/>
          <w:szCs w:val="20"/>
          <w:color w:val="auto"/>
        </w:rPr>
      </w:pPr>
      <w:r>
        <w:rPr>
          <w:rFonts w:ascii="Arial" w:cs="Arial" w:eastAsia="Arial" w:hAnsi="Arial"/>
          <w:sz w:val="21"/>
          <w:szCs w:val="21"/>
          <w:color w:val="131313"/>
        </w:rPr>
        <w:t>as an Issuing Lender and a Len»</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59"/>
          <w:szCs w:val="59"/>
          <w:i w:val="1"/>
          <w:iCs w:val="1"/>
          <w:color w:val="262626"/>
        </w:rPr>
        <w:t xml:space="preserve">Q)\ </w:t>
      </w:r>
      <w:r>
        <w:rPr>
          <w:rFonts w:ascii="Arial" w:cs="Arial" w:eastAsia="Arial" w:hAnsi="Arial"/>
          <w:sz w:val="59"/>
          <w:szCs w:val="59"/>
          <w:color w:val="262626"/>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-266700</wp:posOffset>
            </wp:positionV>
            <wp:extent cx="2261235" cy="135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2261235" cy="135255"/>
                    </a:xfrm>
                    <a:prstGeom prst="rect">
                      <a:avLst/>
                    </a:prstGeom>
                    <a:noFill/>
                  </pic:spPr>
                </pic:pic>
              </a:graphicData>
            </a:graphic>
          </wp:anchor>
        </w:drawing>
      </w:r>
    </w:p>
    <w:p>
      <w:pPr>
        <w:spacing w:after="0" w:line="49" w:lineRule="exact"/>
        <w:rPr>
          <w:sz w:val="20"/>
          <w:szCs w:val="20"/>
          <w:color w:val="auto"/>
        </w:rPr>
      </w:pPr>
    </w:p>
    <w:p>
      <w:pPr>
        <w:ind w:left="3620"/>
        <w:spacing w:after="0"/>
        <w:rPr>
          <w:sz w:val="20"/>
          <w:szCs w:val="20"/>
          <w:color w:val="auto"/>
        </w:rPr>
      </w:pPr>
      <w:r>
        <w:rPr>
          <w:rFonts w:ascii="Arial" w:cs="Arial" w:eastAsia="Arial" w:hAnsi="Arial"/>
          <w:sz w:val="19"/>
          <w:szCs w:val="19"/>
          <w:color w:val="262626"/>
        </w:rPr>
        <w:t xml:space="preserve">Name: </w:t>
      </w:r>
      <w:r>
        <w:rPr>
          <w:rFonts w:ascii="Arial" w:cs="Arial" w:eastAsia="Arial" w:hAnsi="Arial"/>
          <w:sz w:val="19"/>
          <w:szCs w:val="19"/>
          <w:color w:val="131313"/>
        </w:rPr>
        <w:t>Varun Gupta</w:t>
      </w:r>
      <w:r>
        <w:rPr>
          <w:rFonts w:ascii="Arial" w:cs="Arial" w:eastAsia="Arial" w:hAnsi="Arial"/>
          <w:sz w:val="19"/>
          <w:szCs w:val="19"/>
          <w:color w:val="262626"/>
        </w:rPr>
        <w:t xml:space="preserve"> Title: </w:t>
      </w:r>
      <w:r>
        <w:rPr>
          <w:rFonts w:ascii="Arial" w:cs="Arial" w:eastAsia="Arial" w:hAnsi="Arial"/>
          <w:sz w:val="19"/>
          <w:szCs w:val="19"/>
          <w:color w:val="131313"/>
        </w:rPr>
        <w:t>Director</w:t>
      </w:r>
    </w:p>
    <w:p>
      <w:pPr>
        <w:spacing w:after="0" w:line="200" w:lineRule="exact"/>
        <w:rPr>
          <w:sz w:val="20"/>
          <w:szCs w:val="20"/>
          <w:color w:val="auto"/>
        </w:rPr>
      </w:pPr>
    </w:p>
    <w:p>
      <w:pPr>
        <w:spacing w:after="0" w:line="334" w:lineRule="exact"/>
        <w:rPr>
          <w:sz w:val="20"/>
          <w:szCs w:val="20"/>
          <w:color w:val="auto"/>
        </w:rPr>
      </w:pPr>
    </w:p>
    <w:p>
      <w:pPr>
        <w:jc w:val="right"/>
        <w:ind w:right="699"/>
        <w:spacing w:after="0"/>
        <w:rPr>
          <w:sz w:val="20"/>
          <w:szCs w:val="20"/>
          <w:color w:val="auto"/>
        </w:rPr>
      </w:pPr>
      <w:r>
        <w:rPr>
          <w:rFonts w:ascii="Arial" w:cs="Arial" w:eastAsia="Arial" w:hAnsi="Arial"/>
          <w:sz w:val="19"/>
          <w:szCs w:val="19"/>
          <w:color w:val="262626"/>
        </w:rPr>
        <w:t xml:space="preserve">For </w:t>
      </w:r>
      <w:r>
        <w:rPr>
          <w:rFonts w:ascii="Arial" w:cs="Arial" w:eastAsia="Arial" w:hAnsi="Arial"/>
          <w:sz w:val="19"/>
          <w:szCs w:val="19"/>
          <w:color w:val="131313"/>
        </w:rPr>
        <w:t>any institution requiring a second signature block:</w:t>
      </w:r>
    </w:p>
    <w:p>
      <w:pPr>
        <w:spacing w:after="0" w:line="200" w:lineRule="exact"/>
        <w:rPr>
          <w:sz w:val="20"/>
          <w:szCs w:val="20"/>
          <w:color w:val="auto"/>
        </w:rPr>
      </w:pPr>
    </w:p>
    <w:p>
      <w:pPr>
        <w:spacing w:after="0" w:line="259" w:lineRule="exact"/>
        <w:rPr>
          <w:sz w:val="20"/>
          <w:szCs w:val="20"/>
          <w:color w:val="auto"/>
        </w:rPr>
      </w:pPr>
    </w:p>
    <w:p>
      <w:pPr>
        <w:ind w:left="3100"/>
        <w:spacing w:after="0"/>
        <w:tabs>
          <w:tab w:leader="none" w:pos="3780" w:val="left"/>
        </w:tabs>
        <w:rPr>
          <w:sz w:val="20"/>
          <w:szCs w:val="20"/>
          <w:color w:val="auto"/>
        </w:rPr>
      </w:pPr>
      <w:r>
        <w:rPr>
          <w:rFonts w:ascii="Arial" w:cs="Arial" w:eastAsia="Arial" w:hAnsi="Arial"/>
          <w:sz w:val="19"/>
          <w:szCs w:val="19"/>
          <w:color w:val="131313"/>
        </w:rPr>
        <w:t>By:</w:t>
      </w:r>
      <w:r>
        <w:rPr>
          <w:sz w:val="20"/>
          <w:szCs w:val="20"/>
          <w:color w:val="auto"/>
        </w:rPr>
        <w:tab/>
      </w:r>
      <w:r>
        <w:rPr>
          <w:rFonts w:ascii="Arial" w:cs="Arial" w:eastAsia="Arial" w:hAnsi="Arial"/>
          <w:sz w:val="19"/>
          <w:szCs w:val="19"/>
          <w:color w:val="26262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-11430</wp:posOffset>
            </wp:positionV>
            <wp:extent cx="2438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243840" cy="825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19"/>
          <w:szCs w:val="19"/>
          <w:color w:val="131313"/>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Arial" w:cs="Arial" w:eastAsia="Arial" w:hAnsi="Arial"/>
          <w:sz w:val="15"/>
          <w:szCs w:val="15"/>
          <w:color w:val="131313"/>
        </w:rPr>
        <w:t xml:space="preserve">[Signature </w:t>
      </w:r>
      <w:r>
        <w:rPr>
          <w:rFonts w:ascii="Arial" w:cs="Arial" w:eastAsia="Arial" w:hAnsi="Arial"/>
          <w:sz w:val="15"/>
          <w:szCs w:val="15"/>
          <w:color w:val="262626"/>
        </w:rPr>
        <w:t>Page</w:t>
      </w:r>
      <w:r>
        <w:rPr>
          <w:rFonts w:ascii="Arial" w:cs="Arial" w:eastAsia="Arial" w:hAnsi="Arial"/>
          <w:sz w:val="15"/>
          <w:szCs w:val="15"/>
          <w:color w:val="131313"/>
        </w:rPr>
        <w:t xml:space="preserve"> to </w:t>
      </w:r>
      <w:r>
        <w:rPr>
          <w:rFonts w:ascii="Arial" w:cs="Arial" w:eastAsia="Arial" w:hAnsi="Arial"/>
          <w:sz w:val="15"/>
          <w:szCs w:val="15"/>
          <w:color w:val="262626"/>
        </w:rPr>
        <w:t>Amend</w:t>
      </w:r>
      <w:r>
        <w:rPr>
          <w:rFonts w:ascii="Arial" w:cs="Arial" w:eastAsia="Arial" w:hAnsi="Arial"/>
          <w:sz w:val="15"/>
          <w:szCs w:val="15"/>
          <w:color w:val="525254"/>
        </w:rPr>
        <w:t>e</w:t>
      </w:r>
      <w:r>
        <w:rPr>
          <w:rFonts w:ascii="Arial" w:cs="Arial" w:eastAsia="Arial" w:hAnsi="Arial"/>
          <w:sz w:val="15"/>
          <w:szCs w:val="15"/>
          <w:color w:val="262626"/>
        </w:rPr>
        <w:t>d and Restated Credit and Guaranty Agreement)</w:t>
      </w:r>
    </w:p>
    <w:p>
      <w:pPr>
        <w:sectPr>
          <w:pgSz w:w="11900" w:h="16838" w:orient="portrait"/>
          <w:cols w:equalWidth="0" w:num="1">
            <w:col w:w="9019"/>
          </w:cols>
          <w:pgMar w:left="1440" w:top="1256" w:right="1440" w:bottom="1440" w:gutter="0" w:footer="0" w:header="0"/>
        </w:sectPr>
      </w:pPr>
    </w:p>
    <w:bookmarkStart w:id="292" w:name="page293"/>
    <w:bookmarkEnd w:id="292"/>
    <w:p>
      <w:pPr>
        <w:ind w:left="3080" w:right="199" w:hanging="1"/>
        <w:spacing w:after="0" w:line="344" w:lineRule="auto"/>
        <w:rPr>
          <w:sz w:val="20"/>
          <w:szCs w:val="20"/>
          <w:color w:val="auto"/>
        </w:rPr>
      </w:pPr>
      <w:r>
        <w:rPr>
          <w:sz w:val="1"/>
          <w:szCs w:val="1"/>
          <w:color w:val="auto"/>
        </w:rPr>
        <w:drawing>
          <wp:inline distT="0" distB="0" distL="0" distR="0">
            <wp:extent cx="772160" cy="28638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72160" cy="286385"/>
                    </a:xfrm>
                    <a:prstGeom prst="rect">
                      <a:avLst/>
                    </a:prstGeom>
                    <a:noFill/>
                    <a:ln>
                      <a:noFill/>
                    </a:ln>
                  </pic:spPr>
                </pic:pic>
              </a:graphicData>
            </a:graphic>
          </wp:inline>
        </w:drawing>
      </w:r>
      <w:r>
        <w:rPr>
          <w:rFonts w:ascii="Arial" w:cs="Arial" w:eastAsia="Arial" w:hAnsi="Arial"/>
          <w:sz w:val="20"/>
          <w:szCs w:val="20"/>
          <w:color w:val="auto"/>
        </w:rPr>
        <w:t>Name of institution: Credit Suisse AG, Cayman Islands Branch, as an Issuing Lender and a Lender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42545</wp:posOffset>
            </wp:positionV>
            <wp:extent cx="19107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1910715" cy="8255"/>
                    </a:xfrm>
                    <a:prstGeom prst="rect">
                      <a:avLst/>
                    </a:prstGeom>
                    <a:noFill/>
                  </pic:spPr>
                </pic:pic>
              </a:graphicData>
            </a:graphic>
          </wp:anchor>
        </w:drawing>
      </w:r>
    </w:p>
    <w:p>
      <w:pPr>
        <w:spacing w:after="0" w:line="11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William O’Daly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468630</wp:posOffset>
            </wp:positionV>
            <wp:extent cx="1170305" cy="549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1170305"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60"/>
        <w:spacing w:after="0"/>
        <w:tabs>
          <w:tab w:leader="none" w:pos="6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-12700</wp:posOffset>
            </wp:positionV>
            <wp:extent cx="2546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262255</wp:posOffset>
            </wp:positionV>
            <wp:extent cx="3909695" cy="1752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909695" cy="1752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Amended and Restated Credit and Guaranty Agreement]</w:t>
      </w:r>
    </w:p>
    <w:p>
      <w:pPr>
        <w:sectPr>
          <w:pgSz w:w="11900" w:h="16838" w:orient="portrait"/>
          <w:cols w:equalWidth="0" w:num="1">
            <w:col w:w="10099"/>
          </w:cols>
          <w:pgMar w:left="360" w:top="1343" w:right="1440" w:bottom="1440" w:gutter="0" w:footer="0" w:header="0"/>
        </w:sectPr>
      </w:pPr>
    </w:p>
    <w:bookmarkStart w:id="293" w:name="page294"/>
    <w:bookmarkEnd w:id="293"/>
    <w:p>
      <w:pPr>
        <w:ind w:left="3080"/>
        <w:spacing w:after="0"/>
        <w:rPr>
          <w:sz w:val="20"/>
          <w:szCs w:val="20"/>
          <w:color w:val="auto"/>
        </w:rPr>
      </w:pPr>
      <w:r>
        <w:rPr>
          <w:rFonts w:ascii="Arial" w:cs="Arial" w:eastAsia="Arial" w:hAnsi="Arial"/>
          <w:sz w:val="20"/>
          <w:szCs w:val="20"/>
          <w:color w:val="auto"/>
        </w:rPr>
        <w:t>JEFFERIES FINANCE LLC,</w:t>
      </w:r>
    </w:p>
    <w:p>
      <w:pPr>
        <w:spacing w:after="0" w:line="14"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as an Issuing Lender and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142875</wp:posOffset>
            </wp:positionV>
            <wp:extent cx="1043305" cy="5257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1043305"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-12700</wp:posOffset>
            </wp:positionV>
            <wp:extent cx="1276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127635" cy="8255"/>
                    </a:xfrm>
                    <a:prstGeom prst="rect">
                      <a:avLst/>
                    </a:prstGeom>
                    <a:noFill/>
                  </pic:spPr>
                </pic:pic>
              </a:graphicData>
            </a:graphic>
          </wp:anchor>
        </w:drawing>
      </w:r>
    </w:p>
    <w:p>
      <w:pPr>
        <w:jc w:val="right"/>
        <w:ind w:right="1699"/>
        <w:spacing w:after="0"/>
        <w:rPr>
          <w:sz w:val="20"/>
          <w:szCs w:val="20"/>
          <w:color w:val="auto"/>
        </w:rPr>
      </w:pPr>
      <w:r>
        <w:rPr>
          <w:rFonts w:ascii="Arial" w:cs="Arial" w:eastAsia="Arial" w:hAnsi="Arial"/>
          <w:sz w:val="20"/>
          <w:szCs w:val="20"/>
          <w:color w:val="auto"/>
        </w:rPr>
        <w:t>Name: Brian Buoye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269875</wp:posOffset>
            </wp:positionV>
            <wp:extent cx="3909695" cy="1752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3909695" cy="1752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Amended and Restated Credit and Guaranty Agreement]</w:t>
      </w:r>
    </w:p>
    <w:p>
      <w:pPr>
        <w:sectPr>
          <w:pgSz w:w="11900" w:h="16838" w:orient="portrait"/>
          <w:cols w:equalWidth="0" w:num="1">
            <w:col w:w="10099"/>
          </w:cols>
          <w:pgMar w:left="360" w:top="1322" w:right="1440" w:bottom="1440" w:gutter="0" w:footer="0" w:header="0"/>
        </w:sectPr>
      </w:pPr>
    </w:p>
    <w:bookmarkStart w:id="294" w:name="page295"/>
    <w:bookmarkEnd w:id="294"/>
    <w:p>
      <w:pPr>
        <w:jc w:val="right"/>
        <w:ind w:right="1239"/>
        <w:spacing w:after="0"/>
        <w:rPr>
          <w:sz w:val="20"/>
          <w:szCs w:val="20"/>
          <w:color w:val="auto"/>
        </w:rPr>
      </w:pPr>
      <w:r>
        <w:rPr>
          <w:rFonts w:ascii="Arial" w:cs="Arial" w:eastAsia="Arial" w:hAnsi="Arial"/>
          <w:sz w:val="20"/>
          <w:szCs w:val="20"/>
          <w:color w:val="auto"/>
        </w:rPr>
        <w:t>Name of institution: MORGAN STANLEY SENIOR FUNDING,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10795</wp:posOffset>
            </wp:positionV>
            <wp:extent cx="1066800" cy="4616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1066800" cy="4616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4220" w:type="dxa"/>
        <w:tblCellMar>
          <w:top w:w="0" w:type="dxa"/>
          <w:left w:w="0" w:type="dxa"/>
          <w:bottom w:w="0" w:type="dxa"/>
          <w:right w:w="0" w:type="dxa"/>
        </w:tblCellMar>
      </w:tblPr>
      <w:tr>
        <w:trPr>
          <w:trHeight w:val="257"/>
        </w:trPr>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tcPr>
          <w:p>
            <w:pPr>
              <w:ind w:left="140"/>
              <w:spacing w:after="0"/>
              <w:rPr>
                <w:sz w:val="20"/>
                <w:szCs w:val="20"/>
                <w:color w:val="auto"/>
              </w:rPr>
            </w:pPr>
            <w:r>
              <w:rPr>
                <w:rFonts w:ascii="Arial" w:cs="Arial" w:eastAsia="Arial" w:hAnsi="Arial"/>
                <w:sz w:val="20"/>
                <w:szCs w:val="20"/>
                <w:color w:val="auto"/>
                <w:w w:val="88"/>
              </w:rPr>
              <w:t>as an Issuing Lender and a Lender</w:t>
            </w:r>
          </w:p>
        </w:tc>
      </w:tr>
      <w:tr>
        <w:trPr>
          <w:trHeight w:val="416"/>
        </w:trPr>
        <w:tc>
          <w:tcPr>
            <w:tcW w:w="400" w:type="dxa"/>
            <w:vAlign w:val="bottom"/>
            <w:gridSpan w:val="2"/>
          </w:tcPr>
          <w:p>
            <w:pPr>
              <w:spacing w:after="0"/>
              <w:rPr>
                <w:sz w:val="20"/>
                <w:szCs w:val="20"/>
                <w:color w:val="auto"/>
              </w:rPr>
            </w:pPr>
            <w:r>
              <w:rPr>
                <w:rFonts w:ascii="Arial" w:cs="Arial" w:eastAsia="Arial" w:hAnsi="Arial"/>
                <w:sz w:val="20"/>
                <w:szCs w:val="20"/>
                <w:color w:val="auto"/>
              </w:rPr>
              <w:t>By:</w:t>
            </w:r>
          </w:p>
        </w:tc>
        <w:tc>
          <w:tcPr>
            <w:tcW w:w="280" w:type="dxa"/>
            <w:vAlign w:val="bottom"/>
          </w:tcPr>
          <w:p>
            <w:pPr>
              <w:spacing w:after="0"/>
              <w:rPr>
                <w:sz w:val="24"/>
                <w:szCs w:val="24"/>
                <w:color w:val="auto"/>
              </w:rPr>
            </w:pPr>
          </w:p>
        </w:tc>
        <w:tc>
          <w:tcPr>
            <w:tcW w:w="2900" w:type="dxa"/>
            <w:vAlign w:val="bottom"/>
          </w:tcPr>
          <w:p>
            <w:pPr>
              <w:ind w:left="60"/>
              <w:spacing w:after="0"/>
              <w:rPr>
                <w:sz w:val="20"/>
                <w:szCs w:val="20"/>
                <w:color w:val="auto"/>
              </w:rPr>
            </w:pPr>
            <w:r>
              <w:rPr>
                <w:rFonts w:ascii="Arial" w:cs="Arial" w:eastAsia="Arial" w:hAnsi="Arial"/>
                <w:sz w:val="20"/>
                <w:szCs w:val="20"/>
                <w:color w:val="auto"/>
              </w:rPr>
              <w:t>Name: Michael King</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3"/>
        </w:trPr>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2"/>
          </w:tcPr>
          <w:p>
            <w:pPr>
              <w:ind w:left="120"/>
              <w:spacing w:after="0"/>
              <w:rPr>
                <w:sz w:val="20"/>
                <w:szCs w:val="20"/>
                <w:color w:val="auto"/>
              </w:rPr>
            </w:pPr>
            <w:r>
              <w:rPr>
                <w:rFonts w:ascii="Arial" w:cs="Arial" w:eastAsia="Arial" w:hAnsi="Arial"/>
                <w:sz w:val="20"/>
                <w:szCs w:val="20"/>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256540</wp:posOffset>
            </wp:positionV>
            <wp:extent cx="3909695" cy="1752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3909695" cy="1752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Amended and Restated Credit and Guaranty Agreement]</w:t>
      </w:r>
    </w:p>
    <w:p>
      <w:pPr>
        <w:sectPr>
          <w:pgSz w:w="11900" w:h="16838" w:orient="portrait"/>
          <w:cols w:equalWidth="0" w:num="1">
            <w:col w:w="10099"/>
          </w:cols>
          <w:pgMar w:left="360" w:top="1322"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20"/>
          <w:szCs w:val="20"/>
          <w:b w:val="1"/>
          <w:bCs w:val="1"/>
          <w:color w:val="auto"/>
        </w:rPr>
        <w:t>SCHEDULE I</w:t>
      </w:r>
    </w:p>
    <w:tbl>
      <w:tblPr>
        <w:tblLayout w:type="fixed"/>
        <w:tblInd w:w="10" w:type="dxa"/>
        <w:tblCellMar>
          <w:top w:w="0" w:type="dxa"/>
          <w:left w:w="0" w:type="dxa"/>
          <w:bottom w:w="0" w:type="dxa"/>
          <w:right w:w="0" w:type="dxa"/>
        </w:tblCellMar>
      </w:tblPr>
      <w:tr>
        <w:trPr>
          <w:trHeight w:val="209"/>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4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w w:val="89"/>
              </w:rPr>
              <w:t>Lenders and Commitments</w:t>
            </w: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94"/>
        </w:trPr>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06"/>
        </w:trPr>
        <w:tc>
          <w:tcPr>
            <w:tcW w:w="1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gridSpan w:val="3"/>
          </w:tcPr>
          <w:p>
            <w:pPr>
              <w:spacing w:after="0" w:line="206" w:lineRule="exact"/>
              <w:rPr>
                <w:sz w:val="20"/>
                <w:szCs w:val="20"/>
                <w:color w:val="auto"/>
              </w:rPr>
            </w:pPr>
            <w:r>
              <w:rPr>
                <w:rFonts w:ascii="Arial" w:cs="Arial" w:eastAsia="Arial" w:hAnsi="Arial"/>
                <w:sz w:val="20"/>
                <w:szCs w:val="20"/>
                <w:b w:val="1"/>
                <w:bCs w:val="1"/>
                <w:color w:val="auto"/>
              </w:rPr>
              <w:t>Lender</w:t>
            </w:r>
          </w:p>
        </w:tc>
        <w:tc>
          <w:tcPr>
            <w:tcW w:w="380" w:type="dxa"/>
            <w:vAlign w:val="bottom"/>
          </w:tcPr>
          <w:p>
            <w:pPr>
              <w:spacing w:after="0"/>
              <w:rPr>
                <w:sz w:val="17"/>
                <w:szCs w:val="17"/>
                <w:color w:val="auto"/>
              </w:rPr>
            </w:pPr>
          </w:p>
        </w:tc>
        <w:tc>
          <w:tcPr>
            <w:tcW w:w="3260" w:type="dxa"/>
            <w:vAlign w:val="bottom"/>
            <w:tcBorders>
              <w:right w:val="single" w:sz="8" w:color="auto"/>
            </w:tcBorders>
            <w:gridSpan w:val="3"/>
          </w:tcPr>
          <w:p>
            <w:pPr>
              <w:ind w:left="140"/>
              <w:spacing w:after="0" w:line="206" w:lineRule="exact"/>
              <w:rPr>
                <w:sz w:val="20"/>
                <w:szCs w:val="20"/>
                <w:color w:val="auto"/>
              </w:rPr>
            </w:pPr>
            <w:r>
              <w:rPr>
                <w:rFonts w:ascii="Arial" w:cs="Arial" w:eastAsia="Arial" w:hAnsi="Arial"/>
                <w:sz w:val="20"/>
                <w:szCs w:val="20"/>
                <w:b w:val="1"/>
                <w:bCs w:val="1"/>
                <w:color w:val="auto"/>
              </w:rPr>
              <w:t>Revolving Loan Commitment</w:t>
            </w:r>
          </w:p>
        </w:tc>
      </w:tr>
      <w:tr>
        <w:trPr>
          <w:trHeight w:val="43"/>
        </w:trPr>
        <w:tc>
          <w:tcPr>
            <w:tcW w:w="120" w:type="dxa"/>
            <w:vAlign w:val="bottom"/>
            <w:tcBorders>
              <w:left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540" w:type="dxa"/>
            <w:vAlign w:val="bottom"/>
            <w:tcBorders>
              <w:top w:val="single" w:sz="8" w:color="auto"/>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r>
      <w:tr>
        <w:trPr>
          <w:trHeight w:val="261"/>
        </w:trPr>
        <w:tc>
          <w:tcPr>
            <w:tcW w:w="120" w:type="dxa"/>
            <w:vAlign w:val="bottom"/>
            <w:tcBorders>
              <w:left w:val="single" w:sz="8" w:color="auto"/>
              <w:bottom w:val="single" w:sz="8" w:color="auto"/>
            </w:tcBorders>
          </w:tcPr>
          <w:p>
            <w:pPr>
              <w:spacing w:after="0"/>
              <w:rPr>
                <w:sz w:val="22"/>
                <w:szCs w:val="22"/>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JPMorgan Chase Bank, N.A.</w:t>
            </w:r>
          </w:p>
        </w:tc>
        <w:tc>
          <w:tcPr>
            <w:tcW w:w="3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20"/>
                <w:szCs w:val="20"/>
                <w:color w:val="auto"/>
                <w:w w:val="89"/>
              </w:rPr>
              <w:t>$40,000,000</w:t>
            </w:r>
          </w:p>
        </w:tc>
        <w:tc>
          <w:tcPr>
            <w:tcW w:w="580" w:type="dxa"/>
            <w:vAlign w:val="bottom"/>
            <w:tcBorders>
              <w:bottom w:val="single" w:sz="8" w:color="auto"/>
              <w:right w:val="single" w:sz="8" w:color="auto"/>
            </w:tcBorders>
          </w:tcPr>
          <w:p>
            <w:pPr>
              <w:spacing w:after="0"/>
              <w:rPr>
                <w:sz w:val="22"/>
                <w:szCs w:val="22"/>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Morgan Stanley Senior Funding, Inc.</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20"/>
                <w:szCs w:val="20"/>
                <w:color w:val="auto"/>
                <w:w w:val="89"/>
              </w:rPr>
              <w:t>$35,000,000</w:t>
            </w:r>
          </w:p>
        </w:tc>
        <w:tc>
          <w:tcPr>
            <w:tcW w:w="580" w:type="dxa"/>
            <w:vAlign w:val="bottom"/>
            <w:tcBorders>
              <w:bottom w:val="single" w:sz="8" w:color="auto"/>
              <w:right w:val="single" w:sz="8" w:color="auto"/>
            </w:tcBorders>
          </w:tcPr>
          <w:p>
            <w:pPr>
              <w:spacing w:after="0"/>
              <w:rPr>
                <w:sz w:val="23"/>
                <w:szCs w:val="23"/>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Barclays Bank PLC</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20"/>
                <w:szCs w:val="20"/>
                <w:color w:val="auto"/>
                <w:w w:val="89"/>
              </w:rPr>
              <w:t>$20,000,000</w:t>
            </w:r>
          </w:p>
        </w:tc>
        <w:tc>
          <w:tcPr>
            <w:tcW w:w="580" w:type="dxa"/>
            <w:vAlign w:val="bottom"/>
            <w:tcBorders>
              <w:bottom w:val="single" w:sz="8" w:color="auto"/>
              <w:right w:val="single" w:sz="8" w:color="auto"/>
            </w:tcBorders>
          </w:tcPr>
          <w:p>
            <w:pPr>
              <w:spacing w:after="0"/>
              <w:rPr>
                <w:sz w:val="23"/>
                <w:szCs w:val="23"/>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Citibank, N.A.</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20"/>
                <w:szCs w:val="20"/>
                <w:color w:val="auto"/>
                <w:w w:val="89"/>
              </w:rPr>
              <w:t>$20,000,000</w:t>
            </w:r>
          </w:p>
        </w:tc>
        <w:tc>
          <w:tcPr>
            <w:tcW w:w="580" w:type="dxa"/>
            <w:vAlign w:val="bottom"/>
            <w:tcBorders>
              <w:bottom w:val="single" w:sz="8" w:color="auto"/>
              <w:right w:val="single" w:sz="8" w:color="auto"/>
            </w:tcBorders>
          </w:tcPr>
          <w:p>
            <w:pPr>
              <w:spacing w:after="0"/>
              <w:rPr>
                <w:sz w:val="23"/>
                <w:szCs w:val="23"/>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Bank of America, N.A.</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20"/>
                <w:szCs w:val="20"/>
                <w:color w:val="auto"/>
                <w:w w:val="89"/>
              </w:rPr>
              <w:t>$20,000,000</w:t>
            </w:r>
          </w:p>
        </w:tc>
        <w:tc>
          <w:tcPr>
            <w:tcW w:w="580" w:type="dxa"/>
            <w:vAlign w:val="bottom"/>
            <w:tcBorders>
              <w:bottom w:val="single" w:sz="8" w:color="auto"/>
              <w:right w:val="single" w:sz="8" w:color="auto"/>
            </w:tcBorders>
          </w:tcPr>
          <w:p>
            <w:pPr>
              <w:spacing w:after="0"/>
              <w:rPr>
                <w:sz w:val="23"/>
                <w:szCs w:val="23"/>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Credit Suisse AG, Cayman Islands Branch</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20"/>
                <w:szCs w:val="20"/>
                <w:color w:val="auto"/>
                <w:w w:val="89"/>
              </w:rPr>
              <w:t>$7,500,000</w:t>
            </w:r>
          </w:p>
        </w:tc>
        <w:tc>
          <w:tcPr>
            <w:tcW w:w="580" w:type="dxa"/>
            <w:vAlign w:val="bottom"/>
            <w:tcBorders>
              <w:bottom w:val="single" w:sz="8" w:color="auto"/>
              <w:right w:val="single" w:sz="8" w:color="auto"/>
            </w:tcBorders>
          </w:tcPr>
          <w:p>
            <w:pPr>
              <w:spacing w:after="0"/>
              <w:rPr>
                <w:sz w:val="23"/>
                <w:szCs w:val="23"/>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Jefferies Finance LLC</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20"/>
                <w:szCs w:val="20"/>
                <w:color w:val="auto"/>
                <w:w w:val="89"/>
              </w:rPr>
              <w:t>$7,500,000</w:t>
            </w:r>
          </w:p>
        </w:tc>
        <w:tc>
          <w:tcPr>
            <w:tcW w:w="580" w:type="dxa"/>
            <w:vAlign w:val="bottom"/>
            <w:tcBorders>
              <w:bottom w:val="single" w:sz="8" w:color="auto"/>
              <w:right w:val="single" w:sz="8" w:color="auto"/>
            </w:tcBorders>
          </w:tcPr>
          <w:p>
            <w:pPr>
              <w:spacing w:after="0"/>
              <w:rPr>
                <w:sz w:val="23"/>
                <w:szCs w:val="23"/>
                <w:color w:val="auto"/>
              </w:rPr>
            </w:pPr>
          </w:p>
        </w:tc>
      </w:tr>
      <w:tr>
        <w:trPr>
          <w:trHeight w:val="268"/>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b w:val="1"/>
                <w:bCs w:val="1"/>
                <w:color w:val="auto"/>
              </w:rPr>
              <w:t>TOTAL</w:t>
            </w:r>
          </w:p>
        </w:tc>
        <w:tc>
          <w:tcPr>
            <w:tcW w:w="3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20"/>
                <w:szCs w:val="20"/>
                <w:b w:val="1"/>
                <w:bCs w:val="1"/>
                <w:color w:val="auto"/>
                <w:w w:val="89"/>
              </w:rPr>
              <w:t>$150,000,000</w:t>
            </w:r>
          </w:p>
        </w:tc>
        <w:tc>
          <w:tcPr>
            <w:tcW w:w="580" w:type="dxa"/>
            <w:vAlign w:val="bottom"/>
            <w:tcBorders>
              <w:bottom w:val="single" w:sz="8" w:color="auto"/>
              <w:right w:val="single" w:sz="8" w:color="auto"/>
            </w:tcBorders>
          </w:tcPr>
          <w:p>
            <w:pPr>
              <w:spacing w:after="0"/>
              <w:rPr>
                <w:sz w:val="23"/>
                <w:szCs w:val="23"/>
                <w:color w:val="auto"/>
              </w:rPr>
            </w:pPr>
          </w:p>
        </w:tc>
      </w:tr>
    </w:tbl>
    <w:p>
      <w:pPr>
        <w:sectPr>
          <w:pgSz w:w="11900" w:h="16838" w:orient="portrait"/>
          <w:cols w:equalWidth="0" w:num="1">
            <w:col w:w="9720"/>
          </w:cols>
          <w:pgMar w:left="1340" w:top="1318" w:right="839" w:bottom="1440" w:gutter="0" w:footer="0" w:header="0"/>
        </w:sectPr>
      </w:pPr>
    </w:p>
    <w:bookmarkStart w:id="296" w:name="page297"/>
    <w:bookmarkEnd w:id="296"/>
    <w:p>
      <w:pPr>
        <w:jc w:val="right"/>
        <w:spacing w:after="0"/>
        <w:rPr>
          <w:sz w:val="20"/>
          <w:szCs w:val="20"/>
          <w:color w:val="auto"/>
        </w:rPr>
      </w:pPr>
      <w:r>
        <w:rPr>
          <w:rFonts w:ascii="Arial" w:cs="Arial" w:eastAsia="Arial" w:hAnsi="Arial"/>
          <w:sz w:val="20"/>
          <w:szCs w:val="20"/>
          <w:b w:val="1"/>
          <w:bCs w:val="1"/>
          <w:color w:val="auto"/>
        </w:rPr>
        <w:t>SCHEDULE 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20"/>
        <w:spacing w:after="0"/>
        <w:rPr>
          <w:sz w:val="20"/>
          <w:szCs w:val="20"/>
          <w:color w:val="auto"/>
        </w:rPr>
      </w:pPr>
      <w:r>
        <w:rPr>
          <w:rFonts w:ascii="Arial" w:cs="Arial" w:eastAsia="Arial" w:hAnsi="Arial"/>
          <w:sz w:val="20"/>
          <w:szCs w:val="20"/>
          <w:b w:val="1"/>
          <w:bCs w:val="1"/>
          <w:u w:val="single" w:color="auto"/>
          <w:color w:val="auto"/>
        </w:rPr>
        <w:t>Disqualified Lenders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740"/>
          </w:cols>
          <w:pgMar w:left="1320" w:top="1318" w:right="839" w:bottom="1440" w:gutter="0" w:footer="0" w:header="0"/>
        </w:sectPr>
      </w:pPr>
    </w:p>
    <w:bookmarkStart w:id="297" w:name="page298"/>
    <w:bookmarkEnd w:id="297"/>
    <w:p>
      <w:pPr>
        <w:jc w:val="right"/>
        <w:spacing w:after="0"/>
        <w:rPr>
          <w:sz w:val="20"/>
          <w:szCs w:val="20"/>
          <w:color w:val="auto"/>
        </w:rPr>
      </w:pPr>
      <w:r>
        <w:rPr>
          <w:rFonts w:ascii="Arial" w:cs="Arial" w:eastAsia="Arial" w:hAnsi="Arial"/>
          <w:sz w:val="20"/>
          <w:szCs w:val="20"/>
          <w:b w:val="1"/>
          <w:bCs w:val="1"/>
          <w:color w:val="auto"/>
        </w:rPr>
        <w:t>SCHEDULE 1.1(F)</w:t>
      </w:r>
    </w:p>
    <w:p>
      <w:pPr>
        <w:spacing w:after="0" w:line="18" w:lineRule="exact"/>
        <w:rPr>
          <w:sz w:val="20"/>
          <w:szCs w:val="20"/>
          <w:color w:val="auto"/>
        </w:rPr>
      </w:pPr>
    </w:p>
    <w:p>
      <w:pPr>
        <w:ind w:left="3600"/>
        <w:spacing w:after="0"/>
        <w:rPr>
          <w:sz w:val="20"/>
          <w:szCs w:val="20"/>
          <w:color w:val="auto"/>
        </w:rPr>
      </w:pPr>
      <w:r>
        <w:rPr>
          <w:rFonts w:ascii="Arial" w:cs="Arial" w:eastAsia="Arial" w:hAnsi="Arial"/>
          <w:sz w:val="20"/>
          <w:szCs w:val="20"/>
          <w:b w:val="1"/>
          <w:bCs w:val="1"/>
          <w:u w:val="single" w:color="auto"/>
          <w:color w:val="auto"/>
        </w:rPr>
        <w:t>Existing Investments</w:t>
      </w:r>
    </w:p>
    <w:p>
      <w:pPr>
        <w:spacing w:after="0" w:line="200" w:lineRule="exact"/>
        <w:rPr>
          <w:sz w:val="20"/>
          <w:szCs w:val="20"/>
          <w:color w:val="auto"/>
        </w:rPr>
      </w:pPr>
    </w:p>
    <w:p>
      <w:pPr>
        <w:spacing w:after="0" w:line="304" w:lineRule="exact"/>
        <w:rPr>
          <w:sz w:val="20"/>
          <w:szCs w:val="20"/>
          <w:color w:val="auto"/>
        </w:rPr>
      </w:pPr>
    </w:p>
    <w:p>
      <w:pPr>
        <w:ind w:left="480" w:hanging="296"/>
        <w:spacing w:after="0"/>
        <w:tabs>
          <w:tab w:leader="none" w:pos="4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Equity investment by LegalZoom.com, Inc. in LawPath Holdings Pty Ltd representing equity ownership of 14%.</w:t>
      </w:r>
    </w:p>
    <w:p>
      <w:pPr>
        <w:spacing w:after="0" w:line="256" w:lineRule="exact"/>
        <w:rPr>
          <w:rFonts w:ascii="Arial" w:cs="Arial" w:eastAsia="Arial" w:hAnsi="Arial"/>
          <w:sz w:val="18"/>
          <w:szCs w:val="18"/>
          <w:color w:val="auto"/>
        </w:rPr>
      </w:pPr>
    </w:p>
    <w:p>
      <w:pPr>
        <w:ind w:left="480" w:hanging="296"/>
        <w:spacing w:after="0"/>
        <w:tabs>
          <w:tab w:leader="none" w:pos="48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Equity investment by LegalZoom.com, Inc. in Mylo, LLC representing equity ownership of 4.0196%.</w:t>
      </w:r>
    </w:p>
    <w:p>
      <w:pPr>
        <w:spacing w:after="0" w:line="221" w:lineRule="exact"/>
        <w:rPr>
          <w:rFonts w:ascii="Arial" w:cs="Arial" w:eastAsia="Arial" w:hAnsi="Arial"/>
          <w:sz w:val="20"/>
          <w:szCs w:val="20"/>
          <w:color w:val="auto"/>
        </w:rPr>
      </w:pPr>
    </w:p>
    <w:p>
      <w:pPr>
        <w:ind w:left="480" w:hanging="296"/>
        <w:spacing w:after="0"/>
        <w:tabs>
          <w:tab w:leader="none" w:pos="48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Equity investment by LegalZoom.com, Inc. in WeVorce, Inc. representing equity ownership of 1.30%.</w:t>
      </w:r>
    </w:p>
    <w:p>
      <w:pPr>
        <w:sectPr>
          <w:pgSz w:w="11900" w:h="16838" w:orient="portrait"/>
          <w:cols w:equalWidth="0" w:num="1">
            <w:col w:w="9620"/>
          </w:cols>
          <w:pgMar w:left="1440" w:top="1318" w:right="839" w:bottom="1440" w:gutter="0" w:footer="0" w:header="0"/>
        </w:sectPr>
      </w:pPr>
    </w:p>
    <w:bookmarkStart w:id="298" w:name="page299"/>
    <w:bookmarkEnd w:id="298"/>
    <w:p>
      <w:pPr>
        <w:jc w:val="right"/>
        <w:spacing w:after="0"/>
        <w:rPr>
          <w:sz w:val="20"/>
          <w:szCs w:val="20"/>
          <w:color w:val="auto"/>
        </w:rPr>
      </w:pPr>
      <w:r>
        <w:rPr>
          <w:rFonts w:ascii="Arial" w:cs="Arial" w:eastAsia="Arial" w:hAnsi="Arial"/>
          <w:sz w:val="20"/>
          <w:szCs w:val="20"/>
          <w:b w:val="1"/>
          <w:bCs w:val="1"/>
          <w:color w:val="auto"/>
        </w:rPr>
        <w:t>SCHEDULE 1.1(G)</w:t>
      </w:r>
    </w:p>
    <w:p>
      <w:pPr>
        <w:spacing w:after="0" w:line="234" w:lineRule="exact"/>
        <w:rPr>
          <w:sz w:val="20"/>
          <w:szCs w:val="20"/>
          <w:color w:val="auto"/>
        </w:rPr>
      </w:pPr>
    </w:p>
    <w:p>
      <w:pPr>
        <w:ind w:left="4020"/>
        <w:spacing w:after="0"/>
        <w:rPr>
          <w:sz w:val="20"/>
          <w:szCs w:val="20"/>
          <w:color w:val="auto"/>
        </w:rPr>
      </w:pPr>
      <w:r>
        <w:rPr>
          <w:rFonts w:ascii="Arial" w:cs="Arial" w:eastAsia="Arial" w:hAnsi="Arial"/>
          <w:sz w:val="20"/>
          <w:szCs w:val="20"/>
          <w:b w:val="1"/>
          <w:bCs w:val="1"/>
          <w:u w:val="single" w:color="auto"/>
          <w:color w:val="auto"/>
        </w:rPr>
        <w:t>Existing Liens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740"/>
          </w:cols>
          <w:pgMar w:left="1320" w:top="1318" w:right="839" w:bottom="1440" w:gutter="0" w:footer="0" w:header="0"/>
        </w:sectPr>
      </w:pPr>
    </w:p>
    <w:bookmarkStart w:id="299" w:name="page300"/>
    <w:bookmarkEnd w:id="299"/>
    <w:tbl>
      <w:tblPr>
        <w:tblLayout w:type="fixed"/>
        <w:tblInd w:w="10" w:type="dxa"/>
        <w:tblCellMar>
          <w:top w:w="0" w:type="dxa"/>
          <w:left w:w="0" w:type="dxa"/>
          <w:bottom w:w="0" w:type="dxa"/>
          <w:right w:w="0" w:type="dxa"/>
        </w:tblCellMar>
      </w:tblPr>
      <w:tr>
        <w:trPr>
          <w:trHeight w:val="261"/>
        </w:trPr>
        <w:tc>
          <w:tcPr>
            <w:tcW w:w="3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840" w:type="dxa"/>
            <w:vAlign w:val="bottom"/>
            <w:gridSpan w:val="2"/>
          </w:tcPr>
          <w:p>
            <w:pPr>
              <w:ind w:left="1340"/>
              <w:spacing w:after="0"/>
              <w:rPr>
                <w:sz w:val="20"/>
                <w:szCs w:val="20"/>
                <w:color w:val="auto"/>
              </w:rPr>
            </w:pPr>
            <w:r>
              <w:rPr>
                <w:rFonts w:ascii="Arial" w:cs="Arial" w:eastAsia="Arial" w:hAnsi="Arial"/>
                <w:sz w:val="20"/>
                <w:szCs w:val="20"/>
                <w:b w:val="1"/>
                <w:bCs w:val="1"/>
                <w:color w:val="auto"/>
                <w:w w:val="95"/>
              </w:rPr>
              <w:t>SCHEDULE 6.16</w:t>
            </w:r>
          </w:p>
        </w:tc>
        <w:tc>
          <w:tcPr>
            <w:tcW w:w="0" w:type="dxa"/>
            <w:vAlign w:val="bottom"/>
          </w:tcPr>
          <w:p>
            <w:pPr>
              <w:spacing w:after="0"/>
              <w:rPr>
                <w:sz w:val="1"/>
                <w:szCs w:val="1"/>
                <w:color w:val="auto"/>
              </w:rPr>
            </w:pPr>
          </w:p>
        </w:tc>
      </w:tr>
      <w:tr>
        <w:trPr>
          <w:trHeight w:val="479"/>
        </w:trPr>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20"/>
                <w:szCs w:val="20"/>
                <w:b w:val="1"/>
                <w:bCs w:val="1"/>
                <w:color w:val="auto"/>
                <w:w w:val="95"/>
              </w:rPr>
              <w:t>Subsidiaries</w:t>
            </w: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right w:val="single" w:sz="8" w:color="auto"/>
            </w:tcBorders>
            <w:shd w:val="clear" w:color="auto" w:fill="F1F1F1"/>
          </w:tcPr>
          <w:p>
            <w:pPr>
              <w:ind w:left="640"/>
              <w:spacing w:after="0"/>
              <w:rPr>
                <w:sz w:val="20"/>
                <w:szCs w:val="20"/>
                <w:color w:val="auto"/>
              </w:rPr>
            </w:pPr>
            <w:r>
              <w:rPr>
                <w:rFonts w:ascii="Arial" w:cs="Arial" w:eastAsia="Arial" w:hAnsi="Arial"/>
                <w:sz w:val="20"/>
                <w:szCs w:val="20"/>
                <w:color w:val="auto"/>
              </w:rPr>
              <w:t>Name of Subsidiary</w:t>
            </w:r>
          </w:p>
        </w:tc>
        <w:tc>
          <w:tcPr>
            <w:tcW w:w="2140" w:type="dxa"/>
            <w:vAlign w:val="bottom"/>
            <w:tcBorders>
              <w:right w:val="single" w:sz="8" w:color="auto"/>
            </w:tcBorders>
            <w:gridSpan w:val="3"/>
            <w:shd w:val="clear" w:color="auto" w:fill="F1F1F1"/>
          </w:tcPr>
          <w:p>
            <w:pPr>
              <w:ind w:left="460"/>
              <w:spacing w:after="0"/>
              <w:rPr>
                <w:sz w:val="20"/>
                <w:szCs w:val="20"/>
                <w:color w:val="auto"/>
              </w:rPr>
            </w:pPr>
            <w:r>
              <w:rPr>
                <w:rFonts w:ascii="Arial" w:cs="Arial" w:eastAsia="Arial" w:hAnsi="Arial"/>
                <w:sz w:val="20"/>
                <w:szCs w:val="20"/>
                <w:color w:val="auto"/>
              </w:rPr>
              <w:t>Record Owner</w:t>
            </w:r>
          </w:p>
        </w:tc>
        <w:tc>
          <w:tcPr>
            <w:tcW w:w="1620" w:type="dxa"/>
            <w:vAlign w:val="bottom"/>
            <w:tcBorders>
              <w:right w:val="single" w:sz="8" w:color="auto"/>
            </w:tcBorders>
            <w:shd w:val="clear" w:color="auto" w:fill="F1F1F1"/>
          </w:tcPr>
          <w:p>
            <w:pPr>
              <w:jc w:val="center"/>
              <w:spacing w:after="0"/>
              <w:rPr>
                <w:sz w:val="20"/>
                <w:szCs w:val="20"/>
                <w:color w:val="auto"/>
              </w:rPr>
            </w:pPr>
            <w:r>
              <w:rPr>
                <w:rFonts w:ascii="Arial" w:cs="Arial" w:eastAsia="Arial" w:hAnsi="Arial"/>
                <w:sz w:val="20"/>
                <w:szCs w:val="20"/>
                <w:color w:val="auto"/>
                <w:w w:val="88"/>
              </w:rPr>
              <w:t>Percentage of</w:t>
            </w:r>
          </w:p>
        </w:tc>
        <w:tc>
          <w:tcPr>
            <w:tcW w:w="1720" w:type="dxa"/>
            <w:vAlign w:val="bottom"/>
            <w:tcBorders>
              <w:right w:val="single" w:sz="8" w:color="auto"/>
            </w:tcBorders>
            <w:shd w:val="clear" w:color="auto" w:fill="F1F1F1"/>
          </w:tcPr>
          <w:p>
            <w:pPr>
              <w:jc w:val="center"/>
              <w:ind w:right="40"/>
              <w:spacing w:after="0"/>
              <w:rPr>
                <w:sz w:val="20"/>
                <w:szCs w:val="20"/>
                <w:color w:val="auto"/>
              </w:rPr>
            </w:pPr>
            <w:r>
              <w:rPr>
                <w:rFonts w:ascii="Arial" w:cs="Arial" w:eastAsia="Arial" w:hAnsi="Arial"/>
                <w:sz w:val="20"/>
                <w:szCs w:val="20"/>
                <w:color w:val="auto"/>
                <w:w w:val="93"/>
              </w:rPr>
              <w:t>Jurisdiction of</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120" w:type="dxa"/>
            <w:vAlign w:val="bottom"/>
            <w:tcBorders>
              <w:left w:val="single" w:sz="8" w:color="auto"/>
              <w:right w:val="single" w:sz="8" w:color="auto"/>
            </w:tcBorders>
            <w:shd w:val="clear" w:color="auto" w:fill="F1F1F1"/>
          </w:tcPr>
          <w:p>
            <w:pPr>
              <w:spacing w:after="0"/>
              <w:rPr>
                <w:sz w:val="19"/>
                <w:szCs w:val="19"/>
                <w:color w:val="auto"/>
              </w:rPr>
            </w:pPr>
          </w:p>
        </w:tc>
        <w:tc>
          <w:tcPr>
            <w:tcW w:w="960" w:type="dxa"/>
            <w:vAlign w:val="bottom"/>
            <w:shd w:val="clear" w:color="auto" w:fill="F1F1F1"/>
          </w:tcPr>
          <w:p>
            <w:pPr>
              <w:spacing w:after="0"/>
              <w:rPr>
                <w:sz w:val="19"/>
                <w:szCs w:val="19"/>
                <w:color w:val="auto"/>
              </w:rPr>
            </w:pPr>
          </w:p>
        </w:tc>
        <w:tc>
          <w:tcPr>
            <w:tcW w:w="1040" w:type="dxa"/>
            <w:vAlign w:val="bottom"/>
            <w:shd w:val="clear" w:color="auto" w:fill="F1F1F1"/>
          </w:tcPr>
          <w:p>
            <w:pPr>
              <w:spacing w:after="0"/>
              <w:rPr>
                <w:sz w:val="19"/>
                <w:szCs w:val="19"/>
                <w:color w:val="auto"/>
              </w:rPr>
            </w:pPr>
          </w:p>
        </w:tc>
        <w:tc>
          <w:tcPr>
            <w:tcW w:w="140" w:type="dxa"/>
            <w:vAlign w:val="bottom"/>
            <w:tcBorders>
              <w:right w:val="single" w:sz="8" w:color="auto"/>
            </w:tcBorders>
            <w:shd w:val="clear" w:color="auto" w:fill="F1F1F1"/>
          </w:tcPr>
          <w:p>
            <w:pPr>
              <w:spacing w:after="0"/>
              <w:rPr>
                <w:sz w:val="19"/>
                <w:szCs w:val="19"/>
                <w:color w:val="auto"/>
              </w:rPr>
            </w:pPr>
          </w:p>
        </w:tc>
        <w:tc>
          <w:tcPr>
            <w:tcW w:w="1620" w:type="dxa"/>
            <w:vAlign w:val="bottom"/>
            <w:tcBorders>
              <w:right w:val="single" w:sz="8" w:color="auto"/>
            </w:tcBorders>
            <w:shd w:val="clear" w:color="auto" w:fill="F1F1F1"/>
          </w:tcPr>
          <w:p>
            <w:pPr>
              <w:jc w:val="center"/>
              <w:spacing w:after="0" w:line="226" w:lineRule="exact"/>
              <w:rPr>
                <w:sz w:val="20"/>
                <w:szCs w:val="20"/>
                <w:color w:val="auto"/>
              </w:rPr>
            </w:pPr>
            <w:r>
              <w:rPr>
                <w:rFonts w:ascii="Arial" w:cs="Arial" w:eastAsia="Arial" w:hAnsi="Arial"/>
                <w:sz w:val="20"/>
                <w:szCs w:val="20"/>
                <w:color w:val="auto"/>
                <w:w w:val="91"/>
              </w:rPr>
              <w:t>Equity Interests</w:t>
            </w:r>
          </w:p>
        </w:tc>
        <w:tc>
          <w:tcPr>
            <w:tcW w:w="1720" w:type="dxa"/>
            <w:vAlign w:val="bottom"/>
            <w:tcBorders>
              <w:right w:val="single" w:sz="8" w:color="auto"/>
            </w:tcBorders>
            <w:shd w:val="clear" w:color="auto" w:fill="F1F1F1"/>
          </w:tcPr>
          <w:p>
            <w:pPr>
              <w:jc w:val="center"/>
              <w:ind w:right="40"/>
              <w:spacing w:after="0" w:line="226" w:lineRule="exact"/>
              <w:rPr>
                <w:sz w:val="20"/>
                <w:szCs w:val="20"/>
                <w:color w:val="auto"/>
              </w:rPr>
            </w:pPr>
            <w:r>
              <w:rPr>
                <w:rFonts w:ascii="Arial" w:cs="Arial" w:eastAsia="Arial" w:hAnsi="Arial"/>
                <w:sz w:val="20"/>
                <w:szCs w:val="20"/>
                <w:color w:val="auto"/>
                <w:w w:val="94"/>
              </w:rPr>
              <w:t>Incorporation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shd w:val="clear" w:color="auto" w:fill="F1F1F1"/>
          </w:tcPr>
          <w:p>
            <w:pPr>
              <w:spacing w:after="0"/>
              <w:rPr>
                <w:sz w:val="23"/>
                <w:szCs w:val="23"/>
                <w:color w:val="auto"/>
              </w:rPr>
            </w:pPr>
          </w:p>
        </w:tc>
        <w:tc>
          <w:tcPr>
            <w:tcW w:w="960" w:type="dxa"/>
            <w:vAlign w:val="bottom"/>
            <w:tcBorders>
              <w:bottom w:val="single" w:sz="8" w:color="auto"/>
            </w:tcBorders>
            <w:shd w:val="clear" w:color="auto" w:fill="F1F1F1"/>
          </w:tcPr>
          <w:p>
            <w:pPr>
              <w:spacing w:after="0"/>
              <w:rPr>
                <w:sz w:val="23"/>
                <w:szCs w:val="23"/>
                <w:color w:val="auto"/>
              </w:rPr>
            </w:pPr>
          </w:p>
        </w:tc>
        <w:tc>
          <w:tcPr>
            <w:tcW w:w="1040" w:type="dxa"/>
            <w:vAlign w:val="bottom"/>
            <w:tcBorders>
              <w:bottom w:val="single" w:sz="8" w:color="auto"/>
            </w:tcBorders>
            <w:shd w:val="clear" w:color="auto" w:fill="F1F1F1"/>
          </w:tcPr>
          <w:p>
            <w:pPr>
              <w:spacing w:after="0"/>
              <w:rPr>
                <w:sz w:val="23"/>
                <w:szCs w:val="23"/>
                <w:color w:val="auto"/>
              </w:rPr>
            </w:pPr>
          </w:p>
        </w:tc>
        <w:tc>
          <w:tcPr>
            <w:tcW w:w="140" w:type="dxa"/>
            <w:vAlign w:val="bottom"/>
            <w:tcBorders>
              <w:bottom w:val="single" w:sz="8" w:color="auto"/>
              <w:right w:val="single" w:sz="8" w:color="auto"/>
            </w:tcBorders>
            <w:shd w:val="clear" w:color="auto" w:fill="F1F1F1"/>
          </w:tcPr>
          <w:p>
            <w:pPr>
              <w:spacing w:after="0"/>
              <w:rPr>
                <w:sz w:val="23"/>
                <w:szCs w:val="23"/>
                <w:color w:val="auto"/>
              </w:rPr>
            </w:pPr>
          </w:p>
        </w:tc>
        <w:tc>
          <w:tcPr>
            <w:tcW w:w="16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20"/>
                <w:szCs w:val="20"/>
                <w:color w:val="auto"/>
                <w:w w:val="91"/>
              </w:rPr>
              <w:t>Owned</w:t>
            </w:r>
          </w:p>
        </w:tc>
        <w:tc>
          <w:tcPr>
            <w:tcW w:w="1720" w:type="dxa"/>
            <w:vAlign w:val="bottom"/>
            <w:tcBorders>
              <w:bottom w:val="single" w:sz="8" w:color="auto"/>
              <w:right w:val="single" w:sz="8" w:color="auto"/>
            </w:tcBorders>
            <w:shd w:val="clear" w:color="auto" w:fill="F1F1F1"/>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9900 Spectrum LLC</w:t>
            </w:r>
          </w:p>
        </w:tc>
        <w:tc>
          <w:tcPr>
            <w:tcW w:w="214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Texas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BCSG Limited</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BCSGHoldings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0"/>
                <w:szCs w:val="20"/>
                <w:color w:val="auto"/>
              </w:rPr>
              <w:t>Limited</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gridSpan w:val="3"/>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BCSG Australia Pty Ltd</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Business Centric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Australia</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line="217" w:lineRule="exact"/>
              <w:rPr>
                <w:sz w:val="20"/>
                <w:szCs w:val="20"/>
                <w:color w:val="auto"/>
              </w:rPr>
            </w:pPr>
            <w:r>
              <w:rPr>
                <w:rFonts w:ascii="Arial" w:cs="Arial" w:eastAsia="Arial" w:hAnsi="Arial"/>
                <w:sz w:val="20"/>
                <w:szCs w:val="20"/>
                <w:color w:val="auto"/>
              </w:rPr>
              <w:t>Services Group</w:t>
            </w:r>
          </w:p>
        </w:tc>
        <w:tc>
          <w:tcPr>
            <w:tcW w:w="16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Limited</w:t>
            </w:r>
          </w:p>
        </w:tc>
        <w:tc>
          <w:tcPr>
            <w:tcW w:w="16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BCSG GmbH</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Business Centric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Germany</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line="217" w:lineRule="exact"/>
              <w:rPr>
                <w:sz w:val="20"/>
                <w:szCs w:val="20"/>
                <w:color w:val="auto"/>
              </w:rPr>
            </w:pPr>
            <w:r>
              <w:rPr>
                <w:rFonts w:ascii="Arial" w:cs="Arial" w:eastAsia="Arial" w:hAnsi="Arial"/>
                <w:sz w:val="20"/>
                <w:szCs w:val="20"/>
                <w:color w:val="auto"/>
              </w:rPr>
              <w:t>Services Group</w:t>
            </w:r>
          </w:p>
        </w:tc>
        <w:tc>
          <w:tcPr>
            <w:tcW w:w="16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Limited</w:t>
            </w:r>
          </w:p>
        </w:tc>
        <w:tc>
          <w:tcPr>
            <w:tcW w:w="16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BCSGHoldings Limited</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LegalZoom UK</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gridSpan w:val="3"/>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Business Centric Services</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Business Centric</w:t>
            </w:r>
          </w:p>
        </w:tc>
        <w:tc>
          <w:tcPr>
            <w:tcW w:w="16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vMerge w:val="restart"/>
          </w:tcPr>
          <w:p>
            <w:pPr>
              <w:jc w:val="center"/>
              <w:ind w:right="40"/>
              <w:spacing w:after="0"/>
              <w:rPr>
                <w:sz w:val="20"/>
                <w:szCs w:val="20"/>
                <w:color w:val="auto"/>
              </w:rPr>
            </w:pPr>
            <w:r>
              <w:rPr>
                <w:rFonts w:ascii="Arial" w:cs="Arial" w:eastAsia="Arial" w:hAnsi="Arial"/>
                <w:sz w:val="20"/>
                <w:szCs w:val="20"/>
                <w:color w:val="auto"/>
                <w:w w:val="97"/>
              </w:rPr>
              <w:t>British</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3120" w:type="dxa"/>
            <w:vAlign w:val="bottom"/>
            <w:tcBorders>
              <w:left w:val="single" w:sz="8" w:color="auto"/>
              <w:right w:val="single" w:sz="8" w:color="auto"/>
            </w:tcBorders>
            <w:vMerge w:val="restart"/>
          </w:tcPr>
          <w:p>
            <w:pPr>
              <w:ind w:left="120"/>
              <w:spacing w:after="0" w:line="226" w:lineRule="exact"/>
              <w:rPr>
                <w:sz w:val="20"/>
                <w:szCs w:val="20"/>
                <w:color w:val="auto"/>
              </w:rPr>
            </w:pPr>
            <w:r>
              <w:rPr>
                <w:rFonts w:ascii="Arial" w:cs="Arial" w:eastAsia="Arial" w:hAnsi="Arial"/>
                <w:sz w:val="20"/>
                <w:szCs w:val="20"/>
                <w:color w:val="auto"/>
              </w:rPr>
              <w:t>Group Canada Inc.</w:t>
            </w:r>
          </w:p>
        </w:tc>
        <w:tc>
          <w:tcPr>
            <w:tcW w:w="2140" w:type="dxa"/>
            <w:vAlign w:val="bottom"/>
            <w:tcBorders>
              <w:right w:val="single" w:sz="8" w:color="auto"/>
            </w:tcBorders>
            <w:gridSpan w:val="3"/>
            <w:vMerge w:val="restart"/>
          </w:tcPr>
          <w:p>
            <w:pPr>
              <w:ind w:left="100"/>
              <w:spacing w:after="0" w:line="226" w:lineRule="exact"/>
              <w:rPr>
                <w:sz w:val="20"/>
                <w:szCs w:val="20"/>
                <w:color w:val="auto"/>
              </w:rPr>
            </w:pPr>
            <w:r>
              <w:rPr>
                <w:rFonts w:ascii="Arial" w:cs="Arial" w:eastAsia="Arial" w:hAnsi="Arial"/>
                <w:sz w:val="20"/>
                <w:szCs w:val="20"/>
                <w:color w:val="auto"/>
              </w:rPr>
              <w:t>Services Group</w:t>
            </w:r>
          </w:p>
        </w:tc>
        <w:tc>
          <w:tcPr>
            <w:tcW w:w="1620" w:type="dxa"/>
            <w:vAlign w:val="bottom"/>
            <w:tcBorders>
              <w:right w:val="single" w:sz="8" w:color="auto"/>
            </w:tcBorders>
            <w:vMerge w:val="restart"/>
          </w:tcPr>
          <w:p>
            <w:pPr>
              <w:jc w:val="center"/>
              <w:spacing w:after="0" w:line="226" w:lineRule="exact"/>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vMerge w:val="continue"/>
          </w:tcPr>
          <w:p>
            <w:pPr>
              <w:spacing w:after="0"/>
              <w:rPr>
                <w:sz w:val="10"/>
                <w:szCs w:val="10"/>
                <w:color w:val="auto"/>
              </w:rPr>
            </w:pPr>
          </w:p>
        </w:tc>
        <w:tc>
          <w:tcPr>
            <w:tcW w:w="2140" w:type="dxa"/>
            <w:vAlign w:val="bottom"/>
            <w:tcBorders>
              <w:right w:val="single" w:sz="8" w:color="auto"/>
            </w:tcBorders>
            <w:gridSpan w:val="3"/>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ind w:right="40"/>
              <w:spacing w:after="0"/>
              <w:rPr>
                <w:sz w:val="20"/>
                <w:szCs w:val="20"/>
                <w:color w:val="auto"/>
              </w:rPr>
            </w:pPr>
            <w:r>
              <w:rPr>
                <w:rFonts w:ascii="Arial" w:cs="Arial" w:eastAsia="Arial" w:hAnsi="Arial"/>
                <w:sz w:val="20"/>
                <w:szCs w:val="20"/>
                <w:color w:val="auto"/>
                <w:w w:val="92"/>
              </w:rPr>
              <w:t>Columbia</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0"/>
                <w:szCs w:val="20"/>
                <w:color w:val="auto"/>
              </w:rPr>
              <w:t>Limited</w:t>
            </w:r>
          </w:p>
        </w:tc>
        <w:tc>
          <w:tcPr>
            <w:tcW w:w="16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gridSpan w:val="3"/>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Business Centric Services</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BCSGHoldings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1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Group Limited</w:t>
            </w:r>
          </w:p>
        </w:tc>
        <w:tc>
          <w:tcPr>
            <w:tcW w:w="21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0"/>
                <w:szCs w:val="20"/>
                <w:color w:val="auto"/>
              </w:rPr>
              <w:t>Limited</w:t>
            </w:r>
          </w:p>
        </w:tc>
        <w:tc>
          <w:tcPr>
            <w:tcW w:w="162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gridSpan w:val="3"/>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Business Centric Services</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Business Centric</w:t>
            </w:r>
          </w:p>
        </w:tc>
        <w:tc>
          <w:tcPr>
            <w:tcW w:w="16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2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0"/>
                <w:szCs w:val="20"/>
                <w:color w:val="auto"/>
              </w:rPr>
              <w:t>Group Inc.</w:t>
            </w:r>
          </w:p>
        </w:tc>
        <w:tc>
          <w:tcPr>
            <w:tcW w:w="2140" w:type="dxa"/>
            <w:vAlign w:val="bottom"/>
            <w:tcBorders>
              <w:right w:val="single" w:sz="8" w:color="auto"/>
            </w:tcBorders>
            <w:gridSpan w:val="3"/>
          </w:tcPr>
          <w:p>
            <w:pPr>
              <w:ind w:left="100"/>
              <w:spacing w:after="0" w:line="226" w:lineRule="exact"/>
              <w:rPr>
                <w:sz w:val="20"/>
                <w:szCs w:val="20"/>
                <w:color w:val="auto"/>
              </w:rPr>
            </w:pPr>
            <w:r>
              <w:rPr>
                <w:rFonts w:ascii="Arial" w:cs="Arial" w:eastAsia="Arial" w:hAnsi="Arial"/>
                <w:sz w:val="20"/>
                <w:szCs w:val="20"/>
                <w:color w:val="auto"/>
              </w:rPr>
              <w:t>Services Group</w:t>
            </w:r>
          </w:p>
        </w:tc>
        <w:tc>
          <w:tcPr>
            <w:tcW w:w="16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2"/>
              </w:rPr>
              <w:t>Delaware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Limited</w:t>
            </w:r>
          </w:p>
        </w:tc>
        <w:tc>
          <w:tcPr>
            <w:tcW w:w="16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CreatingWill.com, LLC</w:t>
            </w:r>
          </w:p>
        </w:tc>
        <w:tc>
          <w:tcPr>
            <w:tcW w:w="214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Delaware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Legalinc Corporate Services Inc.</w:t>
            </w:r>
          </w:p>
        </w:tc>
        <w:tc>
          <w:tcPr>
            <w:tcW w:w="214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Delaware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Legalinc Corporate Services</w:t>
            </w: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Legalinc Corporate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[49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w:t>
            </w:r>
            <w:r>
              <w:rPr>
                <w:rFonts w:ascii="Arial" w:cs="Arial" w:eastAsia="Arial" w:hAnsi="Arial"/>
                <w:sz w:val="26"/>
                <w:szCs w:val="26"/>
                <w:color w:val="auto"/>
                <w:vertAlign w:val="superscript"/>
              </w:rPr>
              <w:t>1</w:t>
            </w:r>
          </w:p>
        </w:tc>
        <w:tc>
          <w:tcPr>
            <w:tcW w:w="21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 xml:space="preserve">Services Inc. </w:t>
            </w:r>
            <w:r>
              <w:rPr>
                <w:rFonts w:ascii="Arial" w:cs="Arial" w:eastAsia="Arial" w:hAnsi="Arial"/>
                <w:sz w:val="26"/>
                <w:szCs w:val="26"/>
                <w:color w:val="auto"/>
                <w:vertAlign w:val="superscript"/>
              </w:rPr>
              <w:t>2</w:t>
            </w: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jurisdictions]*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20" w:type="dxa"/>
            <w:vAlign w:val="bottom"/>
            <w:tcBorders>
              <w:left w:val="single" w:sz="8" w:color="auto"/>
              <w:right w:val="single" w:sz="8" w:color="auto"/>
            </w:tcBorders>
          </w:tcPr>
          <w:p>
            <w:pPr>
              <w:ind w:left="160"/>
              <w:spacing w:after="0" w:line="222" w:lineRule="exact"/>
              <w:rPr>
                <w:sz w:val="20"/>
                <w:szCs w:val="20"/>
                <w:color w:val="auto"/>
              </w:rPr>
            </w:pPr>
            <w:r>
              <w:rPr>
                <w:rFonts w:ascii="Arial" w:cs="Arial" w:eastAsia="Arial" w:hAnsi="Arial"/>
                <w:sz w:val="20"/>
                <w:szCs w:val="20"/>
                <w:color w:val="auto"/>
              </w:rPr>
              <w:t>LegalZoom Limited</w:t>
            </w:r>
          </w:p>
        </w:tc>
        <w:tc>
          <w:tcPr>
            <w:tcW w:w="2140" w:type="dxa"/>
            <w:vAlign w:val="bottom"/>
            <w:tcBorders>
              <w:right w:val="single" w:sz="8" w:color="auto"/>
            </w:tcBorders>
            <w:gridSpan w:val="3"/>
          </w:tcPr>
          <w:p>
            <w:pPr>
              <w:ind w:left="100"/>
              <w:spacing w:after="0" w:line="222" w:lineRule="exact"/>
              <w:rPr>
                <w:sz w:val="20"/>
                <w:szCs w:val="20"/>
                <w:color w:val="auto"/>
              </w:rPr>
            </w:pPr>
            <w:r>
              <w:rPr>
                <w:rFonts w:ascii="Arial" w:cs="Arial" w:eastAsia="Arial" w:hAnsi="Arial"/>
                <w:sz w:val="20"/>
                <w:szCs w:val="20"/>
                <w:color w:val="auto"/>
              </w:rPr>
              <w:t>LegalZoom UK</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gridSpan w:val="3"/>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340" w:top="1318" w:right="839" w:bottom="1440" w:gutter="0" w:footer="0" w:header="0"/>
        </w:sectPr>
      </w:pPr>
    </w:p>
    <w:bookmarkStart w:id="300" w:name="page301"/>
    <w:bookmarkEnd w:id="300"/>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19"/>
        </w:trPr>
        <w:tc>
          <w:tcPr>
            <w:tcW w:w="31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Legalzoom.com Texas, LLC</w:t>
            </w:r>
          </w:p>
        </w:tc>
        <w:tc>
          <w:tcPr>
            <w:tcW w:w="214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Texas</w:t>
            </w:r>
          </w:p>
        </w:tc>
        <w:tc>
          <w:tcPr>
            <w:tcW w:w="0" w:type="dxa"/>
            <w:vAlign w:val="bottom"/>
          </w:tcPr>
          <w:p>
            <w:pPr>
              <w:spacing w:after="0"/>
              <w:rPr>
                <w:sz w:val="1"/>
                <w:szCs w:val="1"/>
                <w:color w:val="auto"/>
              </w:rPr>
            </w:pPr>
          </w:p>
        </w:tc>
      </w:tr>
      <w:tr>
        <w:trPr>
          <w:trHeight w:val="306"/>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Enterprises, LLC</w:t>
            </w:r>
          </w:p>
        </w:tc>
        <w:tc>
          <w:tcPr>
            <w:tcW w:w="21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Delaware</w:t>
            </w: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Enterprises Ltd.</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 Holdings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99.92%</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Malta</w:t>
            </w: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Ltd.</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3120" w:type="dxa"/>
            <w:vAlign w:val="bottom"/>
            <w:tcBorders>
              <w:left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3120" w:type="dxa"/>
            <w:vAlign w:val="bottom"/>
            <w:tcBorders>
              <w:left w:val="single" w:sz="8" w:color="auto"/>
              <w:right w:val="single" w:sz="8" w:color="auto"/>
            </w:tcBorders>
          </w:tcPr>
          <w:p>
            <w:pPr>
              <w:spacing w:after="0"/>
              <w:rPr>
                <w:sz w:val="22"/>
                <w:szCs w:val="22"/>
                <w:color w:val="auto"/>
              </w:rPr>
            </w:pP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0.08%</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Malta</w:t>
            </w:r>
          </w:p>
        </w:tc>
        <w:tc>
          <w:tcPr>
            <w:tcW w:w="0" w:type="dxa"/>
            <w:vAlign w:val="bottom"/>
          </w:tcPr>
          <w:p>
            <w:pPr>
              <w:spacing w:after="0"/>
              <w:rPr>
                <w:sz w:val="1"/>
                <w:szCs w:val="1"/>
                <w:color w:val="auto"/>
              </w:rPr>
            </w:pPr>
          </w:p>
        </w:tc>
      </w:tr>
      <w:tr>
        <w:trPr>
          <w:trHeight w:val="113"/>
        </w:trPr>
        <w:tc>
          <w:tcPr>
            <w:tcW w:w="3120" w:type="dxa"/>
            <w:vAlign w:val="bottom"/>
            <w:tcBorders>
              <w:left w:val="single" w:sz="8" w:color="auto"/>
              <w:right w:val="single" w:sz="8" w:color="auto"/>
            </w:tcBorders>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120" w:type="dxa"/>
            <w:vAlign w:val="bottom"/>
            <w:tcBorders>
              <w:left w:val="single" w:sz="8" w:color="auto"/>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Enterprise</w:t>
            </w: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Delaware</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Initiatives, Inc.</w:t>
            </w:r>
          </w:p>
        </w:tc>
        <w:tc>
          <w:tcPr>
            <w:tcW w:w="2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262890</wp:posOffset>
            </wp:positionV>
            <wp:extent cx="15284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00" w:hanging="97"/>
        <w:spacing w:after="0"/>
        <w:tabs>
          <w:tab w:leader="none" w:pos="100" w:val="left"/>
        </w:tabs>
        <w:numPr>
          <w:ilvl w:val="0"/>
          <w:numId w:val="332"/>
        </w:numPr>
        <w:rPr>
          <w:rFonts w:ascii="Arial" w:cs="Arial" w:eastAsia="Arial" w:hAnsi="Arial"/>
          <w:sz w:val="22"/>
          <w:szCs w:val="22"/>
          <w:color w:val="auto"/>
          <w:vertAlign w:val="superscript"/>
        </w:rPr>
      </w:pPr>
      <w:r>
        <w:rPr>
          <w:rFonts w:ascii="Arial" w:cs="Arial" w:eastAsia="Arial" w:hAnsi="Arial"/>
          <w:sz w:val="17"/>
          <w:szCs w:val="17"/>
          <w:color w:val="auto"/>
        </w:rPr>
        <w:t>Name of Subsidiaries in other jurisdictions (see next page).</w:t>
      </w:r>
    </w:p>
    <w:p>
      <w:pPr>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7"/>
          <w:szCs w:val="17"/>
          <w:color w:val="auto"/>
        </w:rPr>
        <w:t xml:space="preserve"> Delaware.</w:t>
      </w:r>
    </w:p>
    <w:p>
      <w:pPr>
        <w:sectPr>
          <w:pgSz w:w="11900" w:h="16838" w:orient="portrait"/>
          <w:cols w:equalWidth="0" w:num="1">
            <w:col w:w="9139"/>
          </w:cols>
          <w:pgMar w:left="1320" w:top="1298" w:right="1440" w:bottom="1440" w:gutter="0" w:footer="0" w:header="0"/>
        </w:sectPr>
      </w:pPr>
    </w:p>
    <w:bookmarkStart w:id="301" w:name="page302"/>
    <w:bookmarkEnd w:id="301"/>
    <w:tbl>
      <w:tblPr>
        <w:tblLayout w:type="fixed"/>
        <w:tblInd w:w="10" w:type="dxa"/>
        <w:tblCellMar>
          <w:top w:w="0" w:type="dxa"/>
          <w:left w:w="0" w:type="dxa"/>
          <w:bottom w:w="0" w:type="dxa"/>
          <w:right w:w="0" w:type="dxa"/>
        </w:tblCellMar>
      </w:tblPr>
      <w:tr>
        <w:trPr>
          <w:trHeight w:val="280"/>
        </w:trPr>
        <w:tc>
          <w:tcPr>
            <w:tcW w:w="3120" w:type="dxa"/>
            <w:vAlign w:val="bottom"/>
            <w:tcBorders>
              <w:top w:val="single" w:sz="8" w:color="auto"/>
              <w:left w:val="single" w:sz="8" w:color="auto"/>
              <w:right w:val="single" w:sz="8" w:color="auto"/>
            </w:tcBorders>
            <w:shd w:val="clear" w:color="auto" w:fill="F1F1F1"/>
          </w:tcPr>
          <w:p>
            <w:pPr>
              <w:ind w:left="640"/>
              <w:spacing w:after="0"/>
              <w:rPr>
                <w:sz w:val="20"/>
                <w:szCs w:val="20"/>
                <w:color w:val="auto"/>
              </w:rPr>
            </w:pPr>
            <w:r>
              <w:rPr>
                <w:rFonts w:ascii="Arial" w:cs="Arial" w:eastAsia="Arial" w:hAnsi="Arial"/>
                <w:sz w:val="20"/>
                <w:szCs w:val="20"/>
                <w:color w:val="auto"/>
              </w:rPr>
              <w:t>Name of Subsidiary</w:t>
            </w:r>
          </w:p>
        </w:tc>
        <w:tc>
          <w:tcPr>
            <w:tcW w:w="2140" w:type="dxa"/>
            <w:vAlign w:val="bottom"/>
            <w:tcBorders>
              <w:top w:val="single" w:sz="8" w:color="auto"/>
              <w:right w:val="single" w:sz="8" w:color="auto"/>
            </w:tcBorders>
            <w:shd w:val="clear" w:color="auto" w:fill="F1F1F1"/>
          </w:tcPr>
          <w:p>
            <w:pPr>
              <w:ind w:left="460"/>
              <w:spacing w:after="0"/>
              <w:rPr>
                <w:sz w:val="20"/>
                <w:szCs w:val="20"/>
                <w:color w:val="auto"/>
              </w:rPr>
            </w:pPr>
            <w:r>
              <w:rPr>
                <w:rFonts w:ascii="Arial" w:cs="Arial" w:eastAsia="Arial" w:hAnsi="Arial"/>
                <w:sz w:val="20"/>
                <w:szCs w:val="20"/>
                <w:color w:val="auto"/>
              </w:rPr>
              <w:t>Record Owner</w:t>
            </w:r>
          </w:p>
        </w:tc>
        <w:tc>
          <w:tcPr>
            <w:tcW w:w="1620" w:type="dxa"/>
            <w:vAlign w:val="bottom"/>
            <w:tcBorders>
              <w:top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20"/>
                <w:szCs w:val="20"/>
                <w:color w:val="auto"/>
                <w:w w:val="88"/>
              </w:rPr>
              <w:t>Percentage of</w:t>
            </w:r>
          </w:p>
        </w:tc>
        <w:tc>
          <w:tcPr>
            <w:tcW w:w="1720" w:type="dxa"/>
            <w:vAlign w:val="bottom"/>
            <w:tcBorders>
              <w:top w:val="single" w:sz="8" w:color="auto"/>
              <w:right w:val="single" w:sz="8" w:color="auto"/>
            </w:tcBorders>
            <w:shd w:val="clear" w:color="auto" w:fill="F1F1F1"/>
          </w:tcPr>
          <w:p>
            <w:pPr>
              <w:jc w:val="center"/>
              <w:ind w:right="40"/>
              <w:spacing w:after="0"/>
              <w:rPr>
                <w:sz w:val="20"/>
                <w:szCs w:val="20"/>
                <w:color w:val="auto"/>
              </w:rPr>
            </w:pPr>
            <w:r>
              <w:rPr>
                <w:rFonts w:ascii="Arial" w:cs="Arial" w:eastAsia="Arial" w:hAnsi="Arial"/>
                <w:sz w:val="20"/>
                <w:szCs w:val="20"/>
                <w:color w:val="auto"/>
                <w:w w:val="93"/>
              </w:rPr>
              <w:t>Jurisdiction of</w:t>
            </w:r>
          </w:p>
        </w:tc>
        <w:tc>
          <w:tcPr>
            <w:tcW w:w="0" w:type="dxa"/>
            <w:vAlign w:val="bottom"/>
          </w:tcPr>
          <w:p>
            <w:pPr>
              <w:spacing w:after="0"/>
              <w:rPr>
                <w:sz w:val="1"/>
                <w:szCs w:val="1"/>
                <w:color w:val="auto"/>
              </w:rPr>
            </w:pPr>
          </w:p>
        </w:tc>
      </w:tr>
      <w:tr>
        <w:trPr>
          <w:trHeight w:val="226"/>
        </w:trPr>
        <w:tc>
          <w:tcPr>
            <w:tcW w:w="3120" w:type="dxa"/>
            <w:vAlign w:val="bottom"/>
            <w:tcBorders>
              <w:left w:val="single" w:sz="8" w:color="auto"/>
              <w:right w:val="single" w:sz="8" w:color="auto"/>
            </w:tcBorders>
            <w:shd w:val="clear" w:color="auto" w:fill="F1F1F1"/>
          </w:tcPr>
          <w:p>
            <w:pPr>
              <w:spacing w:after="0"/>
              <w:rPr>
                <w:sz w:val="19"/>
                <w:szCs w:val="19"/>
                <w:color w:val="auto"/>
              </w:rPr>
            </w:pPr>
          </w:p>
        </w:tc>
        <w:tc>
          <w:tcPr>
            <w:tcW w:w="2140" w:type="dxa"/>
            <w:vAlign w:val="bottom"/>
            <w:tcBorders>
              <w:right w:val="single" w:sz="8" w:color="auto"/>
            </w:tcBorders>
            <w:shd w:val="clear" w:color="auto" w:fill="F1F1F1"/>
          </w:tcPr>
          <w:p>
            <w:pPr>
              <w:spacing w:after="0"/>
              <w:rPr>
                <w:sz w:val="19"/>
                <w:szCs w:val="19"/>
                <w:color w:val="auto"/>
              </w:rPr>
            </w:pPr>
          </w:p>
        </w:tc>
        <w:tc>
          <w:tcPr>
            <w:tcW w:w="1620" w:type="dxa"/>
            <w:vAlign w:val="bottom"/>
            <w:tcBorders>
              <w:right w:val="single" w:sz="8" w:color="auto"/>
            </w:tcBorders>
            <w:shd w:val="clear" w:color="auto" w:fill="F1F1F1"/>
          </w:tcPr>
          <w:p>
            <w:pPr>
              <w:jc w:val="center"/>
              <w:spacing w:after="0" w:line="226" w:lineRule="exact"/>
              <w:rPr>
                <w:sz w:val="20"/>
                <w:szCs w:val="20"/>
                <w:color w:val="auto"/>
              </w:rPr>
            </w:pPr>
            <w:r>
              <w:rPr>
                <w:rFonts w:ascii="Arial" w:cs="Arial" w:eastAsia="Arial" w:hAnsi="Arial"/>
                <w:sz w:val="20"/>
                <w:szCs w:val="20"/>
                <w:color w:val="auto"/>
                <w:w w:val="91"/>
              </w:rPr>
              <w:t>Equity Interests</w:t>
            </w:r>
          </w:p>
        </w:tc>
        <w:tc>
          <w:tcPr>
            <w:tcW w:w="1720" w:type="dxa"/>
            <w:vAlign w:val="bottom"/>
            <w:tcBorders>
              <w:right w:val="single" w:sz="8" w:color="auto"/>
            </w:tcBorders>
            <w:shd w:val="clear" w:color="auto" w:fill="F1F1F1"/>
          </w:tcPr>
          <w:p>
            <w:pPr>
              <w:jc w:val="center"/>
              <w:ind w:right="40"/>
              <w:spacing w:after="0" w:line="226" w:lineRule="exact"/>
              <w:rPr>
                <w:sz w:val="20"/>
                <w:szCs w:val="20"/>
                <w:color w:val="auto"/>
              </w:rPr>
            </w:pPr>
            <w:r>
              <w:rPr>
                <w:rFonts w:ascii="Arial" w:cs="Arial" w:eastAsia="Arial" w:hAnsi="Arial"/>
                <w:sz w:val="20"/>
                <w:szCs w:val="20"/>
                <w:color w:val="auto"/>
                <w:w w:val="94"/>
              </w:rPr>
              <w:t>Incorporation</w:t>
            </w: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shd w:val="clear" w:color="auto" w:fill="F1F1F1"/>
          </w:tcPr>
          <w:p>
            <w:pPr>
              <w:spacing w:after="0"/>
              <w:rPr>
                <w:sz w:val="23"/>
                <w:szCs w:val="23"/>
                <w:color w:val="auto"/>
              </w:rPr>
            </w:pPr>
          </w:p>
        </w:tc>
        <w:tc>
          <w:tcPr>
            <w:tcW w:w="2140" w:type="dxa"/>
            <w:vAlign w:val="bottom"/>
            <w:tcBorders>
              <w:bottom w:val="single" w:sz="8" w:color="auto"/>
              <w:right w:val="single" w:sz="8" w:color="auto"/>
            </w:tcBorders>
            <w:shd w:val="clear" w:color="auto" w:fill="F1F1F1"/>
          </w:tcPr>
          <w:p>
            <w:pPr>
              <w:spacing w:after="0"/>
              <w:rPr>
                <w:sz w:val="23"/>
                <w:szCs w:val="23"/>
                <w:color w:val="auto"/>
              </w:rPr>
            </w:pPr>
          </w:p>
        </w:tc>
        <w:tc>
          <w:tcPr>
            <w:tcW w:w="16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20"/>
                <w:szCs w:val="20"/>
                <w:color w:val="auto"/>
                <w:w w:val="91"/>
              </w:rPr>
              <w:t>Owned</w:t>
            </w:r>
          </w:p>
        </w:tc>
        <w:tc>
          <w:tcPr>
            <w:tcW w:w="1720" w:type="dxa"/>
            <w:vAlign w:val="bottom"/>
            <w:tcBorders>
              <w:bottom w:val="single" w:sz="8" w:color="auto"/>
              <w:right w:val="single" w:sz="8" w:color="auto"/>
            </w:tcBorders>
            <w:shd w:val="clear" w:color="auto" w:fill="F1F1F1"/>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Germany GmbH</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0"/>
                <w:szCs w:val="20"/>
                <w:color w:val="auto"/>
              </w:rPr>
              <w:t>International</w:t>
            </w:r>
          </w:p>
        </w:tc>
        <w:tc>
          <w:tcPr>
            <w:tcW w:w="16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Pulse IP, LLC</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Pulse Global Services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4"/>
              </w:rPr>
              <w:t>Texas</w:t>
            </w: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Limited (UK)</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Holdings Ltd</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99.92%</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Malta</w:t>
            </w: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Enterprises LLC</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120" w:type="dxa"/>
            <w:vAlign w:val="bottom"/>
            <w:tcBorders>
              <w:left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12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0.08%</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Malta</w:t>
            </w:r>
          </w:p>
        </w:tc>
        <w:tc>
          <w:tcPr>
            <w:tcW w:w="0" w:type="dxa"/>
            <w:vAlign w:val="bottom"/>
          </w:tcPr>
          <w:p>
            <w:pPr>
              <w:spacing w:after="0"/>
              <w:rPr>
                <w:sz w:val="1"/>
                <w:szCs w:val="1"/>
                <w:color w:val="auto"/>
              </w:rPr>
            </w:pPr>
          </w:p>
        </w:tc>
      </w:tr>
      <w:tr>
        <w:trPr>
          <w:trHeight w:val="178"/>
        </w:trPr>
        <w:tc>
          <w:tcPr>
            <w:tcW w:w="3120" w:type="dxa"/>
            <w:vAlign w:val="bottom"/>
            <w:tcBorders>
              <w:left w:val="single" w:sz="8" w:color="auto"/>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International</w:t>
            </w: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Holdings Ltd.</w:t>
            </w:r>
          </w:p>
        </w:tc>
        <w:tc>
          <w:tcPr>
            <w:tcW w:w="2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Pulse Global Services Limited</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0"/>
                <w:szCs w:val="20"/>
                <w:color w:val="auto"/>
              </w:rPr>
              <w:t>International</w:t>
            </w:r>
          </w:p>
        </w:tc>
        <w:tc>
          <w:tcPr>
            <w:tcW w:w="16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Services Ltd</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 Holdings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99.92%</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Malta</w:t>
            </w: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Ltd.</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3120" w:type="dxa"/>
            <w:vAlign w:val="bottom"/>
            <w:tcBorders>
              <w:left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12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0.08%</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Malta</w:t>
            </w:r>
          </w:p>
        </w:tc>
        <w:tc>
          <w:tcPr>
            <w:tcW w:w="0" w:type="dxa"/>
            <w:vAlign w:val="bottom"/>
          </w:tcPr>
          <w:p>
            <w:pPr>
              <w:spacing w:after="0"/>
              <w:rPr>
                <w:sz w:val="1"/>
                <w:szCs w:val="1"/>
                <w:color w:val="auto"/>
              </w:rPr>
            </w:pPr>
          </w:p>
        </w:tc>
      </w:tr>
      <w:tr>
        <w:trPr>
          <w:trHeight w:val="141"/>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Insurance Services,</w:t>
            </w: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Delaware</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Inc.</w:t>
            </w:r>
          </w:p>
        </w:tc>
        <w:tc>
          <w:tcPr>
            <w:tcW w:w="2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LegalZoom UK Holdings LTD</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0"/>
                <w:szCs w:val="20"/>
                <w:color w:val="auto"/>
              </w:rPr>
              <w:t>International</w:t>
            </w:r>
          </w:p>
        </w:tc>
        <w:tc>
          <w:tcPr>
            <w:tcW w:w="16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120" w:type="dxa"/>
            <w:vAlign w:val="bottom"/>
            <w:tcBorders>
              <w:left w:val="single" w:sz="8" w:color="auto"/>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LZ Financial Services LLC</w:t>
            </w:r>
          </w:p>
        </w:tc>
        <w:tc>
          <w:tcPr>
            <w:tcW w:w="21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Delaware</w:t>
            </w:r>
          </w:p>
        </w:tc>
        <w:tc>
          <w:tcPr>
            <w:tcW w:w="0" w:type="dxa"/>
            <w:vAlign w:val="bottom"/>
          </w:tcPr>
          <w:p>
            <w:pPr>
              <w:spacing w:after="0"/>
              <w:rPr>
                <w:sz w:val="1"/>
                <w:szCs w:val="1"/>
                <w:color w:val="auto"/>
              </w:rPr>
            </w:pPr>
          </w:p>
        </w:tc>
      </w:tr>
      <w:tr>
        <w:trPr>
          <w:trHeight w:val="238"/>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Ormsby Street Limited</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 UK</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right w:val="single" w:sz="8" w:color="auto"/>
            </w:tcBorders>
          </w:tcPr>
          <w:p>
            <w:pPr>
              <w:spacing w:after="0"/>
              <w:rPr>
                <w:sz w:val="11"/>
                <w:szCs w:val="11"/>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TheFormationsCompany.com</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LegalZoom UK</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173"/>
        </w:trPr>
        <w:tc>
          <w:tcPr>
            <w:tcW w:w="31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Ltd.</w:t>
            </w: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Holdings Ltd</w:t>
            </w:r>
          </w:p>
        </w:tc>
        <w:tc>
          <w:tcPr>
            <w:tcW w:w="162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 Corporation</w:t>
            </w:r>
          </w:p>
        </w:tc>
        <w:tc>
          <w:tcPr>
            <w:tcW w:w="21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Nevada</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Agents, Inc.</w:t>
            </w:r>
          </w:p>
        </w:tc>
        <w:tc>
          <w:tcPr>
            <w:tcW w:w="2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119"/>
          </w:cols>
          <w:pgMar w:left="1340" w:top="1348" w:right="1440" w:bottom="1440" w:gutter="0" w:footer="0" w:header="0"/>
        </w:sectPr>
      </w:pPr>
    </w:p>
    <w:bookmarkStart w:id="302" w:name="page303"/>
    <w:bookmarkEnd w:id="3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 Corporation</w:t>
            </w: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United States</w:t>
            </w:r>
          </w:p>
        </w:tc>
        <w:tc>
          <w:tcPr>
            <w:tcW w:w="1620" w:type="dxa"/>
            <w:vAlign w:val="bottom"/>
            <w:tcBorders>
              <w:top w:val="single" w:sz="8" w:color="auto"/>
              <w:right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2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0"/>
                <w:szCs w:val="20"/>
                <w:color w:val="auto"/>
              </w:rPr>
              <w:t>Agents, Inc.</w:t>
            </w:r>
          </w:p>
        </w:tc>
        <w:tc>
          <w:tcPr>
            <w:tcW w:w="2140" w:type="dxa"/>
            <w:vAlign w:val="bottom"/>
            <w:tcBorders>
              <w:right w:val="single" w:sz="8" w:color="auto"/>
            </w:tcBorders>
          </w:tcPr>
          <w:p>
            <w:pPr>
              <w:ind w:left="100"/>
              <w:spacing w:after="0" w:line="226" w:lineRule="exact"/>
              <w:rPr>
                <w:sz w:val="20"/>
                <w:szCs w:val="20"/>
                <w:color w:val="auto"/>
              </w:rPr>
            </w:pPr>
            <w:r>
              <w:rPr>
                <w:rFonts w:ascii="Arial" w:cs="Arial" w:eastAsia="Arial" w:hAnsi="Arial"/>
                <w:sz w:val="20"/>
                <w:szCs w:val="20"/>
                <w:color w:val="auto"/>
              </w:rPr>
              <w:t>Corporation Agents,</w:t>
            </w:r>
          </w:p>
        </w:tc>
        <w:tc>
          <w:tcPr>
            <w:tcW w:w="1620" w:type="dxa"/>
            <w:vAlign w:val="bottom"/>
            <w:tcBorders>
              <w:right w:val="single" w:sz="8" w:color="auto"/>
            </w:tcBorders>
          </w:tcPr>
          <w:p>
            <w:pPr>
              <w:jc w:val="right"/>
              <w:ind w:right="500"/>
              <w:spacing w:after="0" w:line="226" w:lineRule="exact"/>
              <w:rPr>
                <w:sz w:val="20"/>
                <w:szCs w:val="20"/>
                <w:color w:val="auto"/>
              </w:rPr>
            </w:pPr>
            <w:r>
              <w:rPr>
                <w:rFonts w:ascii="Arial" w:cs="Arial" w:eastAsia="Arial" w:hAnsi="Arial"/>
                <w:sz w:val="20"/>
                <w:szCs w:val="20"/>
                <w:color w:val="auto"/>
              </w:rPr>
              <w:t>100%</w:t>
            </w:r>
          </w:p>
        </w:tc>
        <w:tc>
          <w:tcPr>
            <w:tcW w:w="17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7"/>
              </w:rPr>
              <w:t>California</w:t>
            </w: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w:t>
            </w:r>
          </w:p>
        </w:tc>
        <w:tc>
          <w:tcPr>
            <w:tcW w:w="16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 Corporation</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United States</w:t>
            </w:r>
          </w:p>
        </w:tc>
        <w:tc>
          <w:tcPr>
            <w:tcW w:w="16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2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0"/>
                <w:szCs w:val="20"/>
                <w:color w:val="auto"/>
              </w:rPr>
              <w:t>Agents, Inc.</w:t>
            </w:r>
          </w:p>
        </w:tc>
        <w:tc>
          <w:tcPr>
            <w:tcW w:w="2140" w:type="dxa"/>
            <w:vAlign w:val="bottom"/>
            <w:tcBorders>
              <w:right w:val="single" w:sz="8" w:color="auto"/>
            </w:tcBorders>
          </w:tcPr>
          <w:p>
            <w:pPr>
              <w:ind w:left="100"/>
              <w:spacing w:after="0" w:line="226" w:lineRule="exact"/>
              <w:rPr>
                <w:sz w:val="20"/>
                <w:szCs w:val="20"/>
                <w:color w:val="auto"/>
              </w:rPr>
            </w:pPr>
            <w:r>
              <w:rPr>
                <w:rFonts w:ascii="Arial" w:cs="Arial" w:eastAsia="Arial" w:hAnsi="Arial"/>
                <w:sz w:val="20"/>
                <w:szCs w:val="20"/>
                <w:color w:val="auto"/>
              </w:rPr>
              <w:t>Corporation Agents,</w:t>
            </w:r>
          </w:p>
        </w:tc>
        <w:tc>
          <w:tcPr>
            <w:tcW w:w="1620" w:type="dxa"/>
            <w:vAlign w:val="bottom"/>
            <w:tcBorders>
              <w:right w:val="single" w:sz="8" w:color="auto"/>
            </w:tcBorders>
          </w:tcPr>
          <w:p>
            <w:pPr>
              <w:jc w:val="right"/>
              <w:ind w:right="500"/>
              <w:spacing w:after="0" w:line="226" w:lineRule="exact"/>
              <w:rPr>
                <w:sz w:val="20"/>
                <w:szCs w:val="20"/>
                <w:color w:val="auto"/>
              </w:rPr>
            </w:pPr>
            <w:r>
              <w:rPr>
                <w:rFonts w:ascii="Arial" w:cs="Arial" w:eastAsia="Arial" w:hAnsi="Arial"/>
                <w:sz w:val="20"/>
                <w:szCs w:val="20"/>
                <w:color w:val="auto"/>
              </w:rPr>
              <w:t>100%</w:t>
            </w:r>
          </w:p>
        </w:tc>
        <w:tc>
          <w:tcPr>
            <w:tcW w:w="17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4"/>
              </w:rPr>
              <w:t>Maryland</w:t>
            </w: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w:t>
            </w:r>
          </w:p>
        </w:tc>
        <w:tc>
          <w:tcPr>
            <w:tcW w:w="16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12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0"/>
                <w:szCs w:val="20"/>
                <w:color w:val="auto"/>
              </w:rPr>
              <w:t>LZ Legal Services LLC</w:t>
            </w:r>
          </w:p>
        </w:tc>
        <w:tc>
          <w:tcPr>
            <w:tcW w:w="2140" w:type="dxa"/>
            <w:vAlign w:val="bottom"/>
            <w:tcBorders>
              <w:right w:val="single" w:sz="8" w:color="auto"/>
            </w:tcBorders>
          </w:tcPr>
          <w:p>
            <w:pPr>
              <w:ind w:left="100"/>
              <w:spacing w:after="0" w:line="226" w:lineRule="exact"/>
              <w:rPr>
                <w:sz w:val="20"/>
                <w:szCs w:val="20"/>
                <w:color w:val="auto"/>
              </w:rPr>
            </w:pPr>
            <w:r>
              <w:rPr>
                <w:rFonts w:ascii="Arial" w:cs="Arial" w:eastAsia="Arial" w:hAnsi="Arial"/>
                <w:sz w:val="20"/>
                <w:szCs w:val="20"/>
                <w:color w:val="auto"/>
              </w:rPr>
              <w:t>LegalZoom</w:t>
            </w:r>
          </w:p>
        </w:tc>
        <w:tc>
          <w:tcPr>
            <w:tcW w:w="1620" w:type="dxa"/>
            <w:vAlign w:val="bottom"/>
            <w:tcBorders>
              <w:right w:val="single" w:sz="8" w:color="auto"/>
            </w:tcBorders>
            <w:vMerge w:val="restart"/>
          </w:tcPr>
          <w:p>
            <w:pPr>
              <w:jc w:val="right"/>
              <w:ind w:right="500"/>
              <w:spacing w:after="0"/>
              <w:rPr>
                <w:sz w:val="20"/>
                <w:szCs w:val="20"/>
                <w:color w:val="auto"/>
              </w:rPr>
            </w:pPr>
            <w:r>
              <w:rPr>
                <w:rFonts w:ascii="Arial" w:cs="Arial" w:eastAsia="Arial" w:hAnsi="Arial"/>
                <w:sz w:val="20"/>
                <w:szCs w:val="20"/>
                <w:color w:val="auto"/>
              </w:rPr>
              <w:t>100%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Arizona</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Enterprises, LLC</w:t>
            </w:r>
          </w:p>
        </w:tc>
        <w:tc>
          <w:tcPr>
            <w:tcW w:w="16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Purely Solutions, LLC</w:t>
            </w:r>
          </w:p>
        </w:tc>
        <w:tc>
          <w:tcPr>
            <w:tcW w:w="21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LegalZoom.com, Inc.</w:t>
            </w:r>
          </w:p>
        </w:tc>
        <w:tc>
          <w:tcPr>
            <w:tcW w:w="162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20"/>
                <w:szCs w:val="20"/>
                <w:color w:val="auto"/>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Texas</w:t>
            </w:r>
          </w:p>
        </w:tc>
        <w:tc>
          <w:tcPr>
            <w:tcW w:w="0" w:type="dxa"/>
            <w:vAlign w:val="bottom"/>
          </w:tcPr>
          <w:p>
            <w:pPr>
              <w:spacing w:after="0"/>
              <w:rPr>
                <w:sz w:val="1"/>
                <w:szCs w:val="1"/>
                <w:color w:val="auto"/>
              </w:rPr>
            </w:pPr>
          </w:p>
        </w:tc>
      </w:tr>
    </w:tbl>
    <w:p>
      <w:pPr>
        <w:sectPr>
          <w:pgSz w:w="11900" w:h="16838" w:orient="portrait"/>
          <w:cols w:equalWidth="0" w:num="1">
            <w:col w:w="9119"/>
          </w:cols>
          <w:pgMar w:left="1340" w:top="1348" w:right="1440" w:bottom="1440" w:gutter="0" w:footer="0" w:header="0"/>
        </w:sectPr>
      </w:pPr>
    </w:p>
    <w:bookmarkStart w:id="303" w:name="page304"/>
    <w:bookmarkEnd w:id="303"/>
    <w:p>
      <w:pPr>
        <w:ind w:left="1900"/>
        <w:spacing w:after="0"/>
        <w:rPr>
          <w:sz w:val="20"/>
          <w:szCs w:val="20"/>
          <w:color w:val="auto"/>
        </w:rPr>
      </w:pPr>
      <w:r>
        <w:rPr>
          <w:rFonts w:ascii="Arial" w:cs="Arial" w:eastAsia="Arial" w:hAnsi="Arial"/>
          <w:sz w:val="20"/>
          <w:szCs w:val="20"/>
          <w:u w:val="single" w:color="auto"/>
          <w:color w:val="auto"/>
        </w:rPr>
        <w:t>*Subsidiaries of Legalinc Corporate Services Inc.</w:t>
      </w: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580" w:type="dxa"/>
            <w:vAlign w:val="bottom"/>
            <w:tcBorders>
              <w:top w:val="single" w:sz="8" w:color="auto"/>
              <w:left w:val="single" w:sz="8" w:color="auto"/>
              <w:right w:val="single" w:sz="8" w:color="auto"/>
            </w:tcBorders>
            <w:shd w:val="clear" w:color="auto" w:fill="F1F1F1"/>
          </w:tcPr>
          <w:p>
            <w:pPr>
              <w:ind w:left="280"/>
              <w:spacing w:after="0"/>
              <w:rPr>
                <w:sz w:val="20"/>
                <w:szCs w:val="20"/>
                <w:color w:val="auto"/>
              </w:rPr>
            </w:pPr>
            <w:r>
              <w:rPr>
                <w:rFonts w:ascii="Arial" w:cs="Arial" w:eastAsia="Arial" w:hAnsi="Arial"/>
                <w:sz w:val="17"/>
                <w:szCs w:val="17"/>
                <w:color w:val="auto"/>
              </w:rPr>
              <w:t>Jurisdiction of</w:t>
            </w:r>
          </w:p>
        </w:tc>
        <w:tc>
          <w:tcPr>
            <w:tcW w:w="2980" w:type="dxa"/>
            <w:vAlign w:val="bottom"/>
            <w:tcBorders>
              <w:top w:val="single" w:sz="8" w:color="auto"/>
              <w:right w:val="single" w:sz="8" w:color="auto"/>
            </w:tcBorders>
            <w:shd w:val="clear" w:color="auto" w:fill="F1F1F1"/>
          </w:tcPr>
          <w:p>
            <w:pPr>
              <w:ind w:left="740"/>
              <w:spacing w:after="0"/>
              <w:rPr>
                <w:sz w:val="20"/>
                <w:szCs w:val="20"/>
                <w:color w:val="auto"/>
              </w:rPr>
            </w:pPr>
            <w:r>
              <w:rPr>
                <w:rFonts w:ascii="Arial" w:cs="Arial" w:eastAsia="Arial" w:hAnsi="Arial"/>
                <w:sz w:val="17"/>
                <w:szCs w:val="17"/>
                <w:color w:val="auto"/>
              </w:rPr>
              <w:t>Name of Subsidiary</w:t>
            </w:r>
          </w:p>
        </w:tc>
        <w:tc>
          <w:tcPr>
            <w:tcW w:w="2720" w:type="dxa"/>
            <w:vAlign w:val="bottom"/>
            <w:tcBorders>
              <w:top w:val="single" w:sz="8" w:color="auto"/>
              <w:right w:val="single" w:sz="8" w:color="auto"/>
            </w:tcBorders>
            <w:shd w:val="clear" w:color="auto" w:fill="F1F1F1"/>
          </w:tcPr>
          <w:p>
            <w:pPr>
              <w:ind w:left="800"/>
              <w:spacing w:after="0"/>
              <w:rPr>
                <w:sz w:val="20"/>
                <w:szCs w:val="20"/>
                <w:color w:val="auto"/>
              </w:rPr>
            </w:pPr>
            <w:r>
              <w:rPr>
                <w:rFonts w:ascii="Arial" w:cs="Arial" w:eastAsia="Arial" w:hAnsi="Arial"/>
                <w:sz w:val="17"/>
                <w:szCs w:val="17"/>
                <w:color w:val="auto"/>
              </w:rPr>
              <w:t>Record Owner</w:t>
            </w:r>
          </w:p>
        </w:tc>
        <w:tc>
          <w:tcPr>
            <w:tcW w:w="1360" w:type="dxa"/>
            <w:vAlign w:val="bottom"/>
            <w:tcBorders>
              <w:top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17"/>
                <w:szCs w:val="17"/>
                <w:color w:val="auto"/>
                <w:w w:val="86"/>
              </w:rPr>
              <w:t>Percentage of</w:t>
            </w:r>
          </w:p>
        </w:tc>
      </w:tr>
      <w:tr>
        <w:trPr>
          <w:trHeight w:val="188"/>
        </w:trPr>
        <w:tc>
          <w:tcPr>
            <w:tcW w:w="1580" w:type="dxa"/>
            <w:vAlign w:val="bottom"/>
            <w:tcBorders>
              <w:left w:val="single" w:sz="8" w:color="auto"/>
              <w:right w:val="single" w:sz="8" w:color="auto"/>
            </w:tcBorders>
            <w:shd w:val="clear" w:color="auto" w:fill="F1F1F1"/>
          </w:tcPr>
          <w:p>
            <w:pPr>
              <w:ind w:left="300"/>
              <w:spacing w:after="0" w:line="188" w:lineRule="exact"/>
              <w:rPr>
                <w:sz w:val="20"/>
                <w:szCs w:val="20"/>
                <w:color w:val="auto"/>
              </w:rPr>
            </w:pPr>
            <w:r>
              <w:rPr>
                <w:rFonts w:ascii="Arial" w:cs="Arial" w:eastAsia="Arial" w:hAnsi="Arial"/>
                <w:sz w:val="17"/>
                <w:szCs w:val="17"/>
                <w:color w:val="auto"/>
              </w:rPr>
              <w:t>Incorporation</w:t>
            </w:r>
          </w:p>
        </w:tc>
        <w:tc>
          <w:tcPr>
            <w:tcW w:w="2980" w:type="dxa"/>
            <w:vAlign w:val="bottom"/>
            <w:tcBorders>
              <w:right w:val="single" w:sz="8" w:color="auto"/>
            </w:tcBorders>
            <w:shd w:val="clear" w:color="auto" w:fill="F1F1F1"/>
          </w:tcPr>
          <w:p>
            <w:pPr>
              <w:spacing w:after="0"/>
              <w:rPr>
                <w:sz w:val="16"/>
                <w:szCs w:val="16"/>
                <w:color w:val="auto"/>
              </w:rPr>
            </w:pPr>
          </w:p>
        </w:tc>
        <w:tc>
          <w:tcPr>
            <w:tcW w:w="2720" w:type="dxa"/>
            <w:vAlign w:val="bottom"/>
            <w:tcBorders>
              <w:right w:val="single" w:sz="8" w:color="auto"/>
            </w:tcBorders>
            <w:shd w:val="clear" w:color="auto" w:fill="F1F1F1"/>
          </w:tcPr>
          <w:p>
            <w:pPr>
              <w:spacing w:after="0"/>
              <w:rPr>
                <w:sz w:val="16"/>
                <w:szCs w:val="16"/>
                <w:color w:val="auto"/>
              </w:rPr>
            </w:pPr>
          </w:p>
        </w:tc>
        <w:tc>
          <w:tcPr>
            <w:tcW w:w="1360" w:type="dxa"/>
            <w:vAlign w:val="bottom"/>
            <w:tcBorders>
              <w:right w:val="single" w:sz="8" w:color="auto"/>
            </w:tcBorders>
            <w:shd w:val="clear" w:color="auto" w:fill="F1F1F1"/>
          </w:tcPr>
          <w:p>
            <w:pPr>
              <w:jc w:val="center"/>
              <w:spacing w:after="0" w:line="188" w:lineRule="exact"/>
              <w:rPr>
                <w:sz w:val="20"/>
                <w:szCs w:val="20"/>
                <w:color w:val="auto"/>
              </w:rPr>
            </w:pPr>
            <w:r>
              <w:rPr>
                <w:rFonts w:ascii="Arial" w:cs="Arial" w:eastAsia="Arial" w:hAnsi="Arial"/>
                <w:sz w:val="17"/>
                <w:szCs w:val="17"/>
                <w:color w:val="auto"/>
                <w:w w:val="90"/>
              </w:rPr>
              <w:t>Equity Interests</w:t>
            </w:r>
          </w:p>
        </w:tc>
      </w:tr>
      <w:tr>
        <w:trPr>
          <w:trHeight w:val="219"/>
        </w:trPr>
        <w:tc>
          <w:tcPr>
            <w:tcW w:w="1580" w:type="dxa"/>
            <w:vAlign w:val="bottom"/>
            <w:tcBorders>
              <w:left w:val="single" w:sz="8" w:color="auto"/>
              <w:bottom w:val="single" w:sz="8" w:color="auto"/>
              <w:right w:val="single" w:sz="8" w:color="auto"/>
            </w:tcBorders>
            <w:shd w:val="clear" w:color="auto" w:fill="F1F1F1"/>
          </w:tcPr>
          <w:p>
            <w:pPr>
              <w:spacing w:after="0"/>
              <w:rPr>
                <w:sz w:val="19"/>
                <w:szCs w:val="19"/>
                <w:color w:val="auto"/>
              </w:rPr>
            </w:pPr>
          </w:p>
        </w:tc>
        <w:tc>
          <w:tcPr>
            <w:tcW w:w="2980" w:type="dxa"/>
            <w:vAlign w:val="bottom"/>
            <w:tcBorders>
              <w:bottom w:val="single" w:sz="8" w:color="auto"/>
              <w:right w:val="single" w:sz="8" w:color="auto"/>
            </w:tcBorders>
            <w:shd w:val="clear" w:color="auto" w:fill="F1F1F1"/>
          </w:tcPr>
          <w:p>
            <w:pPr>
              <w:spacing w:after="0"/>
              <w:rPr>
                <w:sz w:val="19"/>
                <w:szCs w:val="19"/>
                <w:color w:val="auto"/>
              </w:rPr>
            </w:pPr>
          </w:p>
        </w:tc>
        <w:tc>
          <w:tcPr>
            <w:tcW w:w="2720" w:type="dxa"/>
            <w:vAlign w:val="bottom"/>
            <w:tcBorders>
              <w:bottom w:val="single" w:sz="8" w:color="auto"/>
              <w:right w:val="single" w:sz="8" w:color="auto"/>
            </w:tcBorders>
            <w:shd w:val="clear" w:color="auto" w:fill="F1F1F1"/>
          </w:tcPr>
          <w:p>
            <w:pPr>
              <w:spacing w:after="0"/>
              <w:rPr>
                <w:sz w:val="19"/>
                <w:szCs w:val="19"/>
                <w:color w:val="auto"/>
              </w:rPr>
            </w:pPr>
          </w:p>
        </w:tc>
        <w:tc>
          <w:tcPr>
            <w:tcW w:w="136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17"/>
                <w:szCs w:val="17"/>
                <w:color w:val="auto"/>
                <w:w w:val="89"/>
              </w:rPr>
              <w:t>Owned</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Alabama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50"/>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Alaska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Arizona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Arkansas</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California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Colorado</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Connecticut</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Florida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Georgia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Hawaii</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Idaho</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Illinois</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Indiana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Iowa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Kansas</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Kentucky</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Louisiana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Maine</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Maryland</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Massachusetts</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Michigan</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Minnesota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Mississippi</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Missouri</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Montana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Nebraska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Nevada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New Hampshire</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New Jersey</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New Mexico</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New York</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North Carolina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North Dakota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Ohio</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Oklahoma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Oregon</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Pennsylvania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Rhode Island</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South Carolina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South Dakota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Tennessee</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bl>
    <w:p>
      <w:pPr>
        <w:spacing w:after="0" w:line="200" w:lineRule="exact"/>
        <w:rPr>
          <w:sz w:val="20"/>
          <w:szCs w:val="20"/>
          <w:color w:val="auto"/>
        </w:rPr>
      </w:pPr>
    </w:p>
    <w:p>
      <w:pPr>
        <w:sectPr>
          <w:pgSz w:w="11900" w:h="16838" w:orient="portrait"/>
          <w:cols w:equalWidth="0" w:num="1">
            <w:col w:w="9720"/>
          </w:cols>
          <w:pgMar w:left="1340" w:top="1322" w:right="8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25158769.9</w:t>
      </w:r>
    </w:p>
    <w:p>
      <w:pPr>
        <w:sectPr>
          <w:pgSz w:w="11900" w:h="16838" w:orient="portrait"/>
          <w:cols w:equalWidth="0" w:num="1">
            <w:col w:w="9720"/>
          </w:cols>
          <w:pgMar w:left="1340" w:top="1322" w:right="839" w:bottom="1440" w:gutter="0" w:footer="0" w:header="0"/>
          <w:type w:val="continuous"/>
        </w:sectPr>
      </w:pPr>
    </w:p>
    <w:bookmarkStart w:id="304" w:name="page305"/>
    <w:bookmarkEnd w:id="304"/>
    <w:tbl>
      <w:tblPr>
        <w:tblLayout w:type="fixed"/>
        <w:tblInd w:w="10" w:type="dxa"/>
        <w:tblCellMar>
          <w:top w:w="0" w:type="dxa"/>
          <w:left w:w="0" w:type="dxa"/>
          <w:bottom w:w="0" w:type="dxa"/>
          <w:right w:w="0" w:type="dxa"/>
        </w:tblCellMar>
      </w:tblPr>
      <w:tr>
        <w:trPr>
          <w:trHeight w:val="257"/>
        </w:trPr>
        <w:tc>
          <w:tcPr>
            <w:tcW w:w="15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Texas</w:t>
            </w:r>
          </w:p>
        </w:tc>
        <w:tc>
          <w:tcPr>
            <w:tcW w:w="29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top w:val="single" w:sz="8" w:color="auto"/>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Utah</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Vermont</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Virginia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Washington</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West Virginia</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Wisconsin</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r>
        <w:trPr>
          <w:trHeight w:val="243"/>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Wyoming</w:t>
            </w:r>
          </w:p>
        </w:tc>
        <w:tc>
          <w:tcPr>
            <w:tcW w:w="2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Legalinc Corporate Services Inc.</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Legalinc Corporate Services Inc.</w:t>
            </w:r>
          </w:p>
        </w:tc>
        <w:tc>
          <w:tcPr>
            <w:tcW w:w="1360" w:type="dxa"/>
            <w:vAlign w:val="bottom"/>
            <w:tcBorders>
              <w:bottom w:val="single" w:sz="8" w:color="auto"/>
              <w:right w:val="single" w:sz="8" w:color="auto"/>
            </w:tcBorders>
          </w:tcPr>
          <w:p>
            <w:pPr>
              <w:jc w:val="right"/>
              <w:ind w:right="876"/>
              <w:spacing w:after="0"/>
              <w:rPr>
                <w:sz w:val="20"/>
                <w:szCs w:val="20"/>
                <w:color w:val="auto"/>
              </w:rPr>
            </w:pPr>
            <w:r>
              <w:rPr>
                <w:rFonts w:ascii="Arial" w:cs="Arial" w:eastAsia="Arial" w:hAnsi="Arial"/>
                <w:sz w:val="17"/>
                <w:szCs w:val="17"/>
                <w:color w:val="auto"/>
                <w:w w:val="87"/>
              </w:rPr>
              <w:t>100%</w:t>
            </w:r>
          </w:p>
        </w:tc>
      </w:tr>
    </w:tbl>
    <w:p>
      <w:pPr>
        <w:sectPr>
          <w:pgSz w:w="11900" w:h="16838" w:orient="portrait"/>
          <w:cols w:equalWidth="0" w:num="1">
            <w:col w:w="9119"/>
          </w:cols>
          <w:pgMar w:left="1340" w:top="1348" w:right="1440" w:bottom="1440" w:gutter="0" w:footer="0" w:header="0"/>
        </w:sectPr>
      </w:pPr>
    </w:p>
    <w:bookmarkStart w:id="305" w:name="page306"/>
    <w:bookmarkEnd w:id="305"/>
    <w:p>
      <w:pPr>
        <w:jc w:val="right"/>
        <w:spacing w:after="0"/>
        <w:rPr>
          <w:sz w:val="20"/>
          <w:szCs w:val="20"/>
          <w:color w:val="auto"/>
        </w:rPr>
      </w:pPr>
      <w:r>
        <w:rPr>
          <w:rFonts w:ascii="Arial" w:cs="Arial" w:eastAsia="Arial" w:hAnsi="Arial"/>
          <w:sz w:val="20"/>
          <w:szCs w:val="20"/>
          <w:b w:val="1"/>
          <w:bCs w:val="1"/>
          <w:color w:val="auto"/>
        </w:rPr>
        <w:t>SCHEDULE 6.19(A)</w:t>
      </w:r>
    </w:p>
    <w:p>
      <w:pPr>
        <w:spacing w:after="0" w:line="18" w:lineRule="exact"/>
        <w:rPr>
          <w:sz w:val="20"/>
          <w:szCs w:val="20"/>
          <w:color w:val="auto"/>
        </w:rPr>
      </w:pPr>
    </w:p>
    <w:p>
      <w:pPr>
        <w:ind w:left="4320"/>
        <w:spacing w:after="0"/>
        <w:rPr>
          <w:sz w:val="20"/>
          <w:szCs w:val="20"/>
          <w:color w:val="auto"/>
        </w:rPr>
      </w:pPr>
      <w:r>
        <w:rPr>
          <w:rFonts w:ascii="Arial" w:cs="Arial" w:eastAsia="Arial" w:hAnsi="Arial"/>
          <w:sz w:val="20"/>
          <w:szCs w:val="20"/>
          <w:b w:val="1"/>
          <w:bCs w:val="1"/>
          <w:u w:val="single" w:color="auto"/>
          <w:color w:val="auto"/>
        </w:rPr>
        <w:t>Filings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820" w:type="dxa"/>
            <w:vAlign w:val="bottom"/>
            <w:tcBorders>
              <w:top w:val="single" w:sz="8" w:color="auto"/>
              <w:left w:val="single" w:sz="8" w:color="auto"/>
              <w:right w:val="single" w:sz="8" w:color="auto"/>
            </w:tcBorders>
            <w:vMerge w:val="restart"/>
            <w:shd w:val="clear" w:color="auto" w:fill="F1F1F1"/>
          </w:tcPr>
          <w:p>
            <w:pPr>
              <w:jc w:val="right"/>
              <w:ind w:right="1360"/>
              <w:spacing w:after="0"/>
              <w:rPr>
                <w:sz w:val="20"/>
                <w:szCs w:val="20"/>
                <w:color w:val="auto"/>
              </w:rPr>
            </w:pPr>
            <w:r>
              <w:rPr>
                <w:rFonts w:ascii="Arial" w:cs="Arial" w:eastAsia="Arial" w:hAnsi="Arial"/>
                <w:sz w:val="20"/>
                <w:szCs w:val="20"/>
                <w:color w:val="auto"/>
              </w:rPr>
              <w:t>Grantor</w:t>
            </w:r>
          </w:p>
        </w:tc>
        <w:tc>
          <w:tcPr>
            <w:tcW w:w="1340" w:type="dxa"/>
            <w:vAlign w:val="bottom"/>
            <w:tcBorders>
              <w:top w:val="single" w:sz="8" w:color="auto"/>
              <w:right w:val="single" w:sz="8" w:color="auto"/>
            </w:tcBorders>
            <w:shd w:val="clear" w:color="auto" w:fill="F1F1F1"/>
          </w:tcPr>
          <w:p>
            <w:pPr>
              <w:ind w:left="300"/>
              <w:spacing w:after="0"/>
              <w:rPr>
                <w:sz w:val="20"/>
                <w:szCs w:val="20"/>
                <w:color w:val="auto"/>
              </w:rPr>
            </w:pPr>
            <w:r>
              <w:rPr>
                <w:rFonts w:ascii="Arial" w:cs="Arial" w:eastAsia="Arial" w:hAnsi="Arial"/>
                <w:sz w:val="20"/>
                <w:szCs w:val="20"/>
                <w:color w:val="auto"/>
              </w:rPr>
              <w:t>Type of</w:t>
            </w:r>
          </w:p>
        </w:tc>
        <w:tc>
          <w:tcPr>
            <w:tcW w:w="3660" w:type="dxa"/>
            <w:vAlign w:val="bottom"/>
            <w:tcBorders>
              <w:top w:val="single" w:sz="8" w:color="auto"/>
              <w:right w:val="single" w:sz="8" w:color="auto"/>
            </w:tcBorders>
            <w:vMerge w:val="restart"/>
            <w:shd w:val="clear" w:color="auto" w:fill="F1F1F1"/>
          </w:tcPr>
          <w:p>
            <w:pPr>
              <w:ind w:left="1300"/>
              <w:spacing w:after="0"/>
              <w:rPr>
                <w:sz w:val="20"/>
                <w:szCs w:val="20"/>
                <w:color w:val="auto"/>
              </w:rPr>
            </w:pPr>
            <w:r>
              <w:rPr>
                <w:rFonts w:ascii="Arial" w:cs="Arial" w:eastAsia="Arial" w:hAnsi="Arial"/>
                <w:sz w:val="20"/>
                <w:szCs w:val="20"/>
                <w:color w:val="auto"/>
              </w:rPr>
              <w:t>Filing Office</w:t>
            </w:r>
          </w:p>
        </w:tc>
        <w:tc>
          <w:tcPr>
            <w:tcW w:w="0" w:type="dxa"/>
            <w:vAlign w:val="bottom"/>
          </w:tcPr>
          <w:p>
            <w:pPr>
              <w:spacing w:after="0"/>
              <w:rPr>
                <w:sz w:val="1"/>
                <w:szCs w:val="1"/>
                <w:color w:val="auto"/>
              </w:rPr>
            </w:pPr>
          </w:p>
        </w:tc>
      </w:tr>
      <w:tr>
        <w:trPr>
          <w:trHeight w:val="265"/>
        </w:trPr>
        <w:tc>
          <w:tcPr>
            <w:tcW w:w="3820" w:type="dxa"/>
            <w:vAlign w:val="bottom"/>
            <w:tcBorders>
              <w:left w:val="single" w:sz="8" w:color="auto"/>
              <w:bottom w:val="single" w:sz="8" w:color="auto"/>
              <w:right w:val="single" w:sz="8" w:color="auto"/>
            </w:tcBorders>
            <w:vMerge w:val="continue"/>
            <w:shd w:val="clear" w:color="auto" w:fill="F1F1F1"/>
          </w:tcPr>
          <w:p>
            <w:pPr>
              <w:spacing w:after="0"/>
              <w:rPr>
                <w:sz w:val="23"/>
                <w:szCs w:val="23"/>
                <w:color w:val="auto"/>
              </w:rPr>
            </w:pPr>
          </w:p>
        </w:tc>
        <w:tc>
          <w:tcPr>
            <w:tcW w:w="1340" w:type="dxa"/>
            <w:vAlign w:val="bottom"/>
            <w:tcBorders>
              <w:bottom w:val="single" w:sz="8" w:color="auto"/>
              <w:right w:val="single" w:sz="8" w:color="auto"/>
            </w:tcBorders>
            <w:shd w:val="clear" w:color="auto" w:fill="F1F1F1"/>
          </w:tcPr>
          <w:p>
            <w:pPr>
              <w:ind w:left="380"/>
              <w:spacing w:after="0"/>
              <w:rPr>
                <w:sz w:val="20"/>
                <w:szCs w:val="20"/>
                <w:color w:val="auto"/>
              </w:rPr>
            </w:pPr>
            <w:r>
              <w:rPr>
                <w:rFonts w:ascii="Arial" w:cs="Arial" w:eastAsia="Arial" w:hAnsi="Arial"/>
                <w:sz w:val="20"/>
                <w:szCs w:val="20"/>
                <w:color w:val="auto"/>
              </w:rPr>
              <w:t>Filing</w:t>
            </w:r>
          </w:p>
        </w:tc>
        <w:tc>
          <w:tcPr>
            <w:tcW w:w="3660" w:type="dxa"/>
            <w:vAlign w:val="bottom"/>
            <w:tcBorders>
              <w:bottom w:val="single" w:sz="8" w:color="auto"/>
              <w:right w:val="single" w:sz="8" w:color="auto"/>
            </w:tcBorders>
            <w:vMerge w:val="continue"/>
            <w:shd w:val="clear" w:color="auto" w:fill="F1F1F1"/>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820" w:type="dxa"/>
            <w:vAlign w:val="bottom"/>
            <w:tcBorders>
              <w:left w:val="single" w:sz="8" w:color="auto"/>
              <w:bottom w:val="single" w:sz="8" w:color="auto"/>
              <w:right w:val="single" w:sz="8" w:color="auto"/>
            </w:tcBorders>
          </w:tcPr>
          <w:p>
            <w:pPr>
              <w:jc w:val="right"/>
              <w:ind w:right="1380"/>
              <w:spacing w:after="0"/>
              <w:rPr>
                <w:sz w:val="20"/>
                <w:szCs w:val="20"/>
                <w:color w:val="auto"/>
              </w:rPr>
            </w:pPr>
            <w:r>
              <w:rPr>
                <w:rFonts w:ascii="Arial" w:cs="Arial" w:eastAsia="Arial" w:hAnsi="Arial"/>
                <w:sz w:val="20"/>
                <w:szCs w:val="20"/>
                <w:color w:val="auto"/>
              </w:rPr>
              <w:t>9900 SPECTRUM LLC</w:t>
            </w: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All Assets</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TX</w:t>
            </w:r>
          </w:p>
        </w:tc>
        <w:tc>
          <w:tcPr>
            <w:tcW w:w="0" w:type="dxa"/>
            <w:vAlign w:val="bottom"/>
          </w:tcPr>
          <w:p>
            <w:pPr>
              <w:spacing w:after="0"/>
              <w:rPr>
                <w:sz w:val="1"/>
                <w:szCs w:val="1"/>
                <w:color w:val="auto"/>
              </w:rPr>
            </w:pPr>
          </w:p>
        </w:tc>
      </w:tr>
      <w:tr>
        <w:trPr>
          <w:trHeight w:val="268"/>
        </w:trPr>
        <w:tc>
          <w:tcPr>
            <w:tcW w:w="3820" w:type="dxa"/>
            <w:vAlign w:val="bottom"/>
            <w:tcBorders>
              <w:left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All Assets</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0"/>
        </w:trPr>
        <w:tc>
          <w:tcPr>
            <w:tcW w:w="38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Copyright</w:t>
            </w:r>
          </w:p>
        </w:tc>
        <w:tc>
          <w:tcPr>
            <w:tcW w:w="3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ind w:left="100"/>
              <w:spacing w:after="0" w:line="226" w:lineRule="exact"/>
              <w:rPr>
                <w:sz w:val="20"/>
                <w:szCs w:val="20"/>
                <w:color w:val="auto"/>
              </w:rPr>
            </w:pPr>
            <w:r>
              <w:rPr>
                <w:rFonts w:ascii="Arial" w:cs="Arial" w:eastAsia="Arial" w:hAnsi="Arial"/>
                <w:sz w:val="20"/>
                <w:szCs w:val="20"/>
                <w:color w:val="auto"/>
              </w:rPr>
              <w:t>Security</w:t>
            </w:r>
          </w:p>
        </w:tc>
        <w:tc>
          <w:tcPr>
            <w:tcW w:w="3660" w:type="dxa"/>
            <w:vAlign w:val="bottom"/>
            <w:tcBorders>
              <w:right w:val="single" w:sz="8" w:color="auto"/>
            </w:tcBorders>
          </w:tcPr>
          <w:p>
            <w:pPr>
              <w:ind w:left="100"/>
              <w:spacing w:after="0" w:line="226" w:lineRule="exact"/>
              <w:rPr>
                <w:sz w:val="20"/>
                <w:szCs w:val="20"/>
                <w:color w:val="auto"/>
              </w:rPr>
            </w:pPr>
            <w:r>
              <w:rPr>
                <w:rFonts w:ascii="Arial" w:cs="Arial" w:eastAsia="Arial" w:hAnsi="Arial"/>
                <w:sz w:val="20"/>
                <w:szCs w:val="20"/>
                <w:color w:val="auto"/>
              </w:rPr>
              <w:t>United States Copyright Office</w:t>
            </w:r>
          </w:p>
        </w:tc>
        <w:tc>
          <w:tcPr>
            <w:tcW w:w="0" w:type="dxa"/>
            <w:vAlign w:val="bottom"/>
          </w:tcPr>
          <w:p>
            <w:pPr>
              <w:spacing w:after="0"/>
              <w:rPr>
                <w:sz w:val="1"/>
                <w:szCs w:val="1"/>
                <w:color w:val="auto"/>
              </w:rPr>
            </w:pPr>
          </w:p>
        </w:tc>
      </w:tr>
      <w:tr>
        <w:trPr>
          <w:trHeight w:val="257"/>
        </w:trPr>
        <w:tc>
          <w:tcPr>
            <w:tcW w:w="3820" w:type="dxa"/>
            <w:vAlign w:val="bottom"/>
            <w:tcBorders>
              <w:left w:val="single" w:sz="8" w:color="auto"/>
              <w:right w:val="single" w:sz="8" w:color="auto"/>
            </w:tcBorders>
            <w:vMerge w:val="restart"/>
          </w:tcPr>
          <w:p>
            <w:pPr>
              <w:jc w:val="right"/>
              <w:ind w:right="1360"/>
              <w:spacing w:after="0"/>
              <w:rPr>
                <w:sz w:val="20"/>
                <w:szCs w:val="20"/>
                <w:color w:val="auto"/>
              </w:rPr>
            </w:pPr>
            <w:r>
              <w:rPr>
                <w:rFonts w:ascii="Arial" w:cs="Arial" w:eastAsia="Arial" w:hAnsi="Arial"/>
                <w:sz w:val="20"/>
                <w:szCs w:val="20"/>
                <w:color w:val="auto"/>
              </w:rPr>
              <w:t>LEGALZOOM.COM, INC.</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36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82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820" w:type="dxa"/>
            <w:vAlign w:val="bottom"/>
            <w:tcBorders>
              <w:left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8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0"/>
                <w:szCs w:val="20"/>
                <w:color w:val="auto"/>
              </w:rPr>
              <w:t>Trademark</w:t>
            </w:r>
          </w:p>
        </w:tc>
        <w:tc>
          <w:tcPr>
            <w:tcW w:w="3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United States Patent and Trademark</w:t>
            </w:r>
          </w:p>
        </w:tc>
        <w:tc>
          <w:tcPr>
            <w:tcW w:w="0" w:type="dxa"/>
            <w:vAlign w:val="bottom"/>
          </w:tcPr>
          <w:p>
            <w:pPr>
              <w:spacing w:after="0"/>
              <w:rPr>
                <w:sz w:val="1"/>
                <w:szCs w:val="1"/>
                <w:color w:val="auto"/>
              </w:rPr>
            </w:pPr>
          </w:p>
        </w:tc>
      </w:tr>
      <w:tr>
        <w:trPr>
          <w:trHeight w:val="113"/>
        </w:trPr>
        <w:tc>
          <w:tcPr>
            <w:tcW w:w="38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ind w:left="100"/>
              <w:spacing w:after="0" w:line="226" w:lineRule="exact"/>
              <w:rPr>
                <w:sz w:val="20"/>
                <w:szCs w:val="20"/>
                <w:color w:val="auto"/>
              </w:rPr>
            </w:pPr>
            <w:r>
              <w:rPr>
                <w:rFonts w:ascii="Arial" w:cs="Arial" w:eastAsia="Arial" w:hAnsi="Arial"/>
                <w:sz w:val="20"/>
                <w:szCs w:val="20"/>
                <w:color w:val="auto"/>
              </w:rPr>
              <w:t>Security</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Office</w:t>
            </w:r>
          </w:p>
        </w:tc>
        <w:tc>
          <w:tcPr>
            <w:tcW w:w="0" w:type="dxa"/>
            <w:vAlign w:val="bottom"/>
          </w:tcPr>
          <w:p>
            <w:pPr>
              <w:spacing w:after="0"/>
              <w:rPr>
                <w:sz w:val="1"/>
                <w:szCs w:val="1"/>
                <w:color w:val="auto"/>
              </w:rPr>
            </w:pPr>
          </w:p>
        </w:tc>
      </w:tr>
      <w:tr>
        <w:trPr>
          <w:trHeight w:val="144"/>
        </w:trPr>
        <w:tc>
          <w:tcPr>
            <w:tcW w:w="382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Agreement</w:t>
            </w:r>
          </w:p>
        </w:tc>
        <w:tc>
          <w:tcPr>
            <w:tcW w:w="3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8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9"/>
        </w:trPr>
        <w:tc>
          <w:tcPr>
            <w:tcW w:w="3820" w:type="dxa"/>
            <w:vAlign w:val="bottom"/>
            <w:tcBorders>
              <w:left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0"/>
                <w:szCs w:val="20"/>
                <w:color w:val="auto"/>
              </w:rPr>
              <w:t>Patent</w:t>
            </w:r>
          </w:p>
        </w:tc>
        <w:tc>
          <w:tcPr>
            <w:tcW w:w="3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United States Patent and Trademark</w:t>
            </w:r>
          </w:p>
        </w:tc>
        <w:tc>
          <w:tcPr>
            <w:tcW w:w="0" w:type="dxa"/>
            <w:vAlign w:val="bottom"/>
          </w:tcPr>
          <w:p>
            <w:pPr>
              <w:spacing w:after="0"/>
              <w:rPr>
                <w:sz w:val="1"/>
                <w:szCs w:val="1"/>
                <w:color w:val="auto"/>
              </w:rPr>
            </w:pPr>
          </w:p>
        </w:tc>
      </w:tr>
      <w:tr>
        <w:trPr>
          <w:trHeight w:val="113"/>
        </w:trPr>
        <w:tc>
          <w:tcPr>
            <w:tcW w:w="38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ind w:left="100"/>
              <w:spacing w:after="0" w:line="226" w:lineRule="exact"/>
              <w:rPr>
                <w:sz w:val="20"/>
                <w:szCs w:val="20"/>
                <w:color w:val="auto"/>
              </w:rPr>
            </w:pPr>
            <w:r>
              <w:rPr>
                <w:rFonts w:ascii="Arial" w:cs="Arial" w:eastAsia="Arial" w:hAnsi="Arial"/>
                <w:sz w:val="20"/>
                <w:szCs w:val="20"/>
                <w:color w:val="auto"/>
              </w:rPr>
              <w:t>Security</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Office</w:t>
            </w:r>
          </w:p>
        </w:tc>
        <w:tc>
          <w:tcPr>
            <w:tcW w:w="0" w:type="dxa"/>
            <w:vAlign w:val="bottom"/>
          </w:tcPr>
          <w:p>
            <w:pPr>
              <w:spacing w:after="0"/>
              <w:rPr>
                <w:sz w:val="1"/>
                <w:szCs w:val="1"/>
                <w:color w:val="auto"/>
              </w:rPr>
            </w:pPr>
          </w:p>
        </w:tc>
      </w:tr>
      <w:tr>
        <w:trPr>
          <w:trHeight w:val="144"/>
        </w:trPr>
        <w:tc>
          <w:tcPr>
            <w:tcW w:w="382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Agreement</w:t>
            </w:r>
          </w:p>
        </w:tc>
        <w:tc>
          <w:tcPr>
            <w:tcW w:w="3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8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340" w:top="1317" w:right="8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0"/>
          <w:szCs w:val="20"/>
          <w:b w:val="1"/>
          <w:bCs w:val="1"/>
          <w:color w:val="auto"/>
        </w:rPr>
        <w:t>SCHEDULE 8.12</w:t>
      </w:r>
    </w:p>
    <w:p>
      <w:pPr>
        <w:spacing w:after="0" w:line="297"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u w:val="single" w:color="auto"/>
          <w:color w:val="auto"/>
        </w:rPr>
        <w:t>Post-Closing Matters</w:t>
      </w:r>
    </w:p>
    <w:p>
      <w:pPr>
        <w:spacing w:after="0" w:line="301"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Within thirty (30) Business Days after the Closing Date (or such later date as the Administrative Agent may agree to in writing in its sole discretion), the Borrower shall deliver, or shall cause to be delivered, to the Administrative Agent, any insurance endorsements required by the terms of Section 8.5 of this Agreement.</w:t>
      </w:r>
    </w:p>
    <w:p>
      <w:pPr>
        <w:sectPr>
          <w:pgSz w:w="11900" w:h="16838" w:orient="portrait"/>
          <w:cols w:equalWidth="0" w:num="1">
            <w:col w:w="9740"/>
          </w:cols>
          <w:pgMar w:left="1320" w:top="1318" w:right="839" w:bottom="1440" w:gutter="0" w:footer="0" w:header="0"/>
        </w:sectPr>
      </w:pPr>
    </w:p>
    <w:bookmarkStart w:id="307" w:name="page308"/>
    <w:bookmarkEnd w:id="307"/>
    <w:p>
      <w:pPr>
        <w:jc w:val="right"/>
        <w:spacing w:after="0"/>
        <w:rPr>
          <w:sz w:val="20"/>
          <w:szCs w:val="20"/>
          <w:color w:val="auto"/>
        </w:rPr>
      </w:pPr>
      <w:r>
        <w:rPr>
          <w:rFonts w:ascii="Arial" w:cs="Arial" w:eastAsia="Arial" w:hAnsi="Arial"/>
          <w:sz w:val="20"/>
          <w:szCs w:val="20"/>
          <w:b w:val="1"/>
          <w:bCs w:val="1"/>
          <w:color w:val="auto"/>
        </w:rPr>
        <w:t>SCHEDULE 8.15</w:t>
      </w:r>
    </w:p>
    <w:p>
      <w:pPr>
        <w:spacing w:after="0" w:line="297" w:lineRule="exact"/>
        <w:rPr>
          <w:sz w:val="20"/>
          <w:szCs w:val="20"/>
          <w:color w:val="auto"/>
        </w:rPr>
      </w:pPr>
    </w:p>
    <w:p>
      <w:pPr>
        <w:ind w:left="2600"/>
        <w:spacing w:after="0"/>
        <w:rPr>
          <w:sz w:val="20"/>
          <w:szCs w:val="20"/>
          <w:color w:val="auto"/>
        </w:rPr>
      </w:pPr>
      <w:r>
        <w:rPr>
          <w:rFonts w:ascii="Arial" w:cs="Arial" w:eastAsia="Arial" w:hAnsi="Arial"/>
          <w:sz w:val="20"/>
          <w:szCs w:val="20"/>
          <w:b w:val="1"/>
          <w:bCs w:val="1"/>
          <w:u w:val="single" w:color="auto"/>
          <w:color w:val="auto"/>
        </w:rPr>
        <w:t>Existing Affiliate Transactions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740"/>
          </w:cols>
          <w:pgMar w:left="1320" w:top="1317" w:right="8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0"/>
          <w:szCs w:val="20"/>
          <w:b w:val="1"/>
          <w:bCs w:val="1"/>
          <w:color w:val="auto"/>
        </w:rPr>
        <w:t>SCHEDULE 9.4</w:t>
      </w:r>
    </w:p>
    <w:p>
      <w:pPr>
        <w:spacing w:after="0" w:line="297" w:lineRule="exact"/>
        <w:rPr>
          <w:sz w:val="20"/>
          <w:szCs w:val="20"/>
          <w:color w:val="auto"/>
        </w:rPr>
      </w:pPr>
    </w:p>
    <w:p>
      <w:pPr>
        <w:ind w:left="3680"/>
        <w:spacing w:after="0"/>
        <w:rPr>
          <w:sz w:val="20"/>
          <w:szCs w:val="20"/>
          <w:color w:val="auto"/>
        </w:rPr>
      </w:pPr>
      <w:r>
        <w:rPr>
          <w:rFonts w:ascii="Arial" w:cs="Arial" w:eastAsia="Arial" w:hAnsi="Arial"/>
          <w:sz w:val="20"/>
          <w:szCs w:val="20"/>
          <w:b w:val="1"/>
          <w:bCs w:val="1"/>
          <w:u w:val="single" w:color="auto"/>
          <w:color w:val="auto"/>
        </w:rPr>
        <w:t>Existing Indebtedness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740"/>
          </w:cols>
          <w:pgMar w:left="1320" w:top="1317" w:right="839" w:bottom="1440" w:gutter="0" w:footer="0" w:header="0"/>
        </w:sectPr>
      </w:pPr>
    </w:p>
    <w:bookmarkStart w:id="309" w:name="page310"/>
    <w:bookmarkEnd w:id="309"/>
    <w:p>
      <w:pPr>
        <w:jc w:val="right"/>
        <w:spacing w:after="0"/>
        <w:rPr>
          <w:sz w:val="20"/>
          <w:szCs w:val="20"/>
          <w:color w:val="auto"/>
        </w:rPr>
      </w:pPr>
      <w:r>
        <w:rPr>
          <w:rFonts w:ascii="Arial" w:cs="Arial" w:eastAsia="Arial" w:hAnsi="Arial"/>
          <w:sz w:val="20"/>
          <w:szCs w:val="20"/>
          <w:b w:val="1"/>
          <w:bCs w:val="1"/>
          <w:color w:val="auto"/>
        </w:rPr>
        <w:t>SCHEDULE 9.12</w:t>
      </w:r>
    </w:p>
    <w:p>
      <w:pPr>
        <w:spacing w:after="0" w:line="297" w:lineRule="exact"/>
        <w:rPr>
          <w:sz w:val="20"/>
          <w:szCs w:val="20"/>
          <w:color w:val="auto"/>
        </w:rPr>
      </w:pPr>
    </w:p>
    <w:p>
      <w:pPr>
        <w:ind w:left="2540"/>
        <w:spacing w:after="0"/>
        <w:rPr>
          <w:sz w:val="20"/>
          <w:szCs w:val="20"/>
          <w:color w:val="auto"/>
        </w:rPr>
      </w:pPr>
      <w:r>
        <w:rPr>
          <w:rFonts w:ascii="Arial" w:cs="Arial" w:eastAsia="Arial" w:hAnsi="Arial"/>
          <w:sz w:val="20"/>
          <w:szCs w:val="20"/>
          <w:b w:val="1"/>
          <w:bCs w:val="1"/>
          <w:u w:val="single" w:color="auto"/>
          <w:color w:val="auto"/>
        </w:rPr>
        <w:t>Existing Restrictive Agreements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740"/>
          </w:cols>
          <w:pgMar w:left="1320" w:top="1318" w:right="839" w:bottom="1440" w:gutter="0" w:footer="0" w:header="0"/>
        </w:sectPr>
      </w:pPr>
    </w:p>
    <w:bookmarkStart w:id="310" w:name="page311"/>
    <w:bookmarkEnd w:id="310"/>
    <w:p>
      <w:pPr>
        <w:ind w:left="8760"/>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spacing w:after="0" w:line="201"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FORM OF ASSIGNMENT AND</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18"/>
          <w:szCs w:val="18"/>
          <w:u w:val="single" w:color="auto"/>
          <w:color w:val="auto"/>
        </w:rPr>
        <w:t>ASSUMPTION AGREEMENT</w:t>
      </w:r>
      <w:r>
        <w:rPr>
          <w:rFonts w:ascii="Arial" w:cs="Arial" w:eastAsia="Arial" w:hAnsi="Arial"/>
          <w:sz w:val="23"/>
          <w:szCs w:val="23"/>
          <w:color w:val="auto"/>
          <w:vertAlign w:val="superscript"/>
        </w:rPr>
        <w:t>1</w:t>
      </w:r>
    </w:p>
    <w:p>
      <w:pPr>
        <w:spacing w:after="0" w:line="239" w:lineRule="exact"/>
        <w:rPr>
          <w:sz w:val="20"/>
          <w:szCs w:val="20"/>
          <w:color w:val="auto"/>
        </w:rPr>
      </w:pPr>
    </w:p>
    <w:p>
      <w:pPr>
        <w:jc w:val="both"/>
        <w:ind w:firstLine="1204"/>
        <w:spacing w:after="0" w:line="237" w:lineRule="auto"/>
        <w:rPr>
          <w:sz w:val="20"/>
          <w:szCs w:val="20"/>
          <w:color w:val="auto"/>
        </w:rPr>
      </w:pPr>
      <w:r>
        <w:rPr>
          <w:rFonts w:ascii="Arial" w:cs="Arial" w:eastAsia="Arial" w:hAnsi="Arial"/>
          <w:sz w:val="18"/>
          <w:szCs w:val="18"/>
          <w:color w:val="auto"/>
        </w:rPr>
        <w:t>This Assignment and Assumption Agreement (this “</w:t>
      </w:r>
      <w:r>
        <w:rPr>
          <w:rFonts w:ascii="Arial" w:cs="Arial" w:eastAsia="Arial" w:hAnsi="Arial"/>
          <w:sz w:val="18"/>
          <w:szCs w:val="18"/>
          <w:u w:val="single" w:color="auto"/>
          <w:color w:val="auto"/>
        </w:rPr>
        <w:t>Assignment</w:t>
      </w:r>
      <w:r>
        <w:rPr>
          <w:rFonts w:ascii="Arial" w:cs="Arial" w:eastAsia="Arial" w:hAnsi="Arial"/>
          <w:sz w:val="18"/>
          <w:szCs w:val="18"/>
          <w:color w:val="auto"/>
        </w:rPr>
        <w:t>”), is dated as of the Effective Date set forth below and is entered into by and between [the][each] Assignor identified in item 1 below ([the] [each,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[the] [each] Assignee identified in item 2 below ([the] [each,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such [Assignees][and Assignors] hereunder are several and not joint.] Capitalized terms used herein but not defined herein shall have the meanings given to them in the Credit Agreement identified below (as amended, restated, supplemented and/or otherwise modified from time to time, the “</w:t>
      </w:r>
      <w:r>
        <w:rPr>
          <w:rFonts w:ascii="Arial" w:cs="Arial" w:eastAsia="Arial" w:hAnsi="Arial"/>
          <w:sz w:val="18"/>
          <w:szCs w:val="18"/>
          <w:u w:val="single" w:color="auto"/>
          <w:color w:val="auto"/>
        </w:rPr>
        <w:t>Credit Agreemen</w:t>
      </w:r>
      <w:r>
        <w:rPr>
          <w:rFonts w:ascii="Arial" w:cs="Arial" w:eastAsia="Arial" w:hAnsi="Arial"/>
          <w:sz w:val="18"/>
          <w:szCs w:val="18"/>
          <w:color w:val="auto"/>
        </w:rPr>
        <w:t>t”). The Standard Terms and Conditions for Assignment and Assumption Agreement set forth in Annex 1 hereto (the “</w:t>
      </w:r>
      <w:r>
        <w:rPr>
          <w:rFonts w:ascii="Arial" w:cs="Arial" w:eastAsia="Arial" w:hAnsi="Arial"/>
          <w:sz w:val="18"/>
          <w:szCs w:val="18"/>
          <w:u w:val="single" w:color="auto"/>
          <w:color w:val="auto"/>
        </w:rPr>
        <w:t>Standard Terms and Conditions</w:t>
      </w:r>
      <w:r>
        <w:rPr>
          <w:rFonts w:ascii="Arial" w:cs="Arial" w:eastAsia="Arial" w:hAnsi="Arial"/>
          <w:sz w:val="18"/>
          <w:szCs w:val="18"/>
          <w:color w:val="auto"/>
        </w:rPr>
        <w:t>”) are hereby agreed to and incorporated herein by reference and made a part of this Assignment as if set forth herein in full.</w:t>
      </w:r>
    </w:p>
    <w:p>
      <w:pPr>
        <w:spacing w:after="0" w:line="208" w:lineRule="exact"/>
        <w:rPr>
          <w:sz w:val="20"/>
          <w:szCs w:val="20"/>
          <w:color w:val="auto"/>
        </w:rPr>
      </w:pPr>
    </w:p>
    <w:p>
      <w:pPr>
        <w:jc w:val="both"/>
        <w:ind w:firstLine="1204"/>
        <w:spacing w:after="0" w:line="236" w:lineRule="auto"/>
        <w:rPr>
          <w:sz w:val="20"/>
          <w:szCs w:val="20"/>
          <w:color w:val="auto"/>
        </w:rPr>
      </w:pPr>
      <w:r>
        <w:rPr>
          <w:rFonts w:ascii="Arial" w:cs="Arial" w:eastAsia="Arial" w:hAnsi="Arial"/>
          <w:sz w:val="18"/>
          <w:szCs w:val="18"/>
          <w:color w:val="auto"/>
        </w:rPr>
        <w:t>For an agreed consideration, [the][each] Assignor hereby irrevocably sells and assigns to [the] [each] Assignee, and [the] [each] Assignee hereby irrevocably purchases and assumes from [the][each] Assignor, subject to and in accordance with the Standard Terms and Conditions and the Credit Agreement, as of the Effective Date inserted by the Administrative Agent as contemplated below, the interest in and to all of [the][each] Assignor’s rights and obligations under the Credit Agreement and any other documents or instruments delivered pursuant thereto that represents the amount and percentage interest identified below of all of the [respective] Assignor’s outstanding rights and obligations under the respective Tranches identified below (including, to the extent included in any such Tranches and Letters of Credit) ([the] [each, 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[the][any] Assignor and, except as expressly provided in this Assignment, without representation or warranty by [the][any] Assignor.</w:t>
      </w:r>
    </w:p>
    <w:p>
      <w:pPr>
        <w:spacing w:after="0" w:line="1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-8890</wp:posOffset>
            </wp:positionV>
            <wp:extent cx="1460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12" w:lineRule="exact"/>
        <w:rPr>
          <w:sz w:val="20"/>
          <w:szCs w:val="20"/>
          <w:color w:val="auto"/>
        </w:rPr>
      </w:pPr>
    </w:p>
    <w:p>
      <w:pPr>
        <w:spacing w:after="0"/>
        <w:tabs>
          <w:tab w:leader="none" w:pos="580" w:val="left"/>
          <w:tab w:leader="none" w:pos="17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Assignee:</w:t>
      </w:r>
      <w:r>
        <w:rPr>
          <w:sz w:val="20"/>
          <w:szCs w:val="20"/>
          <w:color w:val="auto"/>
        </w:rPr>
        <w:tab/>
      </w:r>
      <w:r>
        <w:rPr>
          <w:rFonts w:ascii="Arial" w:cs="Arial" w:eastAsia="Arial" w:hAnsi="Arial"/>
          <w:sz w:val="16"/>
          <w:szCs w:val="16"/>
          <w:color w:val="auto"/>
        </w:rPr>
        <w:t>]</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-23495</wp:posOffset>
            </wp:positionV>
            <wp:extent cx="1460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[1][3]. Credit Agreement: Amended and Restated Credit and Guaranty Agreement, dated as of</w:t>
      </w:r>
    </w:p>
    <w:p>
      <w:pPr>
        <w:spacing w:after="0" w:line="10" w:lineRule="exact"/>
        <w:rPr>
          <w:sz w:val="20"/>
          <w:szCs w:val="20"/>
          <w:color w:val="auto"/>
        </w:rPr>
      </w:pPr>
    </w:p>
    <w:p>
      <w:pPr>
        <w:jc w:val="both"/>
        <w:ind w:left="2420"/>
        <w:spacing w:after="0" w:line="235" w:lineRule="auto"/>
        <w:rPr>
          <w:sz w:val="20"/>
          <w:szCs w:val="20"/>
          <w:color w:val="auto"/>
        </w:rPr>
      </w:pPr>
      <w:r>
        <w:rPr>
          <w:rFonts w:ascii="Arial" w:cs="Arial" w:eastAsia="Arial" w:hAnsi="Arial"/>
          <w:sz w:val="18"/>
          <w:szCs w:val="18"/>
          <w:color w:val="auto"/>
        </w:rPr>
        <w:t>July 2, 2021 (as amended, restated, amended and restated, modified, supplemented and/or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have the meanings attributed thereto in the Credit Agreement unless otherwise defined herein), among LegalZoom.com, Inc., a Delaware corporation, the Subsidiary Guarantors from time to time party thereto, the several banks, financial institutions, institutional investors and other entities from time to time party thereto as lenders or holders of the Loans and issuers of Letters of Credit, and JPMorgan Chase Bank, N.A., as Administrative Agent.</w:t>
      </w:r>
    </w:p>
    <w:p>
      <w:pPr>
        <w:spacing w:after="0" w:line="2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Assigned Interest:</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15284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142" w:lineRule="exact"/>
        <w:rPr>
          <w:sz w:val="20"/>
          <w:szCs w:val="20"/>
          <w:color w:val="auto"/>
        </w:rPr>
      </w:pPr>
    </w:p>
    <w:p>
      <w:pPr>
        <w:ind w:left="380" w:hanging="378"/>
        <w:spacing w:after="0" w:line="214" w:lineRule="auto"/>
        <w:tabs>
          <w:tab w:leader="none" w:pos="109" w:val="left"/>
        </w:tabs>
        <w:numPr>
          <w:ilvl w:val="0"/>
          <w:numId w:val="333"/>
        </w:numPr>
        <w:rPr>
          <w:rFonts w:ascii="Arial" w:cs="Arial" w:eastAsia="Arial" w:hAnsi="Arial"/>
          <w:sz w:val="22"/>
          <w:szCs w:val="22"/>
          <w:color w:val="auto"/>
          <w:vertAlign w:val="superscript"/>
        </w:rPr>
      </w:pPr>
      <w:r>
        <w:rPr>
          <w:rFonts w:ascii="Arial" w:cs="Arial" w:eastAsia="Arial" w:hAnsi="Arial"/>
          <w:sz w:val="17"/>
          <w:szCs w:val="17"/>
          <w:color w:val="auto"/>
        </w:rPr>
        <w:t>This Form of Assignment and Assumption Agreement should be used by Lenders for an assignment to a single Assignee or to funds managed by the same or related investment managers.</w:t>
      </w:r>
    </w:p>
    <w:p>
      <w:pPr>
        <w:spacing w:after="0" w:line="77" w:lineRule="exact"/>
        <w:rPr>
          <w:sz w:val="20"/>
          <w:szCs w:val="20"/>
          <w:color w:val="auto"/>
        </w:rPr>
      </w:pPr>
    </w:p>
    <w:p>
      <w:pPr>
        <w:ind w:left="380" w:hanging="378"/>
        <w:spacing w:after="0" w:line="219" w:lineRule="auto"/>
        <w:tabs>
          <w:tab w:leader="none" w:pos="110" w:val="left"/>
        </w:tabs>
        <w:numPr>
          <w:ilvl w:val="0"/>
          <w:numId w:val="334"/>
        </w:numPr>
        <w:rPr>
          <w:rFonts w:ascii="Arial" w:cs="Arial" w:eastAsia="Arial" w:hAnsi="Arial"/>
          <w:sz w:val="22"/>
          <w:szCs w:val="22"/>
          <w:color w:val="auto"/>
          <w:vertAlign w:val="superscript"/>
        </w:rPr>
      </w:pPr>
      <w:r>
        <w:rPr>
          <w:rFonts w:ascii="Arial" w:cs="Arial" w:eastAsia="Arial" w:hAnsi="Arial"/>
          <w:sz w:val="17"/>
          <w:szCs w:val="17"/>
          <w:color w:val="auto"/>
        </w:rPr>
        <w:t>If the form is used for a single Assignor and Assignee, items 1 and 2 should list the Assignor and the Assignee, respectively. In the case of an assignment to funds managed by the same or related investment managers, or an assignment by multiple Assignors, the Assignors and the Assignee(s) should be listed in the table under bracketed item 2 below.</w:t>
      </w:r>
    </w:p>
    <w:p>
      <w:pPr>
        <w:sectPr>
          <w:pgSz w:w="11900" w:h="16838" w:orient="portrait"/>
          <w:cols w:equalWidth="0" w:num="1">
            <w:col w:w="9740"/>
          </w:cols>
          <w:pgMar w:left="1320" w:top="720" w:right="839" w:bottom="1440" w:gutter="0" w:footer="0" w:header="0"/>
        </w:sectPr>
      </w:pPr>
    </w:p>
    <w:bookmarkStart w:id="311" w:name="page312"/>
    <w:bookmarkEnd w:id="311"/>
    <w:tbl>
      <w:tblPr>
        <w:tblLayout w:type="fixed"/>
        <w:tblInd w:w="210" w:type="dxa"/>
        <w:tblCellMar>
          <w:top w:w="0" w:type="dxa"/>
          <w:left w:w="0" w:type="dxa"/>
          <w:bottom w:w="0" w:type="dxa"/>
          <w:right w:w="0" w:type="dxa"/>
        </w:tblCellMar>
      </w:tblPr>
      <w:tr>
        <w:trPr>
          <w:trHeight w:val="213"/>
        </w:trPr>
        <w:tc>
          <w:tcPr>
            <w:tcW w:w="220" w:type="dxa"/>
            <w:vAlign w:val="bottom"/>
            <w:tcBorders>
              <w:top w:val="single" w:sz="8" w:color="auto"/>
              <w:lef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right w:val="single" w:sz="8" w:color="auto"/>
            </w:tcBorders>
            <w:gridSpan w:val="10"/>
          </w:tcPr>
          <w:p>
            <w:pPr>
              <w:jc w:val="center"/>
              <w:ind w:right="180"/>
              <w:spacing w:after="0"/>
              <w:rPr>
                <w:sz w:val="20"/>
                <w:szCs w:val="20"/>
                <w:color w:val="auto"/>
              </w:rPr>
            </w:pPr>
            <w:r>
              <w:rPr>
                <w:rFonts w:ascii="Arial" w:cs="Arial" w:eastAsia="Arial" w:hAnsi="Arial"/>
                <w:sz w:val="18"/>
                <w:szCs w:val="18"/>
                <w:color w:val="auto"/>
                <w:w w:val="95"/>
              </w:rPr>
              <w:t>Aggregate Amount of</w:t>
            </w: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right w:val="single" w:sz="8" w:color="auto"/>
            </w:tcBorders>
            <w:gridSpan w:val="6"/>
          </w:tcPr>
          <w:p>
            <w:pPr>
              <w:jc w:val="center"/>
              <w:ind w:right="440"/>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181"/>
        </w:trPr>
        <w:tc>
          <w:tcPr>
            <w:tcW w:w="220" w:type="dxa"/>
            <w:vAlign w:val="bottom"/>
            <w:tcBorders>
              <w:lef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right w:val="single" w:sz="8" w:color="auto"/>
            </w:tcBorders>
            <w:gridSpan w:val="3"/>
            <w:vMerge w:val="restart"/>
          </w:tcPr>
          <w:p>
            <w:pPr>
              <w:jc w:val="right"/>
              <w:ind w:right="540"/>
              <w:spacing w:after="0"/>
              <w:rPr>
                <w:sz w:val="20"/>
                <w:szCs w:val="20"/>
                <w:color w:val="auto"/>
              </w:rPr>
            </w:pPr>
            <w:r>
              <w:rPr>
                <w:rFonts w:ascii="Arial" w:cs="Arial" w:eastAsia="Arial" w:hAnsi="Arial"/>
                <w:sz w:val="18"/>
                <w:szCs w:val="18"/>
                <w:color w:val="auto"/>
                <w:w w:val="87"/>
              </w:rPr>
              <w:t>Tranche</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vMerge w:val="restart"/>
          </w:tcPr>
          <w:p>
            <w:pPr>
              <w:spacing w:after="0"/>
              <w:rPr>
                <w:sz w:val="15"/>
                <w:szCs w:val="15"/>
                <w:color w:val="auto"/>
              </w:rPr>
            </w:pPr>
          </w:p>
        </w:tc>
        <w:tc>
          <w:tcPr>
            <w:tcW w:w="1460" w:type="dxa"/>
            <w:vAlign w:val="bottom"/>
            <w:tcBorders>
              <w:top w:val="single" w:sz="8" w:color="auto"/>
              <w:bottom w:val="single" w:sz="8" w:color="auto"/>
            </w:tcBorders>
            <w:gridSpan w:val="7"/>
          </w:tcPr>
          <w:p>
            <w:pPr>
              <w:jc w:val="center"/>
              <w:spacing w:after="0" w:line="168" w:lineRule="exact"/>
              <w:rPr>
                <w:sz w:val="20"/>
                <w:szCs w:val="20"/>
                <w:color w:val="auto"/>
              </w:rPr>
            </w:pPr>
            <w:r>
              <w:rPr>
                <w:rFonts w:ascii="Arial" w:cs="Arial" w:eastAsia="Arial" w:hAnsi="Arial"/>
                <w:sz w:val="18"/>
                <w:szCs w:val="18"/>
                <w:color w:val="auto"/>
                <w:w w:val="93"/>
              </w:rPr>
              <w:t>Commitment/Loans</w:t>
            </w:r>
          </w:p>
        </w:tc>
        <w:tc>
          <w:tcPr>
            <w:tcW w:w="80" w:type="dxa"/>
            <w:vAlign w:val="bottom"/>
            <w:tcBorders>
              <w:top w:val="single" w:sz="8" w:color="auto"/>
              <w:bottom w:val="single" w:sz="8" w:color="auto"/>
            </w:tcBorders>
            <w:vMerge w:val="restart"/>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70"/>
              </w:rPr>
              <w:t>Commitment/Loans</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right w:val="single" w:sz="8" w:color="auto"/>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right w:val="single" w:sz="8" w:color="auto"/>
            </w:tcBorders>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5"/>
            <w:vMerge w:val="restart"/>
          </w:tcPr>
          <w:p>
            <w:pPr>
              <w:jc w:val="center"/>
              <w:spacing w:after="0" w:line="168" w:lineRule="exact"/>
              <w:rPr>
                <w:sz w:val="20"/>
                <w:szCs w:val="20"/>
                <w:color w:val="auto"/>
              </w:rPr>
            </w:pPr>
            <w:r>
              <w:rPr>
                <w:rFonts w:ascii="Arial" w:cs="Arial" w:eastAsia="Arial" w:hAnsi="Arial"/>
                <w:sz w:val="18"/>
                <w:szCs w:val="18"/>
                <w:color w:val="auto"/>
                <w:w w:val="91"/>
              </w:rPr>
              <w:t>under Relevant</w:t>
            </w:r>
          </w:p>
        </w:tc>
        <w:tc>
          <w:tcPr>
            <w:tcW w:w="1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restart"/>
          </w:tcPr>
          <w:p>
            <w:pPr>
              <w:jc w:val="center"/>
              <w:spacing w:after="0" w:line="168" w:lineRule="exact"/>
              <w:rPr>
                <w:sz w:val="20"/>
                <w:szCs w:val="20"/>
                <w:color w:val="auto"/>
              </w:rPr>
            </w:pPr>
            <w:r>
              <w:rPr>
                <w:rFonts w:ascii="Arial" w:cs="Arial" w:eastAsia="Arial" w:hAnsi="Arial"/>
                <w:sz w:val="18"/>
                <w:szCs w:val="18"/>
                <w:color w:val="auto"/>
                <w:w w:val="91"/>
              </w:rPr>
              <w:t>under Relevant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100" w:type="dxa"/>
            <w:vAlign w:val="bottom"/>
            <w:tcBorders>
              <w:left w:val="single" w:sz="8" w:color="auto"/>
              <w:right w:val="single" w:sz="8" w:color="auto"/>
            </w:tcBorders>
            <w:gridSpan w:val="3"/>
            <w:vMerge w:val="restart"/>
          </w:tcPr>
          <w:p>
            <w:pPr>
              <w:jc w:val="center"/>
              <w:spacing w:after="0" w:line="181" w:lineRule="exact"/>
              <w:rPr>
                <w:sz w:val="20"/>
                <w:szCs w:val="20"/>
                <w:color w:val="auto"/>
              </w:rPr>
            </w:pPr>
            <w:r>
              <w:rPr>
                <w:rFonts w:ascii="Arial" w:cs="Arial" w:eastAsia="Arial" w:hAnsi="Arial"/>
                <w:sz w:val="18"/>
                <w:szCs w:val="18"/>
                <w:color w:val="auto"/>
                <w:w w:val="94"/>
              </w:rPr>
              <w:t>Assignor</w:t>
            </w:r>
          </w:p>
        </w:tc>
        <w:tc>
          <w:tcPr>
            <w:tcW w:w="240" w:type="dxa"/>
            <w:vAlign w:val="bottom"/>
          </w:tcPr>
          <w:p>
            <w:pPr>
              <w:spacing w:after="0"/>
              <w:rPr>
                <w:sz w:val="12"/>
                <w:szCs w:val="12"/>
                <w:color w:val="auto"/>
              </w:rPr>
            </w:pPr>
          </w:p>
        </w:tc>
        <w:tc>
          <w:tcPr>
            <w:tcW w:w="980" w:type="dxa"/>
            <w:vAlign w:val="bottom"/>
            <w:tcBorders>
              <w:right w:val="single" w:sz="8" w:color="auto"/>
            </w:tcBorders>
            <w:gridSpan w:val="2"/>
            <w:vMerge w:val="restart"/>
          </w:tcPr>
          <w:p>
            <w:pPr>
              <w:spacing w:after="0" w:line="181" w:lineRule="exact"/>
              <w:rPr>
                <w:sz w:val="20"/>
                <w:szCs w:val="20"/>
                <w:color w:val="auto"/>
              </w:rPr>
            </w:pPr>
            <w:r>
              <w:rPr>
                <w:rFonts w:ascii="Arial" w:cs="Arial" w:eastAsia="Arial" w:hAnsi="Arial"/>
                <w:sz w:val="18"/>
                <w:szCs w:val="18"/>
                <w:color w:val="auto"/>
              </w:rPr>
              <w:t>Assignee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vMerge w:val="restart"/>
          </w:tcPr>
          <w:p>
            <w:pPr>
              <w:jc w:val="right"/>
              <w:spacing w:after="0" w:line="168" w:lineRule="exact"/>
              <w:rPr>
                <w:sz w:val="20"/>
                <w:szCs w:val="20"/>
                <w:color w:val="auto"/>
              </w:rPr>
            </w:pPr>
            <w:r>
              <w:rPr>
                <w:rFonts w:ascii="Arial" w:cs="Arial" w:eastAsia="Arial" w:hAnsi="Arial"/>
                <w:sz w:val="18"/>
                <w:szCs w:val="18"/>
                <w:color w:val="auto"/>
                <w:w w:val="78"/>
              </w:rPr>
              <w:t>Assigned</w:t>
            </w:r>
          </w:p>
        </w:tc>
        <w:tc>
          <w:tcPr>
            <w:tcW w:w="540" w:type="dxa"/>
            <w:vAlign w:val="bottom"/>
            <w:tcBorders>
              <w:right w:val="single" w:sz="8" w:color="auto"/>
            </w:tcBorders>
            <w:gridSpan w:val="2"/>
          </w:tcPr>
          <w:p>
            <w:pPr>
              <w:jc w:val="right"/>
              <w:ind w:right="460"/>
              <w:spacing w:after="0" w:line="123" w:lineRule="exact"/>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1120" w:type="dxa"/>
            <w:vAlign w:val="bottom"/>
            <w:tcBorders>
              <w:bottom w:val="single" w:sz="8" w:color="auto"/>
            </w:tcBorders>
            <w:gridSpan w:val="5"/>
            <w:vMerge w:val="continue"/>
          </w:tcPr>
          <w:p>
            <w:pPr>
              <w:spacing w:after="0"/>
              <w:rPr>
                <w:sz w:val="12"/>
                <w:szCs w:val="12"/>
                <w:color w:val="auto"/>
              </w:rPr>
            </w:pPr>
          </w:p>
        </w:tc>
        <w:tc>
          <w:tcPr>
            <w:tcW w:w="420" w:type="dxa"/>
            <w:vAlign w:val="bottom"/>
            <w:tcBorders>
              <w:right w:val="single" w:sz="8" w:color="auto"/>
            </w:tcBorders>
            <w:gridSpan w:val="3"/>
          </w:tcPr>
          <w:p>
            <w:pPr>
              <w:spacing w:after="0"/>
              <w:rPr>
                <w:sz w:val="12"/>
                <w:szCs w:val="12"/>
                <w:color w:val="auto"/>
              </w:rPr>
            </w:pPr>
          </w:p>
        </w:tc>
        <w:tc>
          <w:tcPr>
            <w:tcW w:w="2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right w:val="single" w:sz="8" w:color="auto"/>
            </w:tcBorders>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540" w:type="dxa"/>
            <w:vAlign w:val="bottom"/>
            <w:tcBorders>
              <w:right w:val="single" w:sz="8" w:color="auto"/>
            </w:tcBorders>
            <w:gridSpan w:val="8"/>
            <w:vMerge w:val="restart"/>
          </w:tcPr>
          <w:p>
            <w:pPr>
              <w:jc w:val="center"/>
              <w:ind w:right="420"/>
              <w:spacing w:after="0" w:line="181" w:lineRule="exact"/>
              <w:rPr>
                <w:sz w:val="20"/>
                <w:szCs w:val="20"/>
                <w:color w:val="auto"/>
              </w:rPr>
            </w:pPr>
            <w:r>
              <w:rPr>
                <w:rFonts w:ascii="Arial" w:cs="Arial" w:eastAsia="Arial" w:hAnsi="Arial"/>
                <w:sz w:val="18"/>
                <w:szCs w:val="18"/>
                <w:color w:val="auto"/>
                <w:w w:val="93"/>
              </w:rPr>
              <w:t>Tranche for all</w:t>
            </w:r>
          </w:p>
        </w:tc>
        <w:tc>
          <w:tcPr>
            <w:tcW w:w="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660" w:type="dxa"/>
            <w:vAlign w:val="bottom"/>
            <w:tcBorders>
              <w:right w:val="single" w:sz="8" w:color="auto"/>
            </w:tcBorders>
            <w:gridSpan w:val="7"/>
            <w:vMerge w:val="restart"/>
          </w:tcPr>
          <w:p>
            <w:pPr>
              <w:jc w:val="center"/>
              <w:ind w:right="340"/>
              <w:spacing w:after="0" w:line="181" w:lineRule="exact"/>
              <w:rPr>
                <w:sz w:val="20"/>
                <w:szCs w:val="20"/>
                <w:color w:val="auto"/>
              </w:rPr>
            </w:pPr>
            <w:r>
              <w:rPr>
                <w:rFonts w:ascii="Arial" w:cs="Arial" w:eastAsia="Arial" w:hAnsi="Arial"/>
                <w:sz w:val="18"/>
                <w:szCs w:val="18"/>
                <w:color w:val="auto"/>
                <w:w w:val="90"/>
              </w:rPr>
              <w:t>Tranche Assigned</w:t>
            </w:r>
          </w:p>
        </w:tc>
        <w:tc>
          <w:tcPr>
            <w:tcW w:w="0" w:type="dxa"/>
            <w:vAlign w:val="bottom"/>
          </w:tcPr>
          <w:p>
            <w:pPr>
              <w:spacing w:after="0" w:line="20" w:lineRule="exact"/>
              <w:rPr>
                <w:sz w:val="1"/>
                <w:szCs w:val="1"/>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540" w:type="dxa"/>
            <w:vAlign w:val="bottom"/>
            <w:tcBorders>
              <w:right w:val="single" w:sz="8" w:color="auto"/>
            </w:tcBorders>
            <w:gridSpan w:val="8"/>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60" w:type="dxa"/>
            <w:vAlign w:val="bottom"/>
            <w:tcBorders>
              <w:right w:val="single" w:sz="8" w:color="auto"/>
            </w:tcBorders>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20" w:type="dxa"/>
            <w:vAlign w:val="bottom"/>
            <w:tcBorders>
              <w:lef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540" w:type="dxa"/>
            <w:vAlign w:val="bottom"/>
            <w:tcBorders>
              <w:right w:val="single" w:sz="8" w:color="auto"/>
            </w:tcBorders>
            <w:gridSpan w:val="8"/>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6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20" w:type="dxa"/>
            <w:vAlign w:val="bottom"/>
            <w:tcBorders>
              <w:lef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ind w:right="240"/>
              <w:spacing w:after="0" w:line="181" w:lineRule="exact"/>
              <w:rPr>
                <w:sz w:val="20"/>
                <w:szCs w:val="20"/>
                <w:color w:val="auto"/>
              </w:rPr>
            </w:pPr>
            <w:r>
              <w:rPr>
                <w:rFonts w:ascii="Arial" w:cs="Arial" w:eastAsia="Arial" w:hAnsi="Arial"/>
                <w:sz w:val="18"/>
                <w:szCs w:val="18"/>
                <w:color w:val="auto"/>
                <w:w w:val="92"/>
              </w:rPr>
              <w:t>Lenders</w:t>
            </w:r>
          </w:p>
        </w:tc>
        <w:tc>
          <w:tcPr>
            <w:tcW w:w="440" w:type="dxa"/>
            <w:vAlign w:val="bottom"/>
            <w:tcBorders>
              <w:right w:val="single" w:sz="8" w:color="auto"/>
            </w:tcBorders>
            <w:gridSpan w:val="4"/>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2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0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5"/>
              </w:rPr>
              <w:t>[Name of</w:t>
            </w:r>
          </w:p>
        </w:tc>
        <w:tc>
          <w:tcPr>
            <w:tcW w:w="1220" w:type="dxa"/>
            <w:vAlign w:val="bottom"/>
            <w:tcBorders>
              <w:right w:val="single" w:sz="8" w:color="auto"/>
            </w:tcBorders>
            <w:gridSpan w:val="3"/>
          </w:tcPr>
          <w:p>
            <w:pPr>
              <w:ind w:left="220"/>
              <w:spacing w:after="0" w:line="201" w:lineRule="exact"/>
              <w:rPr>
                <w:sz w:val="20"/>
                <w:szCs w:val="20"/>
                <w:color w:val="auto"/>
              </w:rPr>
            </w:pPr>
            <w:r>
              <w:rPr>
                <w:rFonts w:ascii="Arial" w:cs="Arial" w:eastAsia="Arial" w:hAnsi="Arial"/>
                <w:sz w:val="18"/>
                <w:szCs w:val="18"/>
                <w:color w:val="auto"/>
              </w:rPr>
              <w:t>[Name of</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5"/>
              </w:rPr>
              <w:t>Assignor]</w:t>
            </w:r>
          </w:p>
        </w:tc>
        <w:tc>
          <w:tcPr>
            <w:tcW w:w="122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Assignee]</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2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10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5"/>
              </w:rPr>
              <w:t>[Name of</w:t>
            </w:r>
          </w:p>
        </w:tc>
        <w:tc>
          <w:tcPr>
            <w:tcW w:w="1220" w:type="dxa"/>
            <w:vAlign w:val="bottom"/>
            <w:tcBorders>
              <w:right w:val="single" w:sz="8" w:color="auto"/>
            </w:tcBorders>
            <w:gridSpan w:val="3"/>
          </w:tcPr>
          <w:p>
            <w:pPr>
              <w:ind w:left="220"/>
              <w:spacing w:after="0" w:line="201" w:lineRule="exact"/>
              <w:rPr>
                <w:sz w:val="20"/>
                <w:szCs w:val="20"/>
                <w:color w:val="auto"/>
              </w:rPr>
            </w:pPr>
            <w:r>
              <w:rPr>
                <w:rFonts w:ascii="Arial" w:cs="Arial" w:eastAsia="Arial" w:hAnsi="Arial"/>
                <w:sz w:val="18"/>
                <w:szCs w:val="18"/>
                <w:color w:val="auto"/>
              </w:rPr>
              <w:t>[Name of</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5"/>
              </w:rPr>
              <w:t>Assignor]</w:t>
            </w:r>
          </w:p>
        </w:tc>
        <w:tc>
          <w:tcPr>
            <w:tcW w:w="122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Assignee]</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2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-572770</wp:posOffset>
            </wp:positionV>
            <wp:extent cx="5810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581025"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-572770</wp:posOffset>
            </wp:positionV>
            <wp:extent cx="5810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58102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-71120</wp:posOffset>
            </wp:positionV>
            <wp:extent cx="5810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581025"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-71120</wp:posOffset>
            </wp:positionV>
            <wp:extent cx="5810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581025" cy="8255"/>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5422265</wp:posOffset>
            </wp:positionV>
            <wp:extent cx="15284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ectPr>
          <w:pgSz w:w="11900" w:h="16838" w:orient="portrait"/>
          <w:cols w:equalWidth="0" w:num="1">
            <w:col w:w="9019"/>
          </w:cols>
          <w:pgMar w:left="1440" w:top="1348" w:right="1440" w:bottom="1440" w:gutter="0" w:footer="0" w:header="0"/>
        </w:sectPr>
      </w:pPr>
    </w:p>
    <w:bookmarkStart w:id="312" w:name="page313"/>
    <w:bookmarkEnd w:id="312"/>
    <w:p>
      <w:pPr>
        <w:ind w:left="378" w:hanging="378"/>
        <w:spacing w:after="0" w:line="214" w:lineRule="auto"/>
        <w:tabs>
          <w:tab w:leader="none" w:pos="104" w:val="left"/>
        </w:tabs>
        <w:numPr>
          <w:ilvl w:val="0"/>
          <w:numId w:val="335"/>
        </w:numPr>
        <w:rPr>
          <w:rFonts w:ascii="Arial" w:cs="Arial" w:eastAsia="Arial" w:hAnsi="Arial"/>
          <w:sz w:val="22"/>
          <w:szCs w:val="22"/>
          <w:color w:val="auto"/>
          <w:vertAlign w:val="superscript"/>
        </w:rPr>
      </w:pPr>
      <w:r>
        <w:rPr>
          <w:rFonts w:ascii="Arial" w:cs="Arial" w:eastAsia="Arial" w:hAnsi="Arial"/>
          <w:sz w:val="17"/>
          <w:szCs w:val="17"/>
          <w:color w:val="auto"/>
        </w:rPr>
        <w:t>Insert this chart if this Form of Assignment and Assumption Agreement is being used for assignments to funds managed by the same or related investment managers or for an assignment by multiple Assignors. Insert additional rows as needed.</w:t>
      </w:r>
    </w:p>
    <w:p>
      <w:pPr>
        <w:spacing w:after="0" w:line="37" w:lineRule="exact"/>
        <w:rPr>
          <w:sz w:val="20"/>
          <w:szCs w:val="20"/>
          <w:color w:val="auto"/>
        </w:rPr>
      </w:pPr>
    </w:p>
    <w:p>
      <w:pPr>
        <w:ind w:left="218" w:hanging="217"/>
        <w:spacing w:after="0"/>
        <w:tabs>
          <w:tab w:leader="none" w:pos="218" w:val="left"/>
        </w:tabs>
        <w:numPr>
          <w:ilvl w:val="0"/>
          <w:numId w:val="336"/>
        </w:numPr>
        <w:rPr>
          <w:rFonts w:ascii="Arial" w:cs="Arial" w:eastAsia="Arial" w:hAnsi="Arial"/>
          <w:sz w:val="22"/>
          <w:szCs w:val="22"/>
          <w:color w:val="auto"/>
          <w:vertAlign w:val="superscript"/>
        </w:rPr>
      </w:pPr>
      <w:r>
        <w:rPr>
          <w:rFonts w:ascii="Arial" w:cs="Arial" w:eastAsia="Arial" w:hAnsi="Arial"/>
          <w:sz w:val="17"/>
          <w:szCs w:val="17"/>
          <w:color w:val="auto"/>
        </w:rPr>
        <w:t>For complex multi-tranche assignments a separate chart for each tranche should be used for ease of reference.</w:t>
      </w:r>
    </w:p>
    <w:p>
      <w:pPr>
        <w:sectPr>
          <w:pgSz w:w="11900" w:h="16838" w:orient="portrait"/>
          <w:cols w:equalWidth="0" w:num="1">
            <w:col w:w="9758"/>
          </w:cols>
          <w:pgMar w:left="1322" w:top="1418" w:right="819" w:bottom="1440" w:gutter="0" w:footer="0" w:header="0"/>
        </w:sectPr>
      </w:pPr>
    </w:p>
    <w:bookmarkStart w:id="313" w:name="page314"/>
    <w:bookmarkEnd w:id="313"/>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Assigned Interest:]</w:t>
      </w:r>
      <w:r>
        <w:rPr>
          <w:rFonts w:ascii="Arial" w:cs="Arial" w:eastAsia="Arial" w:hAnsi="Arial"/>
          <w:sz w:val="20"/>
          <w:szCs w:val="20"/>
          <w:color w:val="auto"/>
          <w:vertAlign w:val="superscript"/>
        </w:rPr>
        <w:t>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Borders>
              <w:right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380" w:type="dxa"/>
            <w:vAlign w:val="bottom"/>
            <w:tcBorders>
              <w:top w:val="single" w:sz="8" w:color="auto"/>
              <w:right w:val="single" w:sz="8" w:color="auto"/>
            </w:tcBorders>
            <w:gridSpan w:val="13"/>
          </w:tcPr>
          <w:p>
            <w:pPr>
              <w:jc w:val="center"/>
              <w:ind w:right="640"/>
              <w:spacing w:after="0"/>
              <w:rPr>
                <w:sz w:val="20"/>
                <w:szCs w:val="20"/>
                <w:color w:val="auto"/>
              </w:rPr>
            </w:pPr>
            <w:r>
              <w:rPr>
                <w:rFonts w:ascii="Arial" w:cs="Arial" w:eastAsia="Arial" w:hAnsi="Arial"/>
                <w:sz w:val="18"/>
                <w:szCs w:val="18"/>
                <w:color w:val="auto"/>
                <w:w w:val="95"/>
              </w:rPr>
              <w:t>Aggregate Amount of</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20" w:type="dxa"/>
            <w:vAlign w:val="bottom"/>
            <w:tcBorders>
              <w:top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192"/>
        </w:trPr>
        <w:tc>
          <w:tcPr>
            <w:tcW w:w="3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gridSpan w:val="16"/>
          </w:tcPr>
          <w:p>
            <w:pPr>
              <w:jc w:val="center"/>
              <w:ind w:right="40"/>
              <w:spacing w:after="0" w:line="193" w:lineRule="exact"/>
              <w:rPr>
                <w:sz w:val="20"/>
                <w:szCs w:val="20"/>
                <w:color w:val="auto"/>
              </w:rPr>
            </w:pPr>
            <w:r>
              <w:rPr>
                <w:rFonts w:ascii="Arial" w:cs="Arial" w:eastAsia="Arial" w:hAnsi="Arial"/>
                <w:sz w:val="18"/>
                <w:szCs w:val="18"/>
                <w:color w:val="auto"/>
                <w:w w:val="93"/>
              </w:rPr>
              <w:t>Commitment/Loans under Relevant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right w:val="single" w:sz="8" w:color="auto"/>
            </w:tcBorders>
            <w:gridSpan w:val="3"/>
          </w:tcPr>
          <w:p>
            <w:pPr>
              <w:jc w:val="center"/>
              <w:ind w:right="320"/>
              <w:spacing w:after="0" w:line="193" w:lineRule="exact"/>
              <w:rPr>
                <w:sz w:val="20"/>
                <w:szCs w:val="20"/>
                <w:color w:val="auto"/>
              </w:rPr>
            </w:pPr>
            <w:r>
              <w:rPr>
                <w:rFonts w:ascii="Arial" w:cs="Arial" w:eastAsia="Arial" w:hAnsi="Arial"/>
                <w:sz w:val="18"/>
                <w:szCs w:val="18"/>
                <w:color w:val="auto"/>
                <w:w w:val="93"/>
              </w:rPr>
              <w:t>Commitment/Loans under</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right w:val="single" w:sz="8" w:color="auto"/>
            </w:tcBorders>
            <w:gridSpan w:val="3"/>
            <w:vMerge w:val="restart"/>
          </w:tcPr>
          <w:p>
            <w:pPr>
              <w:jc w:val="center"/>
              <w:ind w:right="320"/>
              <w:spacing w:after="0" w:line="201" w:lineRule="exact"/>
              <w:rPr>
                <w:sz w:val="20"/>
                <w:szCs w:val="20"/>
                <w:color w:val="auto"/>
              </w:rPr>
            </w:pPr>
            <w:r>
              <w:rPr>
                <w:rFonts w:ascii="Arial" w:cs="Arial" w:eastAsia="Arial" w:hAnsi="Arial"/>
                <w:sz w:val="18"/>
                <w:szCs w:val="18"/>
                <w:color w:val="auto"/>
                <w:w w:val="91"/>
              </w:rPr>
              <w:t>Relevant Tranche Assigned</w:t>
            </w:r>
          </w:p>
        </w:tc>
        <w:tc>
          <w:tcPr>
            <w:tcW w:w="0" w:type="dxa"/>
            <w:vAlign w:val="bottom"/>
          </w:tcPr>
          <w:p>
            <w:pPr>
              <w:spacing w:after="0" w:line="20" w:lineRule="exact"/>
              <w:rPr>
                <w:sz w:val="1"/>
                <w:szCs w:val="1"/>
                <w:color w:val="auto"/>
              </w:rPr>
            </w:pPr>
          </w:p>
        </w:tc>
      </w:tr>
      <w:tr>
        <w:trPr>
          <w:trHeight w:val="181"/>
        </w:trPr>
        <w:tc>
          <w:tcPr>
            <w:tcW w:w="320" w:type="dxa"/>
            <w:vAlign w:val="bottom"/>
            <w:tcBorders>
              <w:right w:val="single" w:sz="8" w:color="auto"/>
            </w:tcBorders>
          </w:tcPr>
          <w:p>
            <w:pPr>
              <w:spacing w:after="0"/>
              <w:rPr>
                <w:sz w:val="15"/>
                <w:szCs w:val="15"/>
                <w:color w:val="auto"/>
              </w:rPr>
            </w:pPr>
          </w:p>
        </w:tc>
        <w:tc>
          <w:tcPr>
            <w:tcW w:w="1700" w:type="dxa"/>
            <w:vAlign w:val="bottom"/>
            <w:gridSpan w:val="12"/>
            <w:vMerge w:val="restart"/>
          </w:tcPr>
          <w:p>
            <w:pPr>
              <w:ind w:left="320"/>
              <w:spacing w:after="0"/>
              <w:rPr>
                <w:sz w:val="20"/>
                <w:szCs w:val="20"/>
                <w:color w:val="auto"/>
              </w:rPr>
            </w:pPr>
            <w:r>
              <w:rPr>
                <w:rFonts w:ascii="Arial" w:cs="Arial" w:eastAsia="Arial" w:hAnsi="Arial"/>
                <w:sz w:val="18"/>
                <w:szCs w:val="18"/>
                <w:color w:val="auto"/>
                <w:w w:val="93"/>
              </w:rPr>
              <w:t>Tranche Assigned</w:t>
            </w:r>
          </w:p>
        </w:tc>
        <w:tc>
          <w:tcPr>
            <w:tcW w:w="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12"/>
          </w:tcPr>
          <w:p>
            <w:pPr>
              <w:jc w:val="center"/>
              <w:ind w:right="460"/>
              <w:spacing w:after="0" w:line="181" w:lineRule="exact"/>
              <w:rPr>
                <w:sz w:val="20"/>
                <w:szCs w:val="20"/>
                <w:color w:val="auto"/>
              </w:rPr>
            </w:pPr>
            <w:r>
              <w:rPr>
                <w:rFonts w:ascii="Arial" w:cs="Arial" w:eastAsia="Arial" w:hAnsi="Arial"/>
                <w:sz w:val="18"/>
                <w:szCs w:val="18"/>
                <w:color w:val="auto"/>
                <w:w w:val="92"/>
              </w:rPr>
              <w:t>Tranche for all Lenders</w:t>
            </w:r>
          </w:p>
        </w:tc>
        <w:tc>
          <w:tcPr>
            <w:tcW w:w="2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320" w:type="dxa"/>
            <w:vAlign w:val="bottom"/>
            <w:tcBorders>
              <w:right w:val="single" w:sz="8" w:color="auto"/>
            </w:tcBorders>
          </w:tcPr>
          <w:p>
            <w:pPr>
              <w:spacing w:after="0"/>
              <w:rPr>
                <w:sz w:val="3"/>
                <w:szCs w:val="3"/>
                <w:color w:val="auto"/>
              </w:rPr>
            </w:pPr>
          </w:p>
        </w:tc>
        <w:tc>
          <w:tcPr>
            <w:tcW w:w="1700" w:type="dxa"/>
            <w:vAlign w:val="bottom"/>
            <w:gridSpan w:val="12"/>
            <w:vMerge w:val="continue"/>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900" w:type="dxa"/>
            <w:vAlign w:val="bottom"/>
            <w:tcBorders>
              <w:top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20" w:type="dxa"/>
            <w:vAlign w:val="bottom"/>
            <w:tcBorders>
              <w:right w:val="single" w:sz="8" w:color="auto"/>
            </w:tcBorders>
          </w:tcPr>
          <w:p>
            <w:pPr>
              <w:spacing w:after="0"/>
              <w:rPr>
                <w:sz w:val="17"/>
                <w:szCs w:val="17"/>
                <w:color w:val="auto"/>
              </w:rPr>
            </w:pPr>
          </w:p>
        </w:tc>
        <w:tc>
          <w:tcPr>
            <w:tcW w:w="1700" w:type="dxa"/>
            <w:vAlign w:val="bottom"/>
            <w:gridSpan w:val="12"/>
          </w:tcPr>
          <w:p>
            <w:pPr>
              <w:ind w:left="100"/>
              <w:spacing w:after="0" w:line="201" w:lineRule="exact"/>
              <w:rPr>
                <w:sz w:val="20"/>
                <w:szCs w:val="20"/>
                <w:color w:val="auto"/>
              </w:rPr>
            </w:pPr>
            <w:r>
              <w:rPr>
                <w:rFonts w:ascii="Arial" w:cs="Arial" w:eastAsia="Arial" w:hAnsi="Arial"/>
                <w:sz w:val="18"/>
                <w:szCs w:val="18"/>
                <w:color w:val="auto"/>
              </w:rPr>
              <w:t>Revolving Loan</w:t>
            </w:r>
          </w:p>
        </w:tc>
        <w:tc>
          <w:tcPr>
            <w:tcW w:w="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Borders>
              <w:right w:val="single" w:sz="8" w:color="auto"/>
            </w:tcBorders>
          </w:tcPr>
          <w:p>
            <w:pPr>
              <w:spacing w:after="0"/>
              <w:rPr>
                <w:sz w:val="19"/>
                <w:szCs w:val="19"/>
                <w:color w:val="auto"/>
              </w:rPr>
            </w:pPr>
          </w:p>
        </w:tc>
        <w:tc>
          <w:tcPr>
            <w:tcW w:w="1700" w:type="dxa"/>
            <w:vAlign w:val="bottom"/>
            <w:gridSpan w:val="12"/>
          </w:tcPr>
          <w:p>
            <w:pPr>
              <w:ind w:left="100"/>
              <w:spacing w:after="0"/>
              <w:rPr>
                <w:sz w:val="20"/>
                <w:szCs w:val="20"/>
                <w:color w:val="auto"/>
              </w:rPr>
            </w:pPr>
            <w:r>
              <w:rPr>
                <w:rFonts w:ascii="Arial" w:cs="Arial" w:eastAsia="Arial" w:hAnsi="Arial"/>
                <w:sz w:val="18"/>
                <w:szCs w:val="18"/>
                <w:color w:val="auto"/>
              </w:rPr>
              <w:t>Commitment/</w:t>
            </w:r>
          </w:p>
        </w:tc>
        <w:tc>
          <w:tcPr>
            <w:tcW w:w="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gridSpan w:val="12"/>
          </w:tcPr>
          <w:p>
            <w:pPr>
              <w:ind w:left="100"/>
              <w:spacing w:after="0" w:line="201" w:lineRule="exact"/>
              <w:rPr>
                <w:sz w:val="20"/>
                <w:szCs w:val="20"/>
                <w:color w:val="auto"/>
              </w:rPr>
            </w:pPr>
            <w:r>
              <w:rPr>
                <w:rFonts w:ascii="Arial" w:cs="Arial" w:eastAsia="Arial" w:hAnsi="Arial"/>
                <w:sz w:val="18"/>
                <w:szCs w:val="18"/>
                <w:color w:val="auto"/>
              </w:rPr>
              <w:t>Revolving Loans</w:t>
            </w: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Borders>
              <w:right w:val="single" w:sz="8" w:color="auto"/>
            </w:tcBorders>
          </w:tcPr>
          <w:p>
            <w:pPr>
              <w:spacing w:after="0"/>
              <w:rPr>
                <w:sz w:val="17"/>
                <w:szCs w:val="17"/>
                <w:color w:val="auto"/>
              </w:rPr>
            </w:pPr>
          </w:p>
        </w:tc>
        <w:tc>
          <w:tcPr>
            <w:tcW w:w="1700" w:type="dxa"/>
            <w:vAlign w:val="bottom"/>
            <w:gridSpan w:val="12"/>
          </w:tcPr>
          <w:p>
            <w:pPr>
              <w:ind w:left="100"/>
              <w:spacing w:after="0" w:line="201" w:lineRule="exact"/>
              <w:rPr>
                <w:sz w:val="20"/>
                <w:szCs w:val="20"/>
                <w:color w:val="auto"/>
              </w:rPr>
            </w:pPr>
            <w:r>
              <w:rPr>
                <w:rFonts w:ascii="Arial" w:cs="Arial" w:eastAsia="Arial" w:hAnsi="Arial"/>
                <w:sz w:val="18"/>
                <w:szCs w:val="18"/>
                <w:color w:val="auto"/>
              </w:rPr>
              <w:t>[Specify Other</w:t>
            </w:r>
          </w:p>
        </w:tc>
        <w:tc>
          <w:tcPr>
            <w:tcW w:w="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19"/>
                <w:szCs w:val="19"/>
                <w:color w:val="auto"/>
              </w:rPr>
            </w:pPr>
          </w:p>
        </w:tc>
        <w:tc>
          <w:tcPr>
            <w:tcW w:w="1700" w:type="dxa"/>
            <w:vAlign w:val="bottom"/>
            <w:gridSpan w:val="12"/>
          </w:tcPr>
          <w:p>
            <w:pPr>
              <w:ind w:left="100"/>
              <w:spacing w:after="0"/>
              <w:rPr>
                <w:sz w:val="20"/>
                <w:szCs w:val="20"/>
                <w:color w:val="auto"/>
              </w:rPr>
            </w:pPr>
            <w:r>
              <w:rPr>
                <w:rFonts w:ascii="Arial" w:cs="Arial" w:eastAsia="Arial" w:hAnsi="Arial"/>
                <w:sz w:val="18"/>
                <w:szCs w:val="18"/>
                <w:color w:val="auto"/>
              </w:rPr>
              <w:t>Tranche]</w:t>
            </w:r>
          </w:p>
        </w:tc>
        <w:tc>
          <w:tcPr>
            <w:tcW w:w="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2020" w:type="dxa"/>
            <w:vAlign w:val="bottom"/>
            <w:gridSpan w:val="13"/>
          </w:tcPr>
          <w:p>
            <w:pPr>
              <w:spacing w:after="0"/>
              <w:rPr>
                <w:sz w:val="20"/>
                <w:szCs w:val="20"/>
                <w:color w:val="auto"/>
              </w:rPr>
            </w:pPr>
            <w:r>
              <w:rPr>
                <w:rFonts w:ascii="Arial" w:cs="Arial" w:eastAsia="Arial" w:hAnsi="Arial"/>
                <w:sz w:val="18"/>
                <w:szCs w:val="18"/>
                <w:color w:val="auto"/>
              </w:rPr>
              <w:t>Effective Date  ,  ,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1900" w:type="dxa"/>
            <w:vAlign w:val="bottom"/>
            <w:gridSpan w:val="11"/>
          </w:tcPr>
          <w:p>
            <w:pPr>
              <w:spacing w:after="0"/>
              <w:rPr>
                <w:sz w:val="20"/>
                <w:szCs w:val="20"/>
                <w:color w:val="auto"/>
              </w:rPr>
            </w:pPr>
            <w:r>
              <w:rPr>
                <w:rFonts w:ascii="Arial" w:cs="Arial" w:eastAsia="Arial" w:hAnsi="Arial"/>
                <w:sz w:val="18"/>
                <w:szCs w:val="18"/>
                <w:b w:val="1"/>
                <w:bCs w:val="1"/>
                <w:color w:val="auto"/>
                <w:w w:val="92"/>
              </w:rPr>
              <w:t>Assignor[s] Information</w:t>
            </w:r>
          </w:p>
        </w:tc>
        <w:tc>
          <w:tcPr>
            <w:tcW w:w="1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gridSpan w:val="17"/>
          </w:tcPr>
          <w:p>
            <w:pPr>
              <w:jc w:val="center"/>
              <w:ind w:right="1440"/>
              <w:spacing w:after="0"/>
              <w:rPr>
                <w:sz w:val="20"/>
                <w:szCs w:val="20"/>
                <w:color w:val="auto"/>
              </w:rPr>
            </w:pPr>
            <w:r>
              <w:rPr>
                <w:rFonts w:ascii="Arial" w:cs="Arial" w:eastAsia="Arial" w:hAnsi="Arial"/>
                <w:sz w:val="18"/>
                <w:szCs w:val="18"/>
                <w:b w:val="1"/>
                <w:bCs w:val="1"/>
                <w:color w:val="auto"/>
                <w:w w:val="91"/>
              </w:rPr>
              <w:t>Assignee[s]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8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Payment Instructions:</w:t>
            </w:r>
          </w:p>
        </w:tc>
        <w:tc>
          <w:tcPr>
            <w:tcW w:w="100" w:type="dxa"/>
            <w:vAlign w:val="bottom"/>
            <w:tcBorders>
              <w:top w:val="single" w:sz="8" w:color="auto"/>
              <w:bottom w:val="single" w:sz="8" w:color="auto"/>
            </w:tcBorders>
            <w:gridSpan w:val="2"/>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Borders>
              <w:top w:val="single" w:sz="8" w:color="auto"/>
            </w:tcBorders>
            <w:gridSpan w:val="10"/>
          </w:tcPr>
          <w:p>
            <w:pPr>
              <w:jc w:val="center"/>
              <w:ind w:right="20"/>
              <w:spacing w:after="0"/>
              <w:rPr>
                <w:sz w:val="20"/>
                <w:szCs w:val="20"/>
                <w:color w:val="auto"/>
              </w:rPr>
            </w:pPr>
            <w:r>
              <w:rPr>
                <w:rFonts w:ascii="Arial" w:cs="Arial" w:eastAsia="Arial" w:hAnsi="Arial"/>
                <w:sz w:val="18"/>
                <w:szCs w:val="18"/>
                <w:color w:val="auto"/>
                <w:w w:val="93"/>
              </w:rPr>
              <w:t>Payment Instructions:</w:t>
            </w: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5"/>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6"/>
          </w:tcPr>
          <w:p>
            <w:pPr>
              <w:ind w:left="20"/>
              <w:spacing w:after="0"/>
              <w:rPr>
                <w:sz w:val="20"/>
                <w:szCs w:val="20"/>
                <w:color w:val="auto"/>
              </w:rPr>
            </w:pPr>
            <w:r>
              <w:rPr>
                <w:rFonts w:ascii="Arial" w:cs="Arial" w:eastAsia="Arial" w:hAnsi="Arial"/>
                <w:sz w:val="18"/>
                <w:szCs w:val="18"/>
                <w:color w:val="auto"/>
              </w:rPr>
              <w:t>Reference:</w:t>
            </w:r>
          </w:p>
        </w:tc>
        <w:tc>
          <w:tcPr>
            <w:tcW w:w="1860" w:type="dxa"/>
            <w:vAlign w:val="bottom"/>
            <w:gridSpan w:val="10"/>
          </w:tcPr>
          <w:p>
            <w:pPr>
              <w:ind w:left="40"/>
              <w:spacing w:after="0"/>
              <w:rPr>
                <w:sz w:val="20"/>
                <w:szCs w:val="20"/>
                <w:color w:val="auto"/>
              </w:rPr>
            </w:pPr>
            <w:r>
              <w:rPr>
                <w:rFonts w:ascii="Arial" w:cs="Arial" w:eastAsia="Arial" w:hAnsi="Arial"/>
                <w:sz w:val="18"/>
                <w:szCs w:val="18"/>
                <w:color w:val="auto"/>
              </w:rPr>
              <w:t>Reference: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1700" w:type="dxa"/>
            <w:vAlign w:val="bottom"/>
            <w:gridSpan w:val="8"/>
          </w:tcPr>
          <w:p>
            <w:pPr>
              <w:spacing w:after="0"/>
              <w:rPr>
                <w:sz w:val="20"/>
                <w:szCs w:val="20"/>
                <w:color w:val="auto"/>
              </w:rPr>
            </w:pPr>
            <w:r>
              <w:rPr>
                <w:rFonts w:ascii="Arial" w:cs="Arial" w:eastAsia="Arial" w:hAnsi="Arial"/>
                <w:sz w:val="18"/>
                <w:szCs w:val="18"/>
                <w:color w:val="auto"/>
              </w:rPr>
              <w:t>Notice Instructions:</w:t>
            </w:r>
          </w:p>
        </w:tc>
        <w:tc>
          <w:tcPr>
            <w:tcW w:w="180" w:type="dxa"/>
            <w:vAlign w:val="bottom"/>
            <w:tcBorders>
              <w:bottom w:val="single" w:sz="8" w:color="auto"/>
            </w:tcBorders>
            <w:gridSpan w:val="2"/>
          </w:tcPr>
          <w:p>
            <w:pPr>
              <w:spacing w:after="0"/>
              <w:rPr>
                <w:sz w:val="24"/>
                <w:szCs w:val="24"/>
                <w:color w:val="auto"/>
              </w:rPr>
            </w:pPr>
          </w:p>
        </w:tc>
        <w:tc>
          <w:tcPr>
            <w:tcW w:w="140" w:type="dxa"/>
            <w:vAlign w:val="bottom"/>
            <w:gridSpan w:val="3"/>
          </w:tcPr>
          <w:p>
            <w:pPr>
              <w:spacing w:after="0"/>
              <w:rPr>
                <w:sz w:val="24"/>
                <w:szCs w:val="24"/>
                <w:color w:val="auto"/>
              </w:rPr>
            </w:pPr>
          </w:p>
        </w:tc>
        <w:tc>
          <w:tcPr>
            <w:tcW w:w="1520" w:type="dxa"/>
            <w:vAlign w:val="bottom"/>
            <w:gridSpan w:val="8"/>
          </w:tcPr>
          <w:p>
            <w:pPr>
              <w:ind w:left="40"/>
              <w:spacing w:after="0"/>
              <w:rPr>
                <w:sz w:val="20"/>
                <w:szCs w:val="20"/>
                <w:color w:val="auto"/>
              </w:rPr>
            </w:pPr>
            <w:r>
              <w:rPr>
                <w:rFonts w:ascii="Arial" w:cs="Arial" w:eastAsia="Arial" w:hAnsi="Arial"/>
                <w:sz w:val="18"/>
                <w:szCs w:val="18"/>
                <w:color w:val="auto"/>
                <w:w w:val="95"/>
              </w:rPr>
              <w:t>Notice Instructions:</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1"/>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6"/>
          </w:tcPr>
          <w:p>
            <w:pPr>
              <w:ind w:left="20"/>
              <w:spacing w:after="0"/>
              <w:rPr>
                <w:sz w:val="20"/>
                <w:szCs w:val="20"/>
                <w:color w:val="auto"/>
              </w:rPr>
            </w:pPr>
            <w:r>
              <w:rPr>
                <w:rFonts w:ascii="Arial" w:cs="Arial" w:eastAsia="Arial" w:hAnsi="Arial"/>
                <w:sz w:val="18"/>
                <w:szCs w:val="18"/>
                <w:color w:val="auto"/>
              </w:rPr>
              <w:t>Reference:</w:t>
            </w:r>
          </w:p>
        </w:tc>
        <w:tc>
          <w:tcPr>
            <w:tcW w:w="1860" w:type="dxa"/>
            <w:vAlign w:val="bottom"/>
            <w:gridSpan w:val="10"/>
          </w:tcPr>
          <w:p>
            <w:pPr>
              <w:ind w:left="40"/>
              <w:spacing w:after="0"/>
              <w:rPr>
                <w:sz w:val="20"/>
                <w:szCs w:val="20"/>
                <w:color w:val="auto"/>
              </w:rPr>
            </w:pPr>
            <w:r>
              <w:rPr>
                <w:rFonts w:ascii="Arial" w:cs="Arial" w:eastAsia="Arial" w:hAnsi="Arial"/>
                <w:sz w:val="18"/>
                <w:szCs w:val="18"/>
                <w:color w:val="auto"/>
              </w:rPr>
              <w:t>Reference: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-1655445</wp:posOffset>
            </wp:positionV>
            <wp:extent cx="57804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578040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-541020</wp:posOffset>
            </wp:positionV>
            <wp:extent cx="57804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578040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2165985</wp:posOffset>
            </wp:positionV>
            <wp:extent cx="15284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hanging="378"/>
        <w:spacing w:after="0" w:line="214" w:lineRule="auto"/>
        <w:tabs>
          <w:tab w:leader="none" w:pos="228" w:val="left"/>
        </w:tabs>
        <w:numPr>
          <w:ilvl w:val="0"/>
          <w:numId w:val="337"/>
        </w:numPr>
        <w:rPr>
          <w:rFonts w:ascii="Arial" w:cs="Arial" w:eastAsia="Arial" w:hAnsi="Arial"/>
          <w:sz w:val="22"/>
          <w:szCs w:val="22"/>
          <w:color w:val="auto"/>
          <w:vertAlign w:val="superscript"/>
        </w:rPr>
      </w:pPr>
      <w:r>
        <w:rPr>
          <w:rFonts w:ascii="Arial" w:cs="Arial" w:eastAsia="Arial" w:hAnsi="Arial"/>
          <w:sz w:val="17"/>
          <w:szCs w:val="17"/>
          <w:color w:val="auto"/>
        </w:rPr>
        <w:t>Insert this chart if this Form of Assignment and Assumption Agreement is being used by a single Assignor for an assignment to a single Assignee.</w:t>
      </w:r>
    </w:p>
    <w:p>
      <w:pPr>
        <w:sectPr>
          <w:pgSz w:w="11900" w:h="16838" w:orient="portrait"/>
          <w:cols w:equalWidth="0" w:num="1">
            <w:col w:w="9320"/>
          </w:cols>
          <w:pgMar w:left="1320" w:top="1326" w:right="125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t>The terms set forth in this Assignment are hereby agreed to:</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5"/>
          </w:tcPr>
          <w:p>
            <w:pPr>
              <w:spacing w:after="0"/>
              <w:rPr>
                <w:sz w:val="20"/>
                <w:szCs w:val="20"/>
                <w:color w:val="auto"/>
              </w:rPr>
            </w:pPr>
            <w:r>
              <w:rPr>
                <w:rFonts w:ascii="Arial" w:cs="Arial" w:eastAsia="Arial" w:hAnsi="Arial"/>
                <w:sz w:val="18"/>
                <w:szCs w:val="18"/>
                <w:color w:val="auto"/>
              </w:rPr>
              <w:t>ASSIGNOR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3"/>
              </w:rPr>
              <w:t>ASSIGNEE</w:t>
            </w:r>
          </w:p>
        </w:tc>
        <w:tc>
          <w:tcPr>
            <w:tcW w:w="2000" w:type="dxa"/>
            <w:vAlign w:val="bottom"/>
            <w:vMerge w:val="restart"/>
          </w:tcPr>
          <w:p>
            <w:pPr>
              <w:ind w:left="60"/>
              <w:spacing w:after="0"/>
              <w:rPr>
                <w:sz w:val="20"/>
                <w:szCs w:val="20"/>
                <w:color w:val="auto"/>
              </w:rPr>
            </w:pPr>
            <w:r>
              <w:rPr>
                <w:rFonts w:ascii="Arial" w:cs="Arial" w:eastAsia="Arial" w:hAnsi="Arial"/>
                <w:sz w:val="18"/>
                <w:szCs w:val="18"/>
                <w:color w:val="auto"/>
                <w:w w:val="97"/>
              </w:rPr>
              <w:t>[NAME OF ASSIGNEE]</w:t>
            </w:r>
            <w:r>
              <w:rPr>
                <w:rFonts w:ascii="Arial" w:cs="Arial" w:eastAsia="Arial" w:hAnsi="Arial"/>
                <w:sz w:val="23"/>
                <w:szCs w:val="23"/>
                <w:color w:val="auto"/>
                <w:w w:val="97"/>
                <w:vertAlign w:val="superscript"/>
              </w:rPr>
              <w:t>6</w:t>
            </w:r>
          </w:p>
        </w:tc>
        <w:tc>
          <w:tcPr>
            <w:tcW w:w="0" w:type="dxa"/>
            <w:vAlign w:val="bottom"/>
          </w:tcPr>
          <w:p>
            <w:pPr>
              <w:spacing w:after="0"/>
              <w:rPr>
                <w:sz w:val="1"/>
                <w:szCs w:val="1"/>
                <w:color w:val="auto"/>
              </w:rPr>
            </w:pPr>
          </w:p>
        </w:tc>
      </w:tr>
      <w:tr>
        <w:trPr>
          <w:trHeight w:val="300"/>
        </w:trPr>
        <w:tc>
          <w:tcPr>
            <w:tcW w:w="2040" w:type="dxa"/>
            <w:vAlign w:val="bottom"/>
            <w:gridSpan w:val="7"/>
          </w:tcPr>
          <w:p>
            <w:pPr>
              <w:spacing w:after="0"/>
              <w:rPr>
                <w:sz w:val="20"/>
                <w:szCs w:val="20"/>
                <w:color w:val="auto"/>
              </w:rPr>
            </w:pPr>
            <w:r>
              <w:rPr>
                <w:rFonts w:ascii="Arial" w:cs="Arial" w:eastAsia="Arial" w:hAnsi="Arial"/>
                <w:sz w:val="18"/>
                <w:szCs w:val="18"/>
                <w:color w:val="auto"/>
              </w:rPr>
              <w:t>[NAME OF ASSIGNOR]</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760" w:type="dxa"/>
            <w:vAlign w:val="bottom"/>
            <w:gridSpan w:val="3"/>
          </w:tcPr>
          <w:p>
            <w:pPr>
              <w:spacing w:after="0"/>
              <w:rPr>
                <w:sz w:val="20"/>
                <w:szCs w:val="20"/>
                <w:color w:val="auto"/>
              </w:rPr>
            </w:pPr>
            <w:r>
              <w:rPr>
                <w:rFonts w:ascii="Arial" w:cs="Arial" w:eastAsia="Arial" w:hAnsi="Arial"/>
                <w:sz w:val="18"/>
                <w:szCs w:val="18"/>
                <w:color w:val="auto"/>
              </w:rPr>
              <w:t>By:</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Name:</w:t>
            </w:r>
          </w:p>
        </w:tc>
        <w:tc>
          <w:tcPr>
            <w:tcW w:w="2000" w:type="dxa"/>
            <w:vAlign w:val="bottom"/>
          </w:tcPr>
          <w:p>
            <w:pPr>
              <w:ind w:left="5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Title:</w:t>
            </w: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Title:</w:t>
            </w:r>
          </w:p>
        </w:tc>
        <w:tc>
          <w:tcPr>
            <w:tcW w:w="5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5862955</wp:posOffset>
            </wp:positionV>
            <wp:extent cx="15284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hanging="378"/>
        <w:spacing w:after="0" w:line="214" w:lineRule="auto"/>
        <w:tabs>
          <w:tab w:leader="none" w:pos="216" w:val="left"/>
        </w:tabs>
        <w:numPr>
          <w:ilvl w:val="0"/>
          <w:numId w:val="338"/>
        </w:numPr>
        <w:rPr>
          <w:rFonts w:ascii="Arial" w:cs="Arial" w:eastAsia="Arial" w:hAnsi="Arial"/>
          <w:sz w:val="22"/>
          <w:szCs w:val="22"/>
          <w:color w:val="auto"/>
          <w:vertAlign w:val="superscript"/>
        </w:rPr>
      </w:pPr>
      <w:r>
        <w:rPr>
          <w:rFonts w:ascii="Arial" w:cs="Arial" w:eastAsia="Arial" w:hAnsi="Arial"/>
          <w:sz w:val="17"/>
          <w:szCs w:val="17"/>
          <w:color w:val="auto"/>
        </w:rPr>
        <w:t>Add additional signature blocks, as needed, if this Form of Assignment and Assumption Agreement is being used by funds managed by the same or related investment managers.</w:t>
      </w:r>
    </w:p>
    <w:p>
      <w:pPr>
        <w:sectPr>
          <w:pgSz w:w="11900" w:h="16838" w:orient="portrait"/>
          <w:cols w:equalWidth="0" w:num="1">
            <w:col w:w="9540"/>
          </w:cols>
          <w:pgMar w:left="1320" w:top="1326" w:right="10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t>Consented to and Accepted: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Administrative Agent</w:t>
      </w: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-8890</wp:posOffset>
            </wp:positionV>
            <wp:extent cx="2336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LEGALZOOM.COM, INC.,</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1" w:lineRule="exact"/>
        <w:rPr>
          <w:sz w:val="20"/>
          <w:szCs w:val="20"/>
          <w:color w:val="auto"/>
        </w:rPr>
      </w:pPr>
    </w:p>
    <w:p>
      <w:pPr>
        <w:jc w:val="center"/>
        <w:ind w:right="876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-3175</wp:posOffset>
            </wp:positionV>
            <wp:extent cx="1168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Title:]</w:t>
      </w:r>
      <w:r>
        <w:rPr>
          <w:rFonts w:ascii="Arial" w:cs="Arial" w:eastAsia="Arial" w:hAnsi="Arial"/>
          <w:sz w:val="23"/>
          <w:szCs w:val="23"/>
          <w:color w:val="auto"/>
          <w:vertAlign w:val="superscript"/>
        </w:rPr>
        <w:t>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[NAME OF EACH ISSUING LENDER],</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Letter of Credit Issuer</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-8890</wp:posOffset>
            </wp:positionV>
            <wp:extent cx="1168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Title: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Swingline Lender</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-8890</wp:posOffset>
            </wp:positionV>
            <wp:extent cx="1168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2289810</wp:posOffset>
            </wp:positionV>
            <wp:extent cx="15284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 w:hanging="378"/>
        <w:spacing w:after="0" w:line="214" w:lineRule="auto"/>
        <w:tabs>
          <w:tab w:leader="none" w:pos="121" w:val="left"/>
        </w:tabs>
        <w:numPr>
          <w:ilvl w:val="0"/>
          <w:numId w:val="339"/>
        </w:numPr>
        <w:rPr>
          <w:rFonts w:ascii="Arial" w:cs="Arial" w:eastAsia="Arial" w:hAnsi="Arial"/>
          <w:sz w:val="22"/>
          <w:szCs w:val="22"/>
          <w:color w:val="auto"/>
          <w:vertAlign w:val="superscript"/>
        </w:rPr>
      </w:pPr>
      <w:r>
        <w:rPr>
          <w:rFonts w:ascii="Arial" w:cs="Arial" w:eastAsia="Arial" w:hAnsi="Arial"/>
          <w:sz w:val="17"/>
          <w:szCs w:val="17"/>
          <w:color w:val="auto"/>
        </w:rPr>
        <w:t>Insert unless (i) such assignment is to a Lender, an Affiliate of a Lender or an Approved Fund or (ii) if a Significant Event of Default has occurred and is continuing. Consent of the Borrower shall not be unreasonably withheld or delayed.</w:t>
      </w:r>
    </w:p>
    <w:p>
      <w:pPr>
        <w:spacing w:after="0" w:line="7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 Page 5</w:t>
      </w:r>
    </w:p>
    <w:p>
      <w:pPr>
        <w:sectPr>
          <w:pgSz w:w="11900" w:h="16838" w:orient="portrait"/>
          <w:cols w:equalWidth="0" w:num="1">
            <w:col w:w="9740"/>
          </w:cols>
          <w:pgMar w:left="1320" w:top="1326" w:right="839" w:bottom="1440" w:gutter="0" w:footer="0" w:header="0"/>
        </w:sectPr>
      </w:pPr>
    </w:p>
    <w:bookmarkStart w:id="316" w:name="page317"/>
    <w:bookmarkEnd w:id="316"/>
    <w:p>
      <w:pPr>
        <w:jc w:val="right"/>
        <w:ind w:right="20"/>
        <w:spacing w:after="0"/>
        <w:rPr>
          <w:sz w:val="20"/>
          <w:szCs w:val="20"/>
          <w:color w:val="auto"/>
        </w:rPr>
      </w:pPr>
      <w:r>
        <w:rPr>
          <w:rFonts w:ascii="Arial" w:cs="Arial" w:eastAsia="Arial" w:hAnsi="Arial"/>
          <w:sz w:val="20"/>
          <w:szCs w:val="20"/>
          <w:color w:val="auto"/>
        </w:rPr>
        <w:t>ANNEX I</w:t>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TO EXHIBIT A</w:t>
      </w:r>
    </w:p>
    <w:p>
      <w:pPr>
        <w:spacing w:after="0" w:line="38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[NAME OF BORROWER] CREDIT AGREEMENT</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STANDARD TERMS AND CONDITIONS FOR ASSIGNMENT AND ASSUMPTION</w:t>
      </w:r>
    </w:p>
    <w:p>
      <w:pPr>
        <w:spacing w:after="0" w:line="1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AGREEMENT</w:t>
      </w:r>
    </w:p>
    <w:p>
      <w:pPr>
        <w:spacing w:after="0" w:line="216" w:lineRule="exact"/>
        <w:rPr>
          <w:sz w:val="20"/>
          <w:szCs w:val="20"/>
          <w:color w:val="auto"/>
        </w:rPr>
      </w:pPr>
    </w:p>
    <w:p>
      <w:pPr>
        <w:ind w:left="1800" w:hanging="594"/>
        <w:spacing w:after="0"/>
        <w:tabs>
          <w:tab w:leader="none" w:pos="180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95" w:lineRule="exact"/>
        <w:rPr>
          <w:sz w:val="20"/>
          <w:szCs w:val="20"/>
          <w:color w:val="auto"/>
        </w:rPr>
      </w:pPr>
    </w:p>
    <w:p>
      <w:pPr>
        <w:jc w:val="both"/>
        <w:ind w:firstLine="1204"/>
        <w:spacing w:after="0" w:line="260"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[Each] Assignor (a) represents and warrants that (i) it is the legal and beneficial owner of [the] [its] Assigned Interest [and is not a Defaulting Lender]</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[and is a [Restricted Affiliated Lender][Affiliated Investment Fund]]</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(ii) [the] [its] Assigned Interest is free and clear of any lien, encumbrance or other adverse claim and (iii) it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any Loan Document, (ii) the execution, legality, validity, enforceability, genuineness, sufficiency or value of the Credit Agreement, any other Loan Document or any other instrument or document delivered pursuant thereto (other than this Assignment)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0" w:lineRule="exact"/>
        <w:rPr>
          <w:sz w:val="20"/>
          <w:szCs w:val="20"/>
          <w:color w:val="auto"/>
        </w:rPr>
      </w:pPr>
    </w:p>
    <w:p>
      <w:pPr>
        <w:jc w:val="both"/>
        <w:ind w:right="20" w:firstLine="1204"/>
        <w:spacing w:after="0" w:line="23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[Each] Assignee (a) represents and warrants that (i) it has full power and authority, and has taken all action necessary, to execute and deliver this Assignment and to consummate the transactions contemplated hereby and to become a Lender under the Credit Agreement,</w:t>
      </w:r>
    </w:p>
    <w:p>
      <w:pPr>
        <w:spacing w:after="0" w:line="2" w:lineRule="exact"/>
        <w:rPr>
          <w:sz w:val="20"/>
          <w:szCs w:val="20"/>
          <w:color w:val="auto"/>
        </w:rPr>
      </w:pPr>
    </w:p>
    <w:p>
      <w:pPr>
        <w:jc w:val="both"/>
        <w:ind w:firstLine="2"/>
        <w:spacing w:after="0" w:line="244" w:lineRule="auto"/>
        <w:tabs>
          <w:tab w:leader="none" w:pos="80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confirms that it is an Eligible Assignee [and is a [Restricted Affiliated Lender][Affiliated Investment Fund]],</w:t>
      </w:r>
      <w:r>
        <w:rPr>
          <w:rFonts w:ascii="Arial" w:cs="Arial" w:eastAsia="Arial" w:hAnsi="Arial"/>
          <w:sz w:val="21"/>
          <w:szCs w:val="21"/>
          <w:color w:val="auto"/>
          <w:vertAlign w:val="superscript"/>
        </w:rPr>
        <w:t>3</w:t>
      </w:r>
      <w:r>
        <w:rPr>
          <w:rFonts w:ascii="Arial" w:cs="Arial" w:eastAsia="Arial" w:hAnsi="Arial"/>
          <w:sz w:val="17"/>
          <w:szCs w:val="17"/>
          <w:color w:val="auto"/>
        </w:rPr>
        <w:t xml:space="preserve"> (iii) confirms that it is not a Disqualified Institution, (iv) from and after the Effective Date, it shall be bound by the provisions of the Credit Agreement and, to the extent of [the][its] Assigned Interest, shall have the obligations of a Lender thereunder, (v)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8.1</w:t>
      </w:r>
      <w:r>
        <w:rPr>
          <w:rFonts w:ascii="Arial" w:cs="Arial" w:eastAsia="Arial" w:hAnsi="Arial"/>
          <w:sz w:val="17"/>
          <w:szCs w:val="17"/>
          <w:color w:val="auto"/>
        </w:rPr>
        <w:t xml:space="preserve"> thereof, as applicable, and such other documents and information as it has deemed appropriate to make its own credit analysis and decision to enter into this Assignment and to purchase [the][its] Assigned Interest on the basis of which it has made such analysis and decision, (vi) it has attached to this Assignment any tax documentation required to be delivered by it pursuant to the terms of the Credit Agreement, duly completed and executed by it, (vii) it is sophisticated with respect to decisions to acquire assets of the type represented by the Assigned Interest and either it, or the person exercising discretion in making its decision to acquire the Assigned Interest, is experienced in acquiring assets of such type and (viii) it has independently and without reliance upon the Administrative Agent or any other Lender and based on such documents and information as it has deemed appropriate, made its own credit analysis and decision to enter into this Assignment and to purchase [the][such] Assigned Interest; (b) agrees that it will, independently and without reliance upon the Administrative Agent, [the][each] Assignor, or any other Lender and based on such documents and information as it shall deem appropriate at the time, continue to make its own credit decisions in taking or not taking action under the Credit Agreement; (c) appoints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-6985</wp:posOffset>
            </wp:positionV>
            <wp:extent cx="15284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103" w:lineRule="exact"/>
        <w:rPr>
          <w:sz w:val="20"/>
          <w:szCs w:val="20"/>
          <w:color w:val="auto"/>
        </w:rPr>
      </w:pPr>
    </w:p>
    <w:p>
      <w:pPr>
        <w:ind w:left="100" w:hanging="97"/>
        <w:spacing w:after="0"/>
        <w:tabs>
          <w:tab w:leader="none" w:pos="100" w:val="left"/>
        </w:tabs>
        <w:numPr>
          <w:ilvl w:val="0"/>
          <w:numId w:val="342"/>
        </w:numPr>
        <w:rPr>
          <w:rFonts w:ascii="Arial" w:cs="Arial" w:eastAsia="Arial" w:hAnsi="Arial"/>
          <w:sz w:val="22"/>
          <w:szCs w:val="22"/>
          <w:color w:val="auto"/>
          <w:vertAlign w:val="superscript"/>
        </w:rPr>
      </w:pPr>
      <w:r>
        <w:rPr>
          <w:rFonts w:ascii="Arial" w:cs="Arial" w:eastAsia="Arial" w:hAnsi="Arial"/>
          <w:sz w:val="17"/>
          <w:szCs w:val="17"/>
          <w:color w:val="auto"/>
        </w:rPr>
        <w:t>Delete if the Assignor is a Defaulting Lender.</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Insert as applicable if the Assignor is an Affiliated Lender.</w:t>
      </w:r>
    </w:p>
    <w:p>
      <w:pPr>
        <w:spacing w:after="0" w:line="103" w:lineRule="exact"/>
        <w:rPr>
          <w:sz w:val="20"/>
          <w:szCs w:val="20"/>
          <w:color w:val="auto"/>
        </w:rPr>
      </w:pPr>
    </w:p>
    <w:p>
      <w:pPr>
        <w:ind w:right="120" w:firstLine="2"/>
        <w:spacing w:after="0" w:line="214" w:lineRule="auto"/>
        <w:tabs>
          <w:tab w:leader="none" w:pos="96" w:val="left"/>
        </w:tabs>
        <w:numPr>
          <w:ilvl w:val="0"/>
          <w:numId w:val="343"/>
        </w:numPr>
        <w:rPr>
          <w:rFonts w:ascii="Arial" w:cs="Arial" w:eastAsia="Arial" w:hAnsi="Arial"/>
          <w:sz w:val="22"/>
          <w:szCs w:val="22"/>
          <w:color w:val="auto"/>
          <w:vertAlign w:val="superscript"/>
        </w:rPr>
      </w:pPr>
      <w:r>
        <w:rPr>
          <w:rFonts w:ascii="Arial" w:cs="Arial" w:eastAsia="Arial" w:hAnsi="Arial"/>
          <w:sz w:val="17"/>
          <w:szCs w:val="17"/>
          <w:color w:val="auto"/>
        </w:rPr>
        <w:t>Insert as applicable if the Assignee is an Affiliated Lender. Assignments to Affiliated Lenders shall comply with the provisions relating thereto in the Credit Agreement.</w:t>
      </w:r>
    </w:p>
    <w:p>
      <w:pPr>
        <w:sectPr>
          <w:pgSz w:w="11900" w:h="16838" w:orient="portrait"/>
          <w:cols w:equalWidth="0" w:num="1">
            <w:col w:w="9760"/>
          </w:cols>
          <w:pgMar w:left="1320" w:top="719" w:right="819" w:bottom="1440" w:gutter="0" w:footer="0" w:header="0"/>
        </w:sectPr>
      </w:pPr>
    </w:p>
    <w:bookmarkStart w:id="317" w:name="page318"/>
    <w:bookmarkEnd w:id="317"/>
    <w:p>
      <w:pPr>
        <w:jc w:val="right"/>
        <w:spacing w:after="0"/>
        <w:rPr>
          <w:sz w:val="20"/>
          <w:szCs w:val="20"/>
          <w:color w:val="auto"/>
        </w:rPr>
      </w:pPr>
      <w:r>
        <w:rPr>
          <w:rFonts w:ascii="Arial" w:cs="Arial" w:eastAsia="Arial" w:hAnsi="Arial"/>
          <w:sz w:val="20"/>
          <w:szCs w:val="20"/>
          <w:color w:val="auto"/>
        </w:rPr>
        <w:t>ANNEX I TO EXHIBIT A</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2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authorizes each of the Administrative Agent and the Collateral Agent to take such action as agent on its behalf and to exercise such powers under the Credit Agreement and the other Loan Documents as are delegated to or otherwise conferred upon the Administrative Agent or the Collateral Agent, as the case may be, by the terms thereof, together with such powers as are reasonably incidental thereto; and (d) agrees that it will perform in accordance with their terms all of the obligations which by the terms of the Loan Documents are required to be performed by it as a Lender.</w:t>
      </w:r>
    </w:p>
    <w:p>
      <w:pPr>
        <w:spacing w:after="0" w:line="206" w:lineRule="exact"/>
        <w:rPr>
          <w:sz w:val="20"/>
          <w:szCs w:val="20"/>
          <w:color w:val="auto"/>
        </w:rPr>
      </w:pPr>
    </w:p>
    <w:p>
      <w:pPr>
        <w:jc w:val="both"/>
        <w:ind w:firstLine="1206"/>
        <w:spacing w:after="0" w:line="242" w:lineRule="auto"/>
        <w:tabs>
          <w:tab w:leader="none" w:pos="140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From and after the Effective Date, the Administrative Agent shall make all payments in respect of [the] [each] Assigned Interest (including payments of principal, interest, fees, commissions and other amounts) to [the][each] Assignor for amounts which have accrued to but excluding the Effective Date and to [the] [each] Assignee for amounts which have accrued from and after the Effective Date.</w:t>
      </w:r>
    </w:p>
    <w:p>
      <w:pPr>
        <w:spacing w:after="0" w:line="193" w:lineRule="exact"/>
        <w:rPr>
          <w:rFonts w:ascii="Arial" w:cs="Arial" w:eastAsia="Arial" w:hAnsi="Arial"/>
          <w:sz w:val="18"/>
          <w:szCs w:val="18"/>
          <w:color w:val="auto"/>
        </w:rPr>
      </w:pPr>
    </w:p>
    <w:p>
      <w:pPr>
        <w:jc w:val="both"/>
        <w:ind w:firstLine="1207"/>
        <w:spacing w:after="0"/>
        <w:tabs>
          <w:tab w:leader="none" w:pos="140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Upon the delivery of a fully executed original hereof to the Administrative Agent, as of the Effective Date, (i) [the][each] Assignee shall be a party to the Credit Agreement and, to the extent provided in this Assignment, have the rights and obligations of a Lender thereunder and under the other Loan Documents and (ii) [the][each] Assignor shall, to the extent provided in this Assignment, relinquish its rights and be released from its obligations under the Credit Agreement and the other Loan Documents.</w:t>
      </w:r>
    </w:p>
    <w:p>
      <w:pPr>
        <w:spacing w:after="0" w:line="206" w:lineRule="exact"/>
        <w:rPr>
          <w:rFonts w:ascii="Arial" w:cs="Arial" w:eastAsia="Arial" w:hAnsi="Arial"/>
          <w:sz w:val="18"/>
          <w:szCs w:val="18"/>
          <w:color w:val="auto"/>
        </w:rPr>
      </w:pPr>
    </w:p>
    <w:p>
      <w:pPr>
        <w:jc w:val="both"/>
        <w:ind w:firstLine="1206"/>
        <w:spacing w:after="0" w:line="258" w:lineRule="auto"/>
        <w:tabs>
          <w:tab w:leader="none" w:pos="1404"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by telecopy shall be effective as delivery of a manually executed counterpart of the Assignment. THIS ASSIGNMENT SHALL BE GOVERNED BY, AND CONSTRUED AND ENFORCED IN ACCORDANCE WITH, THE LAW OF THE STATE OF NEW YORK.</w:t>
      </w:r>
    </w:p>
    <w:p>
      <w:pPr>
        <w:spacing w:after="0" w:line="190" w:lineRule="exact"/>
        <w:rPr>
          <w:rFonts w:ascii="Arial" w:cs="Arial" w:eastAsia="Arial" w:hAnsi="Arial"/>
          <w:sz w:val="17"/>
          <w:szCs w:val="17"/>
          <w:color w:val="auto"/>
        </w:rPr>
      </w:pPr>
    </w:p>
    <w:p>
      <w:pPr>
        <w:ind w:left="4300"/>
        <w:spacing w:after="0"/>
        <w:rPr>
          <w:rFonts w:ascii="Arial" w:cs="Arial" w:eastAsia="Arial" w:hAnsi="Arial"/>
          <w:sz w:val="17"/>
          <w:szCs w:val="17"/>
          <w:color w:val="auto"/>
        </w:rPr>
      </w:pPr>
      <w:r>
        <w:rPr>
          <w:rFonts w:ascii="Arial" w:cs="Arial" w:eastAsia="Arial" w:hAnsi="Arial"/>
          <w:sz w:val="18"/>
          <w:szCs w:val="18"/>
          <w:color w:val="auto"/>
        </w:rPr>
        <w:t>*  *  *</w:t>
      </w:r>
    </w:p>
    <w:p>
      <w:pPr>
        <w:sectPr>
          <w:pgSz w:w="11900" w:h="16838" w:orient="portrait"/>
          <w:cols w:equalWidth="0" w:num="1">
            <w:col w:w="9740"/>
          </w:cols>
          <w:pgMar w:left="1320" w:top="720" w:right="839" w:bottom="1440" w:gutter="0" w:footer="0" w:header="0"/>
        </w:sectPr>
      </w:pPr>
    </w:p>
    <w:bookmarkStart w:id="318" w:name="page319"/>
    <w:bookmarkEnd w:id="318"/>
    <w:p>
      <w:pPr>
        <w:ind w:left="9720"/>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21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FORM OF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-48260</wp:posOffset>
            </wp:positionV>
            <wp:extent cx="27628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CERTIFICATE</w:t>
      </w:r>
      <w:r>
        <w:rPr>
          <w:rFonts w:ascii="Arial" w:cs="Arial" w:eastAsia="Arial" w:hAnsi="Arial"/>
          <w:sz w:val="23"/>
          <w:szCs w:val="23"/>
          <w:color w:val="auto"/>
          <w:vertAlign w:val="superscript"/>
        </w:rPr>
        <w:t>1</w:t>
      </w:r>
    </w:p>
    <w:p>
      <w:pPr>
        <w:spacing w:after="0" w:line="389" w:lineRule="exact"/>
        <w:rPr>
          <w:sz w:val="20"/>
          <w:szCs w:val="20"/>
          <w:color w:val="auto"/>
        </w:rPr>
      </w:pPr>
    </w:p>
    <w:p>
      <w:pPr>
        <w:jc w:val="both"/>
        <w:ind w:left="960" w:firstLine="602"/>
        <w:spacing w:after="0" w:line="229" w:lineRule="auto"/>
        <w:rPr>
          <w:sz w:val="20"/>
          <w:szCs w:val="20"/>
          <w:color w:val="auto"/>
        </w:rPr>
      </w:pPr>
      <w:r>
        <w:rPr>
          <w:rFonts w:ascii="Arial" w:cs="Arial" w:eastAsia="Arial" w:hAnsi="Arial"/>
          <w:sz w:val="18"/>
          <w:szCs w:val="18"/>
          <w:color w:val="auto"/>
        </w:rPr>
        <w:t>Reference is made to the Amended and Restated Credit and Guaranty Agreement, dated as of July 2, 2021 (as amended, restated, amended and restated, modified, supplemented and/or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have the meanings attributed thereto in the Credit Agreement unless otherwise defined herein), among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8.2(c)</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the Credit Agreement, the undersigned, solely in his/her capacity as an Authorized Officer, certifies as follows:</w:t>
      </w:r>
    </w:p>
    <w:p>
      <w:pPr>
        <w:spacing w:after="0" w:line="196" w:lineRule="exact"/>
        <w:rPr>
          <w:sz w:val="20"/>
          <w:szCs w:val="20"/>
          <w:color w:val="auto"/>
        </w:rPr>
      </w:pPr>
    </w:p>
    <w:p>
      <w:pPr>
        <w:jc w:val="both"/>
        <w:ind w:left="2160" w:right="20" w:hanging="596"/>
        <w:spacing w:after="0" w:line="249" w:lineRule="auto"/>
        <w:tabs>
          <w:tab w:leader="none" w:pos="216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the audited consolidated balance sheet of the Borrower and its Subsidiaries as at the end of such year and the related audited consolidated statements of income and of cash flows for such year, setting forth in each case in comparative form the figures for the previous year reported on without a “going concern” statement or like qualification or exception, or qualification relating to the scope of the audit (in each case other than with respect to or resulting from (i) the upcoming maturity of any Indebtedness, (ii) any potential inability to satisfy any financial covenant, including the Financial Covenant, on a future date or for a future period,</w:t>
      </w:r>
    </w:p>
    <w:p>
      <w:pPr>
        <w:spacing w:after="0" w:line="2" w:lineRule="exact"/>
        <w:rPr>
          <w:rFonts w:ascii="Arial" w:cs="Arial" w:eastAsia="Arial" w:hAnsi="Arial"/>
          <w:sz w:val="17"/>
          <w:szCs w:val="17"/>
          <w:color w:val="auto"/>
        </w:rPr>
      </w:pPr>
    </w:p>
    <w:p>
      <w:pPr>
        <w:jc w:val="both"/>
        <w:ind w:left="2160" w:right="20" w:firstLine="6"/>
        <w:spacing w:after="0" w:line="266" w:lineRule="auto"/>
        <w:tabs>
          <w:tab w:leader="none" w:pos="2516" w:val="left"/>
        </w:tabs>
        <w:numPr>
          <w:ilvl w:val="2"/>
          <w:numId w:val="345"/>
        </w:numPr>
        <w:rPr>
          <w:rFonts w:ascii="Arial" w:cs="Arial" w:eastAsia="Arial" w:hAnsi="Arial"/>
          <w:sz w:val="17"/>
          <w:szCs w:val="17"/>
          <w:color w:val="auto"/>
        </w:rPr>
      </w:pPr>
      <w:r>
        <w:rPr>
          <w:rFonts w:ascii="Arial" w:cs="Arial" w:eastAsia="Arial" w:hAnsi="Arial"/>
          <w:sz w:val="17"/>
          <w:szCs w:val="17"/>
          <w:color w:val="auto"/>
        </w:rPr>
        <w:t>any financial covenant breach under the Revolving Facility or any Indebtedness the outstanding principal amount of which is less than or equal to $20,000,000 (other than, in respect of the Revolving Facility only, an actual breach of the Financial Covenant which has not been remedied, cured or waived) and (iv) the activities of any Unrestricted Subsidiaries) by independent public accountants of recognized national standing.]</w:t>
      </w:r>
      <w:r>
        <w:rPr>
          <w:rFonts w:ascii="Arial" w:cs="Arial" w:eastAsia="Arial" w:hAnsi="Arial"/>
          <w:sz w:val="21"/>
          <w:szCs w:val="21"/>
          <w:color w:val="auto"/>
          <w:vertAlign w:val="superscript"/>
        </w:rPr>
        <w:t>3</w:t>
      </w:r>
    </w:p>
    <w:p>
      <w:pPr>
        <w:spacing w:after="0" w:line="107" w:lineRule="exact"/>
        <w:rPr>
          <w:rFonts w:ascii="Arial" w:cs="Arial" w:eastAsia="Arial" w:hAnsi="Arial"/>
          <w:sz w:val="17"/>
          <w:szCs w:val="17"/>
          <w:color w:val="auto"/>
        </w:rPr>
      </w:pPr>
    </w:p>
    <w:p>
      <w:pPr>
        <w:jc w:val="both"/>
        <w:ind w:left="2160" w:right="20" w:hanging="595"/>
        <w:spacing w:after="0" w:line="262" w:lineRule="auto"/>
        <w:tabs>
          <w:tab w:leader="none" w:pos="216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the unaudited consolidated balance sheet of the Borrower and its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an Authorized Officer as fairly stating in all material respects the financial position of the Borrower and its Subsidiaries in accordance with GAAP for the period covered thereby (subject to normal year end audit adjustments and the absence of footnotes).]</w:t>
      </w:r>
      <w:r>
        <w:rPr>
          <w:rFonts w:ascii="Arial" w:cs="Arial" w:eastAsia="Arial" w:hAnsi="Arial"/>
          <w:sz w:val="21"/>
          <w:szCs w:val="21"/>
          <w:color w:val="auto"/>
          <w:vertAlign w:val="superscript"/>
        </w:rPr>
        <w:t>4</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7" w:lineRule="exact"/>
        <w:rPr>
          <w:rFonts w:ascii="Arial" w:cs="Arial" w:eastAsia="Arial" w:hAnsi="Arial"/>
          <w:sz w:val="17"/>
          <w:szCs w:val="17"/>
          <w:color w:val="auto"/>
        </w:rPr>
      </w:pPr>
    </w:p>
    <w:p>
      <w:pPr>
        <w:ind w:left="1560" w:right="280" w:hanging="602"/>
        <w:spacing w:after="0" w:line="227" w:lineRule="auto"/>
        <w:rPr>
          <w:rFonts w:ascii="Arial" w:cs="Arial" w:eastAsia="Arial" w:hAnsi="Arial"/>
          <w:sz w:val="17"/>
          <w:szCs w:val="17"/>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This certificate shall accompany each set of financial statements delivered pursuant to Section 8.1(a) of the Credit Agreement and each set of financial statements delivered pursuant to Section 8.1(b)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-383540</wp:posOffset>
            </wp:positionV>
            <wp:extent cx="15284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ectPr>
          <w:pgSz w:w="11900" w:h="16838" w:orient="portrait"/>
          <w:cols w:equalWidth="0" w:num="1">
            <w:col w:w="10720"/>
          </w:cols>
          <w:pgMar w:left="360" w:top="707" w:right="819" w:bottom="1440" w:gutter="0" w:footer="0" w:header="0"/>
        </w:sectPr>
      </w:pPr>
    </w:p>
    <w:p>
      <w:pPr>
        <w:spacing w:after="0" w:line="194" w:lineRule="exact"/>
        <w:rPr>
          <w:sz w:val="20"/>
          <w:szCs w:val="20"/>
          <w:color w:val="auto"/>
        </w:rPr>
      </w:pPr>
    </w:p>
    <w:p>
      <w:pPr>
        <w:ind w:left="960"/>
        <w:spacing w:after="0"/>
        <w:rPr>
          <w:sz w:val="20"/>
          <w:szCs w:val="20"/>
          <w:color w:val="auto"/>
        </w:rPr>
      </w:pPr>
      <w:r>
        <w:rPr>
          <w:rFonts w:ascii="Arial" w:cs="Arial" w:eastAsia="Arial" w:hAnsi="Arial"/>
          <w:sz w:val="10"/>
          <w:szCs w:val="10"/>
          <w:color w:val="auto"/>
        </w:rPr>
        <w:t>2</w:t>
      </w:r>
    </w:p>
    <w:p>
      <w:pPr>
        <w:spacing w:after="0" w:line="324" w:lineRule="exact"/>
        <w:rPr>
          <w:sz w:val="20"/>
          <w:szCs w:val="20"/>
          <w:color w:val="auto"/>
        </w:rPr>
      </w:pPr>
    </w:p>
    <w:p>
      <w:pPr>
        <w:ind w:left="960"/>
        <w:spacing w:after="0"/>
        <w:rPr>
          <w:sz w:val="20"/>
          <w:szCs w:val="20"/>
          <w:color w:val="auto"/>
        </w:rPr>
      </w:pPr>
      <w:r>
        <w:rPr>
          <w:rFonts w:ascii="Arial" w:cs="Arial" w:eastAsia="Arial" w:hAnsi="Arial"/>
          <w:sz w:val="10"/>
          <w:szCs w:val="10"/>
          <w:color w:val="auto"/>
        </w:rPr>
        <w:t>3</w:t>
      </w:r>
    </w:p>
    <w:p>
      <w:pPr>
        <w:spacing w:after="0" w:line="311" w:lineRule="exact"/>
        <w:rPr>
          <w:sz w:val="20"/>
          <w:szCs w:val="20"/>
          <w:color w:val="auto"/>
        </w:rPr>
      </w:pPr>
    </w:p>
    <w:p>
      <w:pPr>
        <w:ind w:left="96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351155</wp:posOffset>
            </wp:positionV>
            <wp:extent cx="573405" cy="3105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573405" cy="310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To be included if accompanying annual financial statements only.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To be included if accompanying annual financial statements only.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To be included if accompanying quarterly financial statements only.</w:t>
      </w:r>
    </w:p>
    <w:p>
      <w:pPr>
        <w:spacing w:after="0" w:line="200" w:lineRule="exact"/>
        <w:rPr>
          <w:sz w:val="20"/>
          <w:szCs w:val="20"/>
          <w:color w:val="auto"/>
        </w:rPr>
      </w:pPr>
    </w:p>
    <w:p>
      <w:pPr>
        <w:sectPr>
          <w:pgSz w:w="11900" w:h="16838" w:orient="portrait"/>
          <w:cols w:equalWidth="0" w:num="2">
            <w:col w:w="1020" w:space="180"/>
            <w:col w:w="9520"/>
          </w:cols>
          <w:pgMar w:left="360" w:top="707" w:right="819" w:bottom="1440" w:gutter="0" w:footer="0" w:header="0"/>
          <w:type w:val="continuous"/>
        </w:sectPr>
      </w:pPr>
    </w:p>
    <w:p>
      <w:pPr>
        <w:spacing w:after="0" w:line="306" w:lineRule="exact"/>
        <w:rPr>
          <w:sz w:val="20"/>
          <w:szCs w:val="20"/>
          <w:color w:val="auto"/>
        </w:rPr>
      </w:pPr>
    </w:p>
    <w:p>
      <w:pPr>
        <w:jc w:val="center"/>
        <w:ind w:right="10000"/>
        <w:spacing w:after="0"/>
        <w:rPr>
          <w:sz w:val="20"/>
          <w:szCs w:val="20"/>
          <w:color w:val="auto"/>
        </w:rPr>
      </w:pPr>
      <w:r>
        <w:rPr>
          <w:rFonts w:ascii="Arial" w:cs="Arial" w:eastAsia="Arial" w:hAnsi="Arial"/>
          <w:sz w:val="18"/>
          <w:szCs w:val="18"/>
          <w:color w:val="auto"/>
        </w:rPr>
        <w:t>Exhibit B</w:t>
      </w:r>
    </w:p>
    <w:p>
      <w:pPr>
        <w:spacing w:after="0" w:line="10" w:lineRule="exact"/>
        <w:rPr>
          <w:sz w:val="20"/>
          <w:szCs w:val="20"/>
          <w:color w:val="auto"/>
        </w:rPr>
      </w:pPr>
    </w:p>
    <w:p>
      <w:pPr>
        <w:jc w:val="center"/>
        <w:ind w:right="100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720"/>
          </w:cols>
          <w:pgMar w:left="360" w:top="707" w:right="819" w:bottom="1440" w:gutter="0" w:footer="0" w:header="0"/>
          <w:type w:val="continuous"/>
        </w:sectPr>
      </w:pPr>
    </w:p>
    <w:bookmarkStart w:id="319" w:name="page320"/>
    <w:bookmarkEnd w:id="319"/>
    <w:p>
      <w:pPr>
        <w:spacing w:after="0" w:line="250" w:lineRule="exact"/>
        <w:rPr>
          <w:sz w:val="20"/>
          <w:szCs w:val="20"/>
          <w:color w:val="auto"/>
        </w:rPr>
      </w:pPr>
    </w:p>
    <w:p>
      <w:pPr>
        <w:ind w:left="2160" w:right="560"/>
        <w:spacing w:after="0" w:line="263" w:lineRule="auto"/>
        <w:rPr>
          <w:sz w:val="20"/>
          <w:szCs w:val="20"/>
          <w:color w:val="auto"/>
        </w:rPr>
      </w:pPr>
      <w:r>
        <w:rPr>
          <w:rFonts w:ascii="Arial" w:cs="Arial" w:eastAsia="Arial" w:hAnsi="Arial"/>
          <w:sz w:val="18"/>
          <w:szCs w:val="18"/>
          <w:color w:val="auto"/>
        </w:rPr>
        <w:t>The “Applicable Test Period” means the Test Period ending on the last day of the fiscal period to which such financial statements relate.</w:t>
      </w:r>
    </w:p>
    <w:p>
      <w:pPr>
        <w:spacing w:after="0" w:line="173" w:lineRule="exact"/>
        <w:rPr>
          <w:sz w:val="20"/>
          <w:szCs w:val="20"/>
          <w:color w:val="auto"/>
        </w:rPr>
      </w:pPr>
    </w:p>
    <w:p>
      <w:pPr>
        <w:jc w:val="both"/>
        <w:ind w:left="2160" w:right="20" w:hanging="595"/>
        <w:spacing w:after="0" w:line="258" w:lineRule="auto"/>
        <w:tabs>
          <w:tab w:leader="none" w:pos="21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[As of the last day of the Applicable Test Period, the Borrower is in compliance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Credit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the Compliance Certificate for such Test Period demonstrating compliance by Borrower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Credit Agreement.]</w:t>
      </w:r>
      <w:r>
        <w:rPr>
          <w:rFonts w:ascii="Arial" w:cs="Arial" w:eastAsia="Arial" w:hAnsi="Arial"/>
          <w:sz w:val="23"/>
          <w:szCs w:val="23"/>
          <w:color w:val="auto"/>
          <w:vertAlign w:val="superscript"/>
        </w:rPr>
        <w:t>5</w:t>
      </w:r>
    </w:p>
    <w:p>
      <w:pPr>
        <w:spacing w:after="0" w:line="110" w:lineRule="exact"/>
        <w:rPr>
          <w:rFonts w:ascii="Arial" w:cs="Arial" w:eastAsia="Arial" w:hAnsi="Arial"/>
          <w:sz w:val="18"/>
          <w:szCs w:val="18"/>
          <w:color w:val="auto"/>
        </w:rPr>
      </w:pPr>
    </w:p>
    <w:p>
      <w:pPr>
        <w:jc w:val="both"/>
        <w:ind w:left="2160" w:right="20" w:hanging="596"/>
        <w:spacing w:after="0" w:line="242" w:lineRule="auto"/>
        <w:tabs>
          <w:tab w:leader="none" w:pos="21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To my knowledge, except as otherwise disclosed to the Administrative Agent pursuant to the Credit Agreement, no Default or Event of Default has occurred and is continuing. [If unable to provide the foregoing certification, describe in reasonable detail the reasons therefor and circumstances thereof and any action taken or proposed to be taken with respect thereto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68" w:lineRule="exact"/>
        <w:rPr>
          <w:rFonts w:ascii="Arial" w:cs="Arial" w:eastAsia="Arial" w:hAnsi="Arial"/>
          <w:sz w:val="18"/>
          <w:szCs w:val="18"/>
          <w:color w:val="auto"/>
        </w:rPr>
      </w:pPr>
    </w:p>
    <w:p>
      <w:pPr>
        <w:ind w:left="2160" w:right="20" w:hanging="596"/>
        <w:spacing w:after="0" w:line="263" w:lineRule="auto"/>
        <w:tabs>
          <w:tab w:leader="none" w:pos="216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describes any change in the jurisdiction of organization of any Loan Party since the delivery of the immediately preceding previous Financial Statements Certificate.</w:t>
      </w:r>
    </w:p>
    <w:p>
      <w:pPr>
        <w:spacing w:after="0" w:line="185" w:lineRule="exact"/>
        <w:rPr>
          <w:rFonts w:ascii="Arial" w:cs="Arial" w:eastAsia="Arial" w:hAnsi="Arial"/>
          <w:sz w:val="18"/>
          <w:szCs w:val="18"/>
          <w:color w:val="auto"/>
        </w:rPr>
      </w:pPr>
    </w:p>
    <w:p>
      <w:pPr>
        <w:jc w:val="both"/>
        <w:ind w:left="2160" w:right="20" w:hanging="595"/>
        <w:spacing w:after="0" w:line="269" w:lineRule="auto"/>
        <w:tabs>
          <w:tab w:leader="none" w:pos="2160" w:val="left"/>
        </w:tabs>
        <w:numPr>
          <w:ilvl w:val="0"/>
          <w:numId w:val="346"/>
        </w:numPr>
        <w:rPr>
          <w:rFonts w:ascii="Arial" w:cs="Arial" w:eastAsia="Arial" w:hAnsi="Arial"/>
          <w:sz w:val="17"/>
          <w:szCs w:val="17"/>
          <w:color w:val="auto"/>
        </w:rPr>
      </w:pP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sets forth a list of names of all Immaterial Subsidiaries, that each Restricted Subsidiary set forth on such list individually qualifies as an Immaterial Subsidiary and certifies that all such Subsidiaries in the aggregate do not exceed the limitation set forth in clause (ii) of the definition of the term “Immaterial Subsidiary.”</w:t>
      </w:r>
    </w:p>
    <w:p>
      <w:pPr>
        <w:spacing w:after="0" w:line="170" w:lineRule="exact"/>
        <w:rPr>
          <w:rFonts w:ascii="Arial" w:cs="Arial" w:eastAsia="Arial" w:hAnsi="Arial"/>
          <w:sz w:val="17"/>
          <w:szCs w:val="17"/>
          <w:color w:val="auto"/>
        </w:rPr>
      </w:pPr>
    </w:p>
    <w:p>
      <w:pPr>
        <w:ind w:left="2160" w:right="20" w:hanging="595"/>
        <w:spacing w:after="0" w:line="263" w:lineRule="auto"/>
        <w:tabs>
          <w:tab w:leader="none" w:pos="216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sets forth a list of names of all Unrestricted Subsidiaries and certifies that each Restricted Subsidiary set forth on such list individually qualifies as an Unrestricted Subsidiary.</w:t>
      </w:r>
    </w:p>
    <w:p>
      <w:pPr>
        <w:spacing w:after="0" w:line="185" w:lineRule="exact"/>
        <w:rPr>
          <w:rFonts w:ascii="Arial" w:cs="Arial" w:eastAsia="Arial" w:hAnsi="Arial"/>
          <w:sz w:val="18"/>
          <w:szCs w:val="18"/>
          <w:color w:val="auto"/>
        </w:rPr>
      </w:pPr>
    </w:p>
    <w:p>
      <w:pPr>
        <w:jc w:val="both"/>
        <w:ind w:left="2160" w:hanging="595"/>
        <w:spacing w:after="0" w:line="270" w:lineRule="auto"/>
        <w:tabs>
          <w:tab w:leader="none" w:pos="21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sets forth unaudited consolidating information that explains in reasonable detail the differences between the information relating to the Borrower and its Subsidiaries, on the one hand, and the information relating to the Borrower and the Restricted Subsidiaries on a standalone basis, on the other hand.]</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2089785</wp:posOffset>
            </wp:positionV>
            <wp:extent cx="15284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60" w:right="500" w:hanging="597"/>
        <w:spacing w:after="0" w:line="215" w:lineRule="auto"/>
        <w:tabs>
          <w:tab w:leader="none" w:pos="1198" w:val="left"/>
        </w:tabs>
        <w:numPr>
          <w:ilvl w:val="0"/>
          <w:numId w:val="347"/>
        </w:numPr>
        <w:rPr>
          <w:rFonts w:ascii="Arial" w:cs="Arial" w:eastAsia="Arial" w:hAnsi="Arial"/>
          <w:sz w:val="24"/>
          <w:szCs w:val="24"/>
          <w:color w:val="auto"/>
          <w:vertAlign w:val="superscript"/>
        </w:rPr>
      </w:pPr>
      <w:r>
        <w:rPr>
          <w:rFonts w:ascii="Arial" w:cs="Arial" w:eastAsia="Arial" w:hAnsi="Arial"/>
          <w:sz w:val="18"/>
          <w:szCs w:val="18"/>
          <w:color w:val="auto"/>
        </w:rPr>
        <w:t xml:space="preserve">To be included to the extent the Borrower is required to comply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Credit Agreement (under the terms of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Credit Agreement) for such Test Period.</w:t>
      </w:r>
    </w:p>
    <w:p>
      <w:pPr>
        <w:spacing w:after="0" w:line="152" w:lineRule="exact"/>
        <w:rPr>
          <w:sz w:val="20"/>
          <w:szCs w:val="20"/>
          <w:color w:val="auto"/>
        </w:rPr>
      </w:pPr>
    </w:p>
    <w:p>
      <w:pPr>
        <w:ind w:left="1200" w:hanging="237"/>
        <w:spacing w:after="0"/>
        <w:tabs>
          <w:tab w:leader="none" w:pos="1200" w:val="left"/>
        </w:tabs>
        <w:numPr>
          <w:ilvl w:val="0"/>
          <w:numId w:val="348"/>
        </w:numPr>
        <w:rPr>
          <w:rFonts w:ascii="Arial" w:cs="Arial" w:eastAsia="Arial" w:hAnsi="Arial"/>
          <w:sz w:val="24"/>
          <w:szCs w:val="24"/>
          <w:color w:val="auto"/>
          <w:vertAlign w:val="superscript"/>
        </w:rPr>
      </w:pPr>
      <w:r>
        <w:rPr>
          <w:rFonts w:ascii="Arial" w:cs="Arial" w:eastAsia="Arial" w:hAnsi="Arial"/>
          <w:sz w:val="18"/>
          <w:szCs w:val="18"/>
          <w:color w:val="auto"/>
        </w:rPr>
        <w:t>To be included if any Subsidiary is designated as an Unrestricted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276225</wp:posOffset>
            </wp:positionV>
            <wp:extent cx="573405" cy="3105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573405" cy="3105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0000"/>
        <w:spacing w:after="0"/>
        <w:rPr>
          <w:sz w:val="20"/>
          <w:szCs w:val="20"/>
          <w:color w:val="auto"/>
        </w:rPr>
      </w:pPr>
      <w:r>
        <w:rPr>
          <w:rFonts w:ascii="Arial" w:cs="Arial" w:eastAsia="Arial" w:hAnsi="Arial"/>
          <w:sz w:val="18"/>
          <w:szCs w:val="18"/>
          <w:color w:val="auto"/>
        </w:rPr>
        <w:t>Exhibit B</w:t>
      </w:r>
    </w:p>
    <w:p>
      <w:pPr>
        <w:spacing w:after="0" w:line="10" w:lineRule="exact"/>
        <w:rPr>
          <w:sz w:val="20"/>
          <w:szCs w:val="20"/>
          <w:color w:val="auto"/>
        </w:rPr>
      </w:pPr>
    </w:p>
    <w:p>
      <w:pPr>
        <w:jc w:val="center"/>
        <w:ind w:right="1000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720"/>
          </w:cols>
          <w:pgMar w:left="360" w:top="1440" w:right="819" w:bottom="1440" w:gutter="0" w:footer="0" w:header="0"/>
        </w:sectPr>
      </w:pPr>
    </w:p>
    <w:bookmarkStart w:id="320" w:name="page321"/>
    <w:bookmarkEnd w:id="320"/>
    <w:p>
      <w:pPr>
        <w:ind w:firstLine="602"/>
        <w:spacing w:after="0" w:line="326" w:lineRule="auto"/>
        <w:rPr>
          <w:sz w:val="20"/>
          <w:szCs w:val="20"/>
          <w:color w:val="auto"/>
        </w:rPr>
      </w:pPr>
      <w:r>
        <w:rPr>
          <w:rFonts w:ascii="Arial" w:cs="Arial" w:eastAsia="Arial" w:hAnsi="Arial"/>
          <w:sz w:val="16"/>
          <w:szCs w:val="16"/>
          <w:color w:val="auto"/>
        </w:rPr>
        <w:t>IN WITNESS WHEREOF, the Borrower has caused this Financial Statements Certificate to be executed and delivered, and the certification and warranties contained herein to be made, by an Authorized Officer on the date first above written.</w:t>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LEGALZOOM.COM, INC.</w:t>
      </w:r>
    </w:p>
    <w:p>
      <w:pPr>
        <w:spacing w:after="0" w:line="200" w:lineRule="exact"/>
        <w:rPr>
          <w:sz w:val="20"/>
          <w:szCs w:val="20"/>
          <w:color w:val="auto"/>
        </w:rPr>
      </w:pPr>
    </w:p>
    <w:p>
      <w:pPr>
        <w:spacing w:after="0" w:line="245" w:lineRule="exact"/>
        <w:rPr>
          <w:sz w:val="20"/>
          <w:szCs w:val="20"/>
          <w:color w:val="auto"/>
        </w:rPr>
      </w:pPr>
    </w:p>
    <w:p>
      <w:pPr>
        <w:ind w:left="3620"/>
        <w:spacing w:after="0"/>
        <w:tabs>
          <w:tab w:leader="none" w:pos="4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-8890</wp:posOffset>
            </wp:positionV>
            <wp:extent cx="2336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380"/>
          </w:cols>
          <w:pgMar w:left="1320" w:top="132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Exhibit B Page 3</w:t>
      </w:r>
    </w:p>
    <w:p>
      <w:pPr>
        <w:sectPr>
          <w:pgSz w:w="11900" w:h="16838" w:orient="portrait"/>
          <w:cols w:equalWidth="0" w:num="1">
            <w:col w:w="9380"/>
          </w:cols>
          <w:pgMar w:left="1320" w:top="1326" w:right="1199" w:bottom="1440" w:gutter="0" w:footer="0" w:header="0"/>
          <w:type w:val="continuous"/>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9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Annual (audited) or Quarterly (unaudited) Financial Statements</w:t>
      </w:r>
    </w:p>
    <w:p>
      <w:pPr>
        <w:sectPr>
          <w:pgSz w:w="11900" w:h="16838" w:orient="portrait"/>
          <w:cols w:equalWidth="0" w:num="1">
            <w:col w:w="9019"/>
          </w:cols>
          <w:pgMar w:left="1440" w:top="1322" w:right="1440" w:bottom="1440" w:gutter="0" w:footer="0" w:header="0"/>
        </w:sectPr>
      </w:pPr>
    </w:p>
    <w:bookmarkStart w:id="322" w:name="page323"/>
    <w:bookmarkEnd w:id="322"/>
    <w:p>
      <w:pPr>
        <w:ind w:left="4140"/>
        <w:spacing w:after="0"/>
        <w:rPr>
          <w:sz w:val="20"/>
          <w:szCs w:val="20"/>
          <w:color w:val="auto"/>
        </w:rPr>
      </w:pPr>
      <w:r>
        <w:rPr>
          <w:rFonts w:ascii="Arial" w:cs="Arial" w:eastAsia="Arial" w:hAnsi="Arial"/>
          <w:sz w:val="18"/>
          <w:szCs w:val="18"/>
          <w:b w:val="1"/>
          <w:bCs w:val="1"/>
          <w:u w:val="single" w:color="auto"/>
          <w:color w:val="auto"/>
        </w:rPr>
        <w:t>EXHIBIT B</w:t>
      </w:r>
    </w:p>
    <w:p>
      <w:pPr>
        <w:spacing w:after="0" w:line="39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Compliance Certificate COMPLIANCE CERTIFICATE</w:t>
      </w:r>
    </w:p>
    <w:p>
      <w:pPr>
        <w:spacing w:after="0" w:line="10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Total Net First Lien Leverage Ratio</w:t>
      </w:r>
    </w:p>
    <w:p>
      <w:pPr>
        <w:spacing w:after="0" w:line="236" w:lineRule="exact"/>
        <w:rPr>
          <w:sz w:val="20"/>
          <w:szCs w:val="20"/>
          <w:color w:val="auto"/>
        </w:rPr>
      </w:pPr>
    </w:p>
    <w:p>
      <w:pPr>
        <w:jc w:val="both"/>
        <w:ind w:left="800" w:hanging="1203"/>
        <w:spacing w:after="0" w:line="262" w:lineRule="auto"/>
        <w:tabs>
          <w:tab w:leader="none" w:pos="780" w:val="left"/>
        </w:tabs>
        <w:rPr>
          <w:sz w:val="20"/>
          <w:szCs w:val="20"/>
          <w:color w:val="auto"/>
        </w:rPr>
      </w:pPr>
      <w:r>
        <w:rPr>
          <w:rFonts w:ascii="Arial" w:cs="Arial" w:eastAsia="Arial" w:hAnsi="Arial"/>
          <w:sz w:val="18"/>
          <w:szCs w:val="18"/>
          <w:i w:val="1"/>
          <w:iCs w:val="1"/>
          <w:color w:val="auto"/>
        </w:rPr>
        <w:t>**Note:</w:t>
      </w:r>
      <w:r>
        <w:rPr>
          <w:sz w:val="20"/>
          <w:szCs w:val="20"/>
          <w:color w:val="auto"/>
        </w:rPr>
        <w:tab/>
      </w:r>
      <w:r>
        <w:rPr>
          <w:rFonts w:ascii="Arial" w:cs="Arial" w:eastAsia="Arial" w:hAnsi="Arial"/>
          <w:sz w:val="17"/>
          <w:szCs w:val="17"/>
          <w:i w:val="1"/>
          <w:iCs w:val="1"/>
          <w:color w:val="auto"/>
        </w:rPr>
        <w:t xml:space="preserve">Without the written consent of the Required Lenders, as of the last day of any fiscal quarter of the Borrower (but only if the last day of such fiscal quarter constitutes a Compliance Date), </w:t>
      </w:r>
      <w:r>
        <w:rPr>
          <w:rFonts w:ascii="Arial" w:cs="Arial" w:eastAsia="Arial" w:hAnsi="Arial"/>
          <w:sz w:val="17"/>
          <w:szCs w:val="17"/>
          <w:i w:val="1"/>
          <w:iCs w:val="1"/>
          <w:u w:val="single" w:color="auto"/>
          <w:color w:val="auto"/>
        </w:rPr>
        <w:t>Section 9.1</w:t>
      </w:r>
      <w:r>
        <w:rPr>
          <w:rFonts w:ascii="Arial" w:cs="Arial" w:eastAsia="Arial" w:hAnsi="Arial"/>
          <w:sz w:val="17"/>
          <w:szCs w:val="17"/>
          <w:i w:val="1"/>
          <w:iCs w:val="1"/>
          <w:color w:val="auto"/>
        </w:rPr>
        <w:t xml:space="preserve"> requires the below calculation. This covenant shall be calculated on a consolidated basis for the Borrower and its Restricted Subsidiaries and shall be subject to the currency translation provisions as provided in Section 1.5(c) of the Credit Agreement.**</w:t>
      </w:r>
    </w:p>
    <w:p>
      <w:pPr>
        <w:spacing w:after="0" w:line="40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of the Test Period ended [March 31][June 30][September 30][December 31],</w:t>
      </w:r>
    </w:p>
    <w:tbl>
      <w:tblPr>
        <w:tblLayout w:type="fixed"/>
        <w:tblInd w:w="0" w:type="dxa"/>
        <w:tblCellMar>
          <w:top w:w="0" w:type="dxa"/>
          <w:left w:w="0" w:type="dxa"/>
          <w:bottom w:w="0" w:type="dxa"/>
          <w:right w:w="0" w:type="dxa"/>
        </w:tblCellMar>
      </w:tblPr>
      <w:tr>
        <w:trPr>
          <w:trHeight w:val="186"/>
        </w:trPr>
        <w:tc>
          <w:tcPr>
            <w:tcW w:w="180" w:type="dxa"/>
            <w:vAlign w:val="bottom"/>
            <w:tcBorders>
              <w:bottom w:val="single" w:sz="8" w:color="auto"/>
            </w:tcBorders>
          </w:tcPr>
          <w:p>
            <w:pPr>
              <w:spacing w:after="0"/>
              <w:rPr>
                <w:sz w:val="16"/>
                <w:szCs w:val="16"/>
                <w:color w:val="auto"/>
              </w:rPr>
            </w:pPr>
          </w:p>
        </w:tc>
        <w:tc>
          <w:tcPr>
            <w:tcW w:w="240" w:type="dxa"/>
            <w:vAlign w:val="bottom"/>
          </w:tcPr>
          <w:p>
            <w:pPr>
              <w:jc w:val="right"/>
              <w:ind w:right="88"/>
              <w:spacing w:after="0" w:line="186" w:lineRule="exact"/>
              <w:rPr>
                <w:sz w:val="20"/>
                <w:szCs w:val="20"/>
                <w:color w:val="auto"/>
              </w:rPr>
            </w:pPr>
            <w:r>
              <w:rPr>
                <w:rFonts w:ascii="Arial" w:cs="Arial" w:eastAsia="Arial" w:hAnsi="Arial"/>
                <w:sz w:val="18"/>
                <w:szCs w:val="18"/>
                <w:color w:val="auto"/>
                <w:w w:val="78"/>
              </w:rPr>
              <w:t>.</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5"/>
        </w:trPr>
        <w:tc>
          <w:tcPr>
            <w:tcW w:w="420" w:type="dxa"/>
            <w:vAlign w:val="bottom"/>
            <w:gridSpan w:val="2"/>
          </w:tcPr>
          <w:p>
            <w:pPr>
              <w:spacing w:after="0"/>
              <w:rPr>
                <w:sz w:val="20"/>
                <w:szCs w:val="20"/>
                <w:color w:val="auto"/>
              </w:rPr>
            </w:pPr>
            <w:r>
              <w:rPr>
                <w:rFonts w:ascii="Arial" w:cs="Arial" w:eastAsia="Arial" w:hAnsi="Arial"/>
                <w:sz w:val="18"/>
                <w:szCs w:val="18"/>
                <w:color w:val="auto"/>
              </w:rPr>
              <w:t>(A)</w:t>
            </w:r>
          </w:p>
        </w:tc>
        <w:tc>
          <w:tcPr>
            <w:tcW w:w="5480" w:type="dxa"/>
            <w:vAlign w:val="bottom"/>
            <w:gridSpan w:val="6"/>
          </w:tcPr>
          <w:p>
            <w:pPr>
              <w:ind w:left="180"/>
              <w:spacing w:after="0"/>
              <w:rPr>
                <w:sz w:val="20"/>
                <w:szCs w:val="20"/>
                <w:color w:val="auto"/>
              </w:rPr>
            </w:pPr>
            <w:r>
              <w:rPr>
                <w:rFonts w:ascii="Arial" w:cs="Arial" w:eastAsia="Arial" w:hAnsi="Arial"/>
                <w:sz w:val="18"/>
                <w:szCs w:val="18"/>
                <w:color w:val="auto"/>
                <w:w w:val="94"/>
              </w:rPr>
              <w:t>(i) Consolidated Total Debt: All Indebtedness of the Borrower and its $</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color w:val="auto"/>
                <w:w w:val="95"/>
              </w:rPr>
              <w:t>Restricted Subsidiaries for borrowed</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gridSpan w:val="6"/>
          </w:tcPr>
          <w:p>
            <w:pPr>
              <w:ind w:left="180"/>
              <w:spacing w:after="0" w:line="189" w:lineRule="exact"/>
              <w:rPr>
                <w:sz w:val="20"/>
                <w:szCs w:val="20"/>
                <w:color w:val="auto"/>
              </w:rPr>
            </w:pPr>
            <w:r>
              <w:rPr>
                <w:rFonts w:ascii="Arial" w:cs="Arial" w:eastAsia="Arial" w:hAnsi="Arial"/>
                <w:sz w:val="18"/>
                <w:szCs w:val="18"/>
                <w:color w:val="auto"/>
              </w:rPr>
              <w:t>money, excluding obligations in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respect of letters of credit, bankers’ acceptances, bank guarantees, surety bonds, performance</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bonds, advance payment guarantees or bonds, warranties, bid guarantees or bonds and similar</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12"/>
          </w:tcPr>
          <w:p>
            <w:pPr>
              <w:ind w:left="180"/>
              <w:spacing w:after="0" w:line="192" w:lineRule="exact"/>
              <w:rPr>
                <w:sz w:val="20"/>
                <w:szCs w:val="20"/>
                <w:color w:val="auto"/>
              </w:rPr>
            </w:pPr>
            <w:r>
              <w:rPr>
                <w:rFonts w:ascii="Arial" w:cs="Arial" w:eastAsia="Arial" w:hAnsi="Arial"/>
                <w:sz w:val="18"/>
                <w:szCs w:val="18"/>
                <w:color w:val="auto"/>
              </w:rPr>
              <w:t>instruments except to the extent of unreimbursed amounts thereunder (provided, that any</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60" w:type="dxa"/>
            <w:vAlign w:val="bottom"/>
            <w:vMerge w:val="restart"/>
          </w:tcPr>
          <w:p>
            <w:pPr>
              <w:jc w:val="right"/>
              <w:ind w:right="1068"/>
              <w:spacing w:after="0"/>
              <w:rPr>
                <w:sz w:val="20"/>
                <w:szCs w:val="20"/>
                <w:color w:val="auto"/>
              </w:rPr>
            </w:pPr>
            <w:r>
              <w:rPr>
                <w:rFonts w:ascii="Arial" w:cs="Arial" w:eastAsia="Arial" w:hAnsi="Arial"/>
                <w:sz w:val="18"/>
                <w:szCs w:val="18"/>
                <w:color w:val="auto"/>
                <w:w w:val="74"/>
              </w:rPr>
              <w:t>Consolidated</w:t>
            </w: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560" w:type="dxa"/>
            <w:vAlign w:val="bottom"/>
            <w:gridSpan w:val="11"/>
          </w:tcPr>
          <w:p>
            <w:pPr>
              <w:ind w:left="180"/>
              <w:spacing w:after="0" w:line="189" w:lineRule="exact"/>
              <w:rPr>
                <w:sz w:val="20"/>
                <w:szCs w:val="20"/>
                <w:color w:val="auto"/>
              </w:rPr>
            </w:pPr>
            <w:r>
              <w:rPr>
                <w:rFonts w:ascii="Arial" w:cs="Arial" w:eastAsia="Arial" w:hAnsi="Arial"/>
                <w:sz w:val="18"/>
                <w:szCs w:val="18"/>
                <w:color w:val="auto"/>
                <w:w w:val="99"/>
              </w:rPr>
              <w:t>unreimbursed amount under commercial letters of credit shall not be counted as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Total Debt until three Business Days after such amount is drawn). The amount of Consolidated</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Total Debt for which recourse is limited either to a specified amount or to an identified asset</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shall be deemed to be equal to such specified amount or, if less, the fair market value of such</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identified asset. For the avoidance of doubt, Consolidated Total Debt shall not include</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180"/>
              <w:spacing w:after="0" w:line="201" w:lineRule="exact"/>
              <w:rPr>
                <w:sz w:val="20"/>
                <w:szCs w:val="20"/>
                <w:color w:val="auto"/>
              </w:rPr>
            </w:pPr>
            <w:r>
              <w:rPr>
                <w:rFonts w:ascii="Arial" w:cs="Arial" w:eastAsia="Arial" w:hAnsi="Arial"/>
                <w:sz w:val="18"/>
                <w:szCs w:val="18"/>
                <w:color w:val="auto"/>
              </w:rPr>
              <w:t>(1)</w:t>
            </w:r>
          </w:p>
        </w:tc>
        <w:tc>
          <w:tcPr>
            <w:tcW w:w="7540" w:type="dxa"/>
            <w:vAlign w:val="bottom"/>
            <w:gridSpan w:val="11"/>
          </w:tcPr>
          <w:p>
            <w:pPr>
              <w:jc w:val="right"/>
              <w:ind w:right="1068"/>
              <w:spacing w:after="0" w:line="201" w:lineRule="exact"/>
              <w:rPr>
                <w:sz w:val="20"/>
                <w:szCs w:val="20"/>
                <w:color w:val="auto"/>
              </w:rPr>
            </w:pPr>
            <w:r>
              <w:rPr>
                <w:rFonts w:ascii="Arial" w:cs="Arial" w:eastAsia="Arial" w:hAnsi="Arial"/>
                <w:sz w:val="18"/>
                <w:szCs w:val="18"/>
                <w:color w:val="auto"/>
                <w:w w:val="99"/>
              </w:rPr>
              <w:t>undrawn letters of credit, (2) net obligations under any Swap Agreement, (3) any</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2"/>
          </w:tcPr>
          <w:p>
            <w:pPr>
              <w:ind w:left="180"/>
              <w:spacing w:after="0" w:line="201" w:lineRule="exact"/>
              <w:rPr>
                <w:sz w:val="20"/>
                <w:szCs w:val="20"/>
                <w:color w:val="auto"/>
              </w:rPr>
            </w:pPr>
            <w:r>
              <w:rPr>
                <w:rFonts w:ascii="Arial" w:cs="Arial" w:eastAsia="Arial" w:hAnsi="Arial"/>
                <w:sz w:val="18"/>
                <w:szCs w:val="18"/>
                <w:color w:val="auto"/>
              </w:rPr>
              <w:t>earn-out obligations, (4) any deferred compensation arrangements or (5) any non-compete or</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gridSpan w:val="6"/>
          </w:tcPr>
          <w:p>
            <w:pPr>
              <w:ind w:left="180"/>
              <w:spacing w:after="0" w:line="192" w:lineRule="exact"/>
              <w:rPr>
                <w:sz w:val="20"/>
                <w:szCs w:val="20"/>
                <w:color w:val="auto"/>
              </w:rPr>
            </w:pPr>
            <w:r>
              <w:rPr>
                <w:rFonts w:ascii="Arial" w:cs="Arial" w:eastAsia="Arial" w:hAnsi="Arial"/>
                <w:sz w:val="18"/>
                <w:szCs w:val="18"/>
                <w:color w:val="auto"/>
              </w:rPr>
              <w:t>consulting obligations, minus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6"/>
          </w:tcPr>
          <w:p>
            <w:pPr>
              <w:ind w:left="180"/>
              <w:spacing w:after="0"/>
              <w:rPr>
                <w:sz w:val="20"/>
                <w:szCs w:val="20"/>
                <w:color w:val="auto"/>
              </w:rPr>
            </w:pPr>
            <w:r>
              <w:rPr>
                <w:rFonts w:ascii="Arial" w:cs="Arial" w:eastAsia="Arial" w:hAnsi="Arial"/>
                <w:sz w:val="18"/>
                <w:szCs w:val="18"/>
                <w:color w:val="auto"/>
                <w:w w:val="96"/>
              </w:rPr>
              <w:t>(ii) All Consolidated Total Debt that is not secured on a first lien basis</w:t>
            </w:r>
          </w:p>
        </w:tc>
        <w:tc>
          <w:tcPr>
            <w:tcW w:w="3040" w:type="dxa"/>
            <w:vAlign w:val="bottom"/>
            <w:gridSpan w:val="6"/>
          </w:tcPr>
          <w:p>
            <w:pPr>
              <w:jc w:val="right"/>
              <w:ind w:right="68"/>
              <w:spacing w:after="0"/>
              <w:rPr>
                <w:sz w:val="20"/>
                <w:szCs w:val="20"/>
                <w:color w:val="auto"/>
              </w:rPr>
            </w:pPr>
            <w:r>
              <w:rPr>
                <w:rFonts w:ascii="Arial" w:cs="Arial" w:eastAsia="Arial" w:hAnsi="Arial"/>
                <w:sz w:val="18"/>
                <w:szCs w:val="18"/>
                <w:color w:val="auto"/>
                <w:w w:val="96"/>
              </w:rPr>
              <w:t>$   by a Lien on any property or asset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gridSpan w:val="6"/>
          </w:tcPr>
          <w:p>
            <w:pPr>
              <w:ind w:left="180"/>
              <w:spacing w:after="0" w:line="189" w:lineRule="exact"/>
              <w:rPr>
                <w:sz w:val="20"/>
                <w:szCs w:val="20"/>
                <w:color w:val="auto"/>
              </w:rPr>
            </w:pPr>
            <w:r>
              <w:rPr>
                <w:rFonts w:ascii="Arial" w:cs="Arial" w:eastAsia="Arial" w:hAnsi="Arial"/>
                <w:sz w:val="18"/>
                <w:szCs w:val="18"/>
                <w:color w:val="auto"/>
              </w:rPr>
              <w:t>of the Borrower or any Restricted</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w w:val="92"/>
              </w:rPr>
              <w:t>Subsidiary</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420" w:type="dxa"/>
            <w:vAlign w:val="bottom"/>
            <w:gridSpan w:val="2"/>
          </w:tcPr>
          <w:p>
            <w:pPr>
              <w:spacing w:after="0"/>
              <w:rPr>
                <w:sz w:val="20"/>
                <w:szCs w:val="20"/>
                <w:color w:val="auto"/>
              </w:rPr>
            </w:pPr>
            <w:r>
              <w:rPr>
                <w:rFonts w:ascii="Arial" w:cs="Arial" w:eastAsia="Arial" w:hAnsi="Arial"/>
                <w:sz w:val="18"/>
                <w:szCs w:val="18"/>
                <w:color w:val="auto"/>
              </w:rPr>
              <w:t>(B)</w:t>
            </w:r>
          </w:p>
        </w:tc>
        <w:tc>
          <w:tcPr>
            <w:tcW w:w="5480" w:type="dxa"/>
            <w:vAlign w:val="bottom"/>
            <w:gridSpan w:val="6"/>
          </w:tcPr>
          <w:p>
            <w:pPr>
              <w:ind w:left="180"/>
              <w:spacing w:after="0"/>
              <w:rPr>
                <w:sz w:val="20"/>
                <w:szCs w:val="20"/>
                <w:color w:val="auto"/>
              </w:rPr>
            </w:pPr>
            <w:r>
              <w:rPr>
                <w:rFonts w:ascii="Arial" w:cs="Arial" w:eastAsia="Arial" w:hAnsi="Arial"/>
                <w:sz w:val="18"/>
                <w:szCs w:val="18"/>
                <w:color w:val="auto"/>
              </w:rPr>
              <w:t>Unrestricted cash and Cash Equivalents of the Borrower and its $</w:t>
            </w:r>
          </w:p>
        </w:tc>
        <w:tc>
          <w:tcPr>
            <w:tcW w:w="3040" w:type="dxa"/>
            <w:vAlign w:val="bottom"/>
            <w:gridSpan w:val="6"/>
          </w:tcPr>
          <w:p>
            <w:pPr>
              <w:jc w:val="right"/>
              <w:spacing w:after="0"/>
              <w:rPr>
                <w:sz w:val="20"/>
                <w:szCs w:val="20"/>
                <w:color w:val="auto"/>
              </w:rPr>
            </w:pPr>
            <w:r>
              <w:rPr>
                <w:rFonts w:ascii="Arial" w:cs="Arial" w:eastAsia="Arial" w:hAnsi="Arial"/>
                <w:sz w:val="18"/>
                <w:szCs w:val="18"/>
                <w:color w:val="auto"/>
                <w:w w:val="92"/>
              </w:rPr>
              <w:t>Restricted Subsidiaries on such date and</w:t>
            </w: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4"/>
          </w:tcPr>
          <w:p>
            <w:pPr>
              <w:ind w:left="180"/>
              <w:spacing w:after="0" w:line="205" w:lineRule="exact"/>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00" w:right="1960"/>
        <w:spacing w:after="0" w:line="235" w:lineRule="auto"/>
        <w:rPr>
          <w:sz w:val="20"/>
          <w:szCs w:val="20"/>
          <w:color w:val="auto"/>
        </w:rPr>
      </w:pPr>
      <w:r>
        <w:rPr>
          <w:rFonts w:ascii="Arial" w:cs="Arial" w:eastAsia="Arial" w:hAnsi="Arial"/>
          <w:sz w:val="18"/>
          <w:szCs w:val="18"/>
          <w:color w:val="auto"/>
        </w:rPr>
        <w:t>Restricted in favor of the Administrative Agent (which may also include cash and Cash Equivalents securing other Indebtedness secured by a Lien on the Collateral along with the Facilities, so long as the Lien of such other Indebtedness on such cash or Cash Equivalents does not benefit from a control agreement or other steps to perfect on such cash or Cash Equivalents that the Administrative Agent has not taken on behalf of the Lenders) or of any lender under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414655</wp:posOffset>
            </wp:positionV>
            <wp:extent cx="454025" cy="1670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740"/>
          </w:cols>
          <w:pgMar w:left="1320" w:top="1322" w:right="839" w:bottom="1440" w:gutter="0" w:footer="0" w:header="0"/>
        </w:sectPr>
      </w:pPr>
    </w:p>
    <w:bookmarkStart w:id="323" w:name="page324"/>
    <w:bookmarkEnd w:id="323"/>
    <w:p>
      <w:pPr>
        <w:jc w:val="both"/>
        <w:ind w:left="598" w:right="1359"/>
        <w:spacing w:after="0" w:line="269" w:lineRule="auto"/>
        <w:rPr>
          <w:sz w:val="20"/>
          <w:szCs w:val="20"/>
          <w:color w:val="auto"/>
        </w:rPr>
      </w:pPr>
      <w:r>
        <w:rPr>
          <w:rFonts w:ascii="Arial" w:cs="Arial" w:eastAsia="Arial" w:hAnsi="Arial"/>
          <w:sz w:val="17"/>
          <w:szCs w:val="17"/>
          <w:color w:val="auto"/>
        </w:rPr>
        <w:t>Indebtedness permitted to be incurred pursuant to Section 9.4 of the Credit Agreement that is secured on a pari passu or junior basis with the Facilities, in each case with such Unrestricted cash and Restricted cash and Cash Equivalents to be determined in accordance with GAAP.</w:t>
      </w:r>
    </w:p>
    <w:p>
      <w:pPr>
        <w:spacing w:after="0" w:line="183" w:lineRule="exact"/>
        <w:rPr>
          <w:sz w:val="20"/>
          <w:szCs w:val="20"/>
          <w:color w:val="auto"/>
        </w:rPr>
      </w:pPr>
    </w:p>
    <w:p>
      <w:pPr>
        <w:ind w:left="598" w:hanging="598"/>
        <w:spacing w:after="0"/>
        <w:tabs>
          <w:tab w:leader="none" w:pos="59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Consolidated CEBITDA:</w:t>
      </w:r>
    </w:p>
    <w:p>
      <w:pPr>
        <w:spacing w:after="0" w:line="280" w:lineRule="exact"/>
        <w:rPr>
          <w:sz w:val="20"/>
          <w:szCs w:val="20"/>
          <w:color w:val="auto"/>
        </w:rPr>
      </w:pPr>
    </w:p>
    <w:tbl>
      <w:tblPr>
        <w:tblLayout w:type="fixed"/>
        <w:tblInd w:w="898" w:type="dxa"/>
        <w:tblCellMar>
          <w:top w:w="0" w:type="dxa"/>
          <w:left w:w="0" w:type="dxa"/>
          <w:bottom w:w="0" w:type="dxa"/>
          <w:right w:w="0" w:type="dxa"/>
        </w:tblCellMar>
      </w:tblPr>
      <w:tr>
        <w:trPr>
          <w:trHeight w:val="207"/>
        </w:trPr>
        <w:tc>
          <w:tcPr>
            <w:tcW w:w="5040" w:type="dxa"/>
            <w:vAlign w:val="bottom"/>
            <w:gridSpan w:val="5"/>
          </w:tcPr>
          <w:p>
            <w:pPr>
              <w:spacing w:after="0"/>
              <w:rPr>
                <w:sz w:val="20"/>
                <w:szCs w:val="20"/>
                <w:color w:val="auto"/>
              </w:rPr>
            </w:pPr>
            <w:r>
              <w:rPr>
                <w:rFonts w:ascii="Arial" w:cs="Arial" w:eastAsia="Arial" w:hAnsi="Arial"/>
                <w:sz w:val="18"/>
                <w:szCs w:val="18"/>
                <w:color w:val="auto"/>
                <w:w w:val="94"/>
              </w:rPr>
              <w:t>a)  Consolidated Net Income for such Test Period: the aggregate $</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w w:val="99"/>
              </w:rPr>
              <w:t>of the Net Income of the Borrower</w:t>
            </w:r>
          </w:p>
        </w:tc>
      </w:tr>
      <w:tr>
        <w:trPr>
          <w:trHeight w:val="189"/>
        </w:trPr>
        <w:tc>
          <w:tcPr>
            <w:tcW w:w="5040" w:type="dxa"/>
            <w:vAlign w:val="bottom"/>
            <w:gridSpan w:val="5"/>
          </w:tcPr>
          <w:p>
            <w:pPr>
              <w:ind w:left="300"/>
              <w:spacing w:after="0" w:line="189" w:lineRule="exact"/>
              <w:rPr>
                <w:sz w:val="20"/>
                <w:szCs w:val="20"/>
                <w:color w:val="auto"/>
              </w:rPr>
            </w:pPr>
            <w:r>
              <w:rPr>
                <w:rFonts w:ascii="Arial" w:cs="Arial" w:eastAsia="Arial" w:hAnsi="Arial"/>
                <w:sz w:val="18"/>
                <w:szCs w:val="18"/>
                <w:color w:val="auto"/>
              </w:rPr>
              <w:t>and its Restricted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01"/>
        </w:trPr>
        <w:tc>
          <w:tcPr>
            <w:tcW w:w="8040" w:type="dxa"/>
            <w:vAlign w:val="bottom"/>
            <w:gridSpan w:val="11"/>
          </w:tcPr>
          <w:p>
            <w:pPr>
              <w:ind w:left="300"/>
              <w:spacing w:after="0" w:line="201" w:lineRule="exact"/>
              <w:rPr>
                <w:sz w:val="20"/>
                <w:szCs w:val="20"/>
                <w:color w:val="auto"/>
              </w:rPr>
            </w:pPr>
            <w:r>
              <w:rPr>
                <w:rFonts w:ascii="Arial" w:cs="Arial" w:eastAsia="Arial" w:hAnsi="Arial"/>
                <w:sz w:val="18"/>
                <w:szCs w:val="18"/>
                <w:color w:val="auto"/>
              </w:rPr>
              <w:t>Subsidiaries for such Test Period, on a consolidated basis, and otherwise determined in</w:t>
            </w:r>
          </w:p>
        </w:tc>
      </w:tr>
      <w:tr>
        <w:trPr>
          <w:trHeight w:val="234"/>
        </w:trPr>
        <w:tc>
          <w:tcPr>
            <w:tcW w:w="5040" w:type="dxa"/>
            <w:vAlign w:val="bottom"/>
            <w:gridSpan w:val="5"/>
          </w:tcPr>
          <w:p>
            <w:pPr>
              <w:ind w:left="300"/>
              <w:spacing w:after="0"/>
              <w:rPr>
                <w:sz w:val="20"/>
                <w:szCs w:val="20"/>
                <w:color w:val="auto"/>
              </w:rPr>
            </w:pPr>
            <w:r>
              <w:rPr>
                <w:rFonts w:ascii="Arial" w:cs="Arial" w:eastAsia="Arial" w:hAnsi="Arial"/>
                <w:sz w:val="18"/>
                <w:szCs w:val="18"/>
                <w:color w:val="auto"/>
                <w:w w:val="94"/>
              </w:rPr>
              <w:t>accordance with GAAP, minus, without duplication, the sum of:</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60"/>
        </w:trPr>
        <w:tc>
          <w:tcPr>
            <w:tcW w:w="760" w:type="dxa"/>
            <w:vAlign w:val="bottom"/>
          </w:tcPr>
          <w:p>
            <w:pPr>
              <w:jc w:val="right"/>
              <w:ind w:right="68"/>
              <w:spacing w:after="0"/>
              <w:rPr>
                <w:sz w:val="20"/>
                <w:szCs w:val="20"/>
                <w:color w:val="auto"/>
              </w:rPr>
            </w:pPr>
            <w:r>
              <w:rPr>
                <w:rFonts w:ascii="Arial" w:cs="Arial" w:eastAsia="Arial" w:hAnsi="Arial"/>
                <w:sz w:val="18"/>
                <w:szCs w:val="18"/>
                <w:color w:val="auto"/>
              </w:rPr>
              <w:t>(i)</w:t>
            </w:r>
          </w:p>
        </w:tc>
        <w:tc>
          <w:tcPr>
            <w:tcW w:w="4280" w:type="dxa"/>
            <w:vAlign w:val="bottom"/>
            <w:gridSpan w:val="4"/>
          </w:tcPr>
          <w:p>
            <w:pPr>
              <w:ind w:left="140"/>
              <w:spacing w:after="0"/>
              <w:rPr>
                <w:sz w:val="20"/>
                <w:szCs w:val="20"/>
                <w:color w:val="auto"/>
              </w:rPr>
            </w:pPr>
            <w:r>
              <w:rPr>
                <w:rFonts w:ascii="Arial" w:cs="Arial" w:eastAsia="Arial" w:hAnsi="Arial"/>
                <w:sz w:val="18"/>
                <w:szCs w:val="18"/>
                <w:color w:val="auto"/>
              </w:rPr>
              <w:t>extraordinary, non-recurring or unusual gains or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w w:val="95"/>
              </w:rPr>
              <w:t>losses, and (y) business optimization</w:t>
            </w:r>
          </w:p>
        </w:tc>
      </w:tr>
      <w:tr>
        <w:trPr>
          <w:trHeight w:val="189"/>
        </w:trPr>
        <w:tc>
          <w:tcPr>
            <w:tcW w:w="760" w:type="dxa"/>
            <w:vAlign w:val="bottom"/>
          </w:tcPr>
          <w:p>
            <w:pPr>
              <w:spacing w:after="0"/>
              <w:rPr>
                <w:sz w:val="16"/>
                <w:szCs w:val="16"/>
                <w:color w:val="auto"/>
              </w:rPr>
            </w:pPr>
          </w:p>
        </w:tc>
        <w:tc>
          <w:tcPr>
            <w:tcW w:w="400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Charges and</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01"/>
        </w:trPr>
        <w:tc>
          <w:tcPr>
            <w:tcW w:w="76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restructuring Charges and carve-out related items shall be excluded, which will</w:t>
            </w:r>
          </w:p>
        </w:tc>
      </w:tr>
      <w:tr>
        <w:trPr>
          <w:trHeight w:val="201"/>
        </w:trPr>
        <w:tc>
          <w:tcPr>
            <w:tcW w:w="76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include Charges in connection with Investments in the average revenue per user</w:t>
            </w:r>
          </w:p>
        </w:tc>
      </w:tr>
      <w:tr>
        <w:trPr>
          <w:trHeight w:val="234"/>
        </w:trPr>
        <w:tc>
          <w:tcPr>
            <w:tcW w:w="760" w:type="dxa"/>
            <w:vAlign w:val="bottom"/>
          </w:tcPr>
          <w:p>
            <w:pPr>
              <w:spacing w:after="0"/>
              <w:rPr>
                <w:sz w:val="20"/>
                <w:szCs w:val="20"/>
                <w:color w:val="auto"/>
              </w:rPr>
            </w:pPr>
          </w:p>
        </w:tc>
        <w:tc>
          <w:tcPr>
            <w:tcW w:w="4280" w:type="dxa"/>
            <w:vAlign w:val="bottom"/>
            <w:gridSpan w:val="4"/>
          </w:tcPr>
          <w:p>
            <w:pPr>
              <w:ind w:left="140"/>
              <w:spacing w:after="0"/>
              <w:rPr>
                <w:sz w:val="20"/>
                <w:szCs w:val="20"/>
                <w:color w:val="auto"/>
              </w:rPr>
            </w:pPr>
            <w:r>
              <w:rPr>
                <w:rFonts w:ascii="Arial" w:cs="Arial" w:eastAsia="Arial" w:hAnsi="Arial"/>
                <w:sz w:val="18"/>
                <w:szCs w:val="18"/>
                <w:color w:val="auto"/>
              </w:rPr>
              <w:t>initiative;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60"/>
        </w:trPr>
        <w:tc>
          <w:tcPr>
            <w:tcW w:w="760" w:type="dxa"/>
            <w:vAlign w:val="bottom"/>
          </w:tcPr>
          <w:p>
            <w:pPr>
              <w:jc w:val="right"/>
              <w:ind w:right="68"/>
              <w:spacing w:after="0"/>
              <w:rPr>
                <w:sz w:val="20"/>
                <w:szCs w:val="20"/>
                <w:color w:val="auto"/>
              </w:rPr>
            </w:pPr>
            <w:r>
              <w:rPr>
                <w:rFonts w:ascii="Arial" w:cs="Arial" w:eastAsia="Arial" w:hAnsi="Arial"/>
                <w:sz w:val="18"/>
                <w:szCs w:val="18"/>
                <w:color w:val="auto"/>
              </w:rPr>
              <w:t>(ii)</w:t>
            </w:r>
          </w:p>
        </w:tc>
        <w:tc>
          <w:tcPr>
            <w:tcW w:w="7280" w:type="dxa"/>
            <w:vAlign w:val="bottom"/>
            <w:gridSpan w:val="10"/>
          </w:tcPr>
          <w:p>
            <w:pPr>
              <w:ind w:left="140"/>
              <w:spacing w:after="0"/>
              <w:rPr>
                <w:sz w:val="20"/>
                <w:szCs w:val="20"/>
                <w:color w:val="auto"/>
              </w:rPr>
            </w:pPr>
            <w:r>
              <w:rPr>
                <w:rFonts w:ascii="Arial" w:cs="Arial" w:eastAsia="Arial" w:hAnsi="Arial"/>
                <w:sz w:val="18"/>
                <w:szCs w:val="18"/>
                <w:color w:val="auto"/>
              </w:rPr>
              <w:t>the cumulative effect of a change in accounting  $   principles during such Test Period;</w:t>
            </w:r>
          </w:p>
        </w:tc>
      </w:tr>
      <w:tr>
        <w:trPr>
          <w:trHeight w:val="20"/>
        </w:trPr>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82"/>
        </w:trPr>
        <w:tc>
          <w:tcPr>
            <w:tcW w:w="760" w:type="dxa"/>
            <w:vAlign w:val="bottom"/>
          </w:tcPr>
          <w:p>
            <w:pPr>
              <w:jc w:val="right"/>
              <w:ind w:right="68"/>
              <w:spacing w:after="0"/>
              <w:rPr>
                <w:sz w:val="20"/>
                <w:szCs w:val="20"/>
                <w:color w:val="auto"/>
              </w:rPr>
            </w:pPr>
            <w:r>
              <w:rPr>
                <w:rFonts w:ascii="Arial" w:cs="Arial" w:eastAsia="Arial" w:hAnsi="Arial"/>
                <w:sz w:val="18"/>
                <w:szCs w:val="18"/>
                <w:color w:val="auto"/>
              </w:rPr>
              <w:t>(iii)</w:t>
            </w:r>
          </w:p>
        </w:tc>
        <w:tc>
          <w:tcPr>
            <w:tcW w:w="4460" w:type="dxa"/>
            <w:vAlign w:val="bottom"/>
            <w:gridSpan w:val="6"/>
          </w:tcPr>
          <w:p>
            <w:pPr>
              <w:ind w:left="140"/>
              <w:spacing w:after="0"/>
              <w:rPr>
                <w:sz w:val="20"/>
                <w:szCs w:val="20"/>
                <w:color w:val="auto"/>
              </w:rPr>
            </w:pPr>
            <w:r>
              <w:rPr>
                <w:rFonts w:ascii="Arial" w:cs="Arial" w:eastAsia="Arial" w:hAnsi="Arial"/>
                <w:sz w:val="18"/>
                <w:szCs w:val="18"/>
                <w:color w:val="auto"/>
                <w:w w:val="95"/>
              </w:rPr>
              <w:t>any income (loss) attributable to disposed, abandoned,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w w:val="95"/>
              </w:rPr>
              <w:t>transferred closed or discontinued</w:t>
            </w:r>
          </w:p>
        </w:tc>
      </w:tr>
      <w:tr>
        <w:trPr>
          <w:trHeight w:val="189"/>
        </w:trPr>
        <w:tc>
          <w:tcPr>
            <w:tcW w:w="760" w:type="dxa"/>
            <w:vAlign w:val="bottom"/>
          </w:tcPr>
          <w:p>
            <w:pPr>
              <w:spacing w:after="0"/>
              <w:rPr>
                <w:sz w:val="16"/>
                <w:szCs w:val="16"/>
                <w:color w:val="auto"/>
              </w:rPr>
            </w:pPr>
          </w:p>
        </w:tc>
        <w:tc>
          <w:tcPr>
            <w:tcW w:w="4280" w:type="dxa"/>
            <w:vAlign w:val="bottom"/>
            <w:gridSpan w:val="4"/>
          </w:tcPr>
          <w:p>
            <w:pPr>
              <w:ind w:left="140"/>
              <w:spacing w:after="0" w:line="189" w:lineRule="exact"/>
              <w:rPr>
                <w:sz w:val="20"/>
                <w:szCs w:val="20"/>
                <w:color w:val="auto"/>
              </w:rPr>
            </w:pPr>
            <w:r>
              <w:rPr>
                <w:rFonts w:ascii="Arial" w:cs="Arial" w:eastAsia="Arial" w:hAnsi="Arial"/>
                <w:sz w:val="18"/>
                <w:szCs w:val="18"/>
                <w:color w:val="auto"/>
              </w:rPr>
              <w:t>operations and any</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0" w:type="dxa"/>
            <w:vAlign w:val="bottom"/>
          </w:tcPr>
          <w:p>
            <w:pPr>
              <w:spacing w:after="0"/>
              <w:rPr>
                <w:sz w:val="16"/>
                <w:szCs w:val="16"/>
                <w:color w:val="auto"/>
              </w:rPr>
            </w:pPr>
          </w:p>
        </w:tc>
      </w:tr>
      <w:tr>
        <w:trPr>
          <w:trHeight w:val="201"/>
        </w:trPr>
        <w:tc>
          <w:tcPr>
            <w:tcW w:w="76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gains or losses on disposal of disposed, abandoned, transferred, closed or</w:t>
            </w:r>
          </w:p>
        </w:tc>
      </w:tr>
      <w:tr>
        <w:trPr>
          <w:trHeight w:val="234"/>
        </w:trPr>
        <w:tc>
          <w:tcPr>
            <w:tcW w:w="760" w:type="dxa"/>
            <w:vAlign w:val="bottom"/>
          </w:tcPr>
          <w:p>
            <w:pPr>
              <w:spacing w:after="0"/>
              <w:rPr>
                <w:sz w:val="20"/>
                <w:szCs w:val="20"/>
                <w:color w:val="auto"/>
              </w:rPr>
            </w:pPr>
          </w:p>
        </w:tc>
        <w:tc>
          <w:tcPr>
            <w:tcW w:w="4280" w:type="dxa"/>
            <w:vAlign w:val="bottom"/>
            <w:gridSpan w:val="4"/>
          </w:tcPr>
          <w:p>
            <w:pPr>
              <w:ind w:left="140"/>
              <w:spacing w:after="0"/>
              <w:rPr>
                <w:sz w:val="20"/>
                <w:szCs w:val="20"/>
                <w:color w:val="auto"/>
              </w:rPr>
            </w:pPr>
            <w:r>
              <w:rPr>
                <w:rFonts w:ascii="Arial" w:cs="Arial" w:eastAsia="Arial" w:hAnsi="Arial"/>
                <w:sz w:val="18"/>
                <w:szCs w:val="18"/>
                <w:color w:val="auto"/>
              </w:rPr>
              <w:t>discontinued operations or fixed 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73"/>
        </w:trPr>
        <w:tc>
          <w:tcPr>
            <w:tcW w:w="760" w:type="dxa"/>
            <w:vAlign w:val="bottom"/>
          </w:tcPr>
          <w:p>
            <w:pPr>
              <w:jc w:val="right"/>
              <w:ind w:right="68"/>
              <w:spacing w:after="0"/>
              <w:rPr>
                <w:sz w:val="20"/>
                <w:szCs w:val="20"/>
                <w:color w:val="auto"/>
              </w:rPr>
            </w:pPr>
            <w:r>
              <w:rPr>
                <w:rFonts w:ascii="Arial" w:cs="Arial" w:eastAsia="Arial" w:hAnsi="Arial"/>
                <w:sz w:val="18"/>
                <w:szCs w:val="18"/>
                <w:color w:val="auto"/>
              </w:rPr>
              <w:t>(iv)</w:t>
            </w:r>
          </w:p>
        </w:tc>
        <w:tc>
          <w:tcPr>
            <w:tcW w:w="4280" w:type="dxa"/>
            <w:vAlign w:val="bottom"/>
            <w:gridSpan w:val="4"/>
          </w:tcPr>
          <w:p>
            <w:pPr>
              <w:ind w:left="140"/>
              <w:spacing w:after="0"/>
              <w:rPr>
                <w:sz w:val="20"/>
                <w:szCs w:val="20"/>
                <w:color w:val="auto"/>
              </w:rPr>
            </w:pPr>
            <w:r>
              <w:rPr>
                <w:rFonts w:ascii="Arial" w:cs="Arial" w:eastAsia="Arial" w:hAnsi="Arial"/>
                <w:sz w:val="18"/>
                <w:szCs w:val="18"/>
                <w:color w:val="auto"/>
                <w:w w:val="93"/>
              </w:rPr>
              <w:t>any gains or losses (less all fees and expenses relating</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2700" w:type="dxa"/>
            <w:vAlign w:val="bottom"/>
            <w:gridSpan w:val="3"/>
          </w:tcPr>
          <w:p>
            <w:pPr>
              <w:jc w:val="right"/>
              <w:ind w:right="528"/>
              <w:spacing w:after="0"/>
              <w:rPr>
                <w:sz w:val="20"/>
                <w:szCs w:val="20"/>
                <w:color w:val="auto"/>
              </w:rPr>
            </w:pPr>
            <w:r>
              <w:rPr>
                <w:rFonts w:ascii="Arial" w:cs="Arial" w:eastAsia="Arial" w:hAnsi="Arial"/>
                <w:sz w:val="18"/>
                <w:szCs w:val="18"/>
                <w:color w:val="auto"/>
                <w:w w:val="91"/>
              </w:rPr>
              <w:t>thereto) attributable to asset</w:t>
            </w:r>
          </w:p>
        </w:tc>
      </w:tr>
      <w:tr>
        <w:trPr>
          <w:trHeight w:val="189"/>
        </w:trPr>
        <w:tc>
          <w:tcPr>
            <w:tcW w:w="760" w:type="dxa"/>
            <w:vAlign w:val="bottom"/>
          </w:tcPr>
          <w:p>
            <w:pPr>
              <w:spacing w:after="0"/>
              <w:rPr>
                <w:sz w:val="16"/>
                <w:szCs w:val="16"/>
                <w:color w:val="auto"/>
              </w:rPr>
            </w:pPr>
          </w:p>
        </w:tc>
        <w:tc>
          <w:tcPr>
            <w:tcW w:w="4280" w:type="dxa"/>
            <w:vAlign w:val="bottom"/>
            <w:gridSpan w:val="4"/>
          </w:tcPr>
          <w:p>
            <w:pPr>
              <w:ind w:left="140"/>
              <w:spacing w:after="0" w:line="189" w:lineRule="exact"/>
              <w:rPr>
                <w:sz w:val="20"/>
                <w:szCs w:val="20"/>
                <w:color w:val="auto"/>
              </w:rPr>
            </w:pPr>
            <w:r>
              <w:rPr>
                <w:rFonts w:ascii="Arial" w:cs="Arial" w:eastAsia="Arial" w:hAnsi="Arial"/>
                <w:sz w:val="18"/>
                <w:szCs w:val="18"/>
                <w:color w:val="auto"/>
              </w:rPr>
              <w:t>dispositions other than in</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34"/>
        </w:trPr>
        <w:tc>
          <w:tcPr>
            <w:tcW w:w="760" w:type="dxa"/>
            <w:vAlign w:val="bottom"/>
          </w:tcPr>
          <w:p>
            <w:pPr>
              <w:spacing w:after="0"/>
              <w:rPr>
                <w:sz w:val="20"/>
                <w:szCs w:val="20"/>
                <w:color w:val="auto"/>
              </w:rPr>
            </w:pPr>
          </w:p>
        </w:tc>
        <w:tc>
          <w:tcPr>
            <w:tcW w:w="7280" w:type="dxa"/>
            <w:vAlign w:val="bottom"/>
            <w:gridSpan w:val="10"/>
          </w:tcPr>
          <w:p>
            <w:pPr>
              <w:ind w:left="140"/>
              <w:spacing w:after="0"/>
              <w:rPr>
                <w:sz w:val="20"/>
                <w:szCs w:val="20"/>
                <w:color w:val="auto"/>
              </w:rPr>
            </w:pPr>
            <w:r>
              <w:rPr>
                <w:rFonts w:ascii="Arial" w:cs="Arial" w:eastAsia="Arial" w:hAnsi="Arial"/>
                <w:sz w:val="18"/>
                <w:szCs w:val="18"/>
                <w:color w:val="auto"/>
              </w:rPr>
              <w:t>the ordinary course of business, as determined in good faith by the Borrower;</w:t>
            </w:r>
          </w:p>
        </w:tc>
      </w:tr>
      <w:tr>
        <w:trPr>
          <w:trHeight w:val="473"/>
        </w:trPr>
        <w:tc>
          <w:tcPr>
            <w:tcW w:w="760" w:type="dxa"/>
            <w:vAlign w:val="bottom"/>
          </w:tcPr>
          <w:p>
            <w:pPr>
              <w:jc w:val="right"/>
              <w:ind w:right="68"/>
              <w:spacing w:after="0"/>
              <w:rPr>
                <w:sz w:val="20"/>
                <w:szCs w:val="20"/>
                <w:color w:val="auto"/>
              </w:rPr>
            </w:pPr>
            <w:r>
              <w:rPr>
                <w:rFonts w:ascii="Arial" w:cs="Arial" w:eastAsia="Arial" w:hAnsi="Arial"/>
                <w:sz w:val="18"/>
                <w:szCs w:val="18"/>
                <w:color w:val="auto"/>
              </w:rPr>
              <w:t>(v)</w:t>
            </w:r>
          </w:p>
        </w:tc>
        <w:tc>
          <w:tcPr>
            <w:tcW w:w="4280" w:type="dxa"/>
            <w:vAlign w:val="bottom"/>
            <w:gridSpan w:val="4"/>
          </w:tcPr>
          <w:p>
            <w:pPr>
              <w:ind w:left="140"/>
              <w:spacing w:after="0"/>
              <w:rPr>
                <w:sz w:val="20"/>
                <w:szCs w:val="20"/>
                <w:color w:val="auto"/>
              </w:rPr>
            </w:pPr>
            <w:r>
              <w:rPr>
                <w:rFonts w:ascii="Arial" w:cs="Arial" w:eastAsia="Arial" w:hAnsi="Arial"/>
                <w:sz w:val="18"/>
                <w:szCs w:val="18"/>
                <w:color w:val="auto"/>
                <w:w w:val="93"/>
              </w:rPr>
              <w:t>the Net Income for such Test Period of any Person that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jc w:val="right"/>
              <w:ind w:right="528"/>
              <w:spacing w:after="0"/>
              <w:rPr>
                <w:sz w:val="20"/>
                <w:szCs w:val="20"/>
                <w:color w:val="auto"/>
              </w:rPr>
            </w:pPr>
            <w:r>
              <w:rPr>
                <w:rFonts w:ascii="Arial" w:cs="Arial" w:eastAsia="Arial" w:hAnsi="Arial"/>
                <w:sz w:val="18"/>
                <w:szCs w:val="18"/>
                <w:color w:val="auto"/>
                <w:w w:val="90"/>
              </w:rPr>
              <w:t>is not a Subsidiary, or is an</w:t>
            </w:r>
          </w:p>
        </w:tc>
      </w:tr>
      <w:tr>
        <w:trPr>
          <w:trHeight w:val="205"/>
        </w:trPr>
        <w:tc>
          <w:tcPr>
            <w:tcW w:w="760" w:type="dxa"/>
            <w:vAlign w:val="bottom"/>
          </w:tcPr>
          <w:p>
            <w:pPr>
              <w:spacing w:after="0"/>
              <w:rPr>
                <w:sz w:val="17"/>
                <w:szCs w:val="17"/>
                <w:color w:val="auto"/>
              </w:rPr>
            </w:pPr>
          </w:p>
        </w:tc>
        <w:tc>
          <w:tcPr>
            <w:tcW w:w="4280" w:type="dxa"/>
            <w:vAlign w:val="bottom"/>
            <w:gridSpan w:val="4"/>
          </w:tcPr>
          <w:p>
            <w:pPr>
              <w:ind w:left="140"/>
              <w:spacing w:after="0" w:line="205" w:lineRule="exact"/>
              <w:rPr>
                <w:sz w:val="20"/>
                <w:szCs w:val="20"/>
                <w:color w:val="auto"/>
              </w:rPr>
            </w:pPr>
            <w:r>
              <w:rPr>
                <w:rFonts w:ascii="Arial" w:cs="Arial" w:eastAsia="Arial" w:hAnsi="Arial"/>
                <w:sz w:val="18"/>
                <w:szCs w:val="18"/>
                <w:color w:val="auto"/>
              </w:rPr>
              <w:t>Unrestricted Subsidiary, 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r>
    </w:tbl>
    <w:p>
      <w:pPr>
        <w:ind w:left="1798"/>
        <w:spacing w:after="0"/>
        <w:rPr>
          <w:sz w:val="20"/>
          <w:szCs w:val="20"/>
          <w:color w:val="auto"/>
        </w:rPr>
      </w:pPr>
      <w:r>
        <w:rPr>
          <w:rFonts w:ascii="Arial" w:cs="Arial" w:eastAsia="Arial" w:hAnsi="Arial"/>
          <w:sz w:val="18"/>
          <w:szCs w:val="18"/>
          <w:color w:val="auto"/>
        </w:rPr>
        <w:t>that is accounted for by the equity method of accounting;</w:t>
      </w:r>
    </w:p>
    <w:p>
      <w:pPr>
        <w:spacing w:after="0" w:line="216" w:lineRule="exact"/>
        <w:rPr>
          <w:sz w:val="20"/>
          <w:szCs w:val="20"/>
          <w:color w:val="auto"/>
        </w:rPr>
      </w:pPr>
    </w:p>
    <w:p>
      <w:pPr>
        <w:jc w:val="both"/>
        <w:ind w:left="1198" w:right="1359"/>
        <w:spacing w:after="0" w:line="23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the Borrower and its Restricted Subsidiaries shall be increased by the amount of dividends or distributions or other payments that are actually paid in cash (or to the extent converted into cash) to the Borrower or a Restricted Subsidiary thereof in respect of such Test Period by such Person and shall be decreased by the amount of any losses that have been funded with cash from the Borrower or a Restricted Subsidiary during such period;</w:t>
      </w:r>
    </w:p>
    <w:p>
      <w:pPr>
        <w:spacing w:after="0" w:line="266" w:lineRule="exact"/>
        <w:rPr>
          <w:sz w:val="20"/>
          <w:szCs w:val="20"/>
          <w:color w:val="auto"/>
        </w:rPr>
      </w:pPr>
    </w:p>
    <w:tbl>
      <w:tblPr>
        <w:tblLayout w:type="fixed"/>
        <w:tblInd w:w="1238"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(vi)</w:t>
            </w: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w w:val="95"/>
              </w:rPr>
              <w:t>solely for the purpose of determining the amount  $   available for Restricted Payments under</w:t>
            </w:r>
          </w:p>
        </w:tc>
      </w:tr>
      <w:tr>
        <w:trPr>
          <w:trHeight w:val="222"/>
        </w:trPr>
        <w:tc>
          <w:tcPr>
            <w:tcW w:w="42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Section</w:t>
            </w:r>
          </w:p>
        </w:tc>
        <w:tc>
          <w:tcPr>
            <w:tcW w:w="180" w:type="dxa"/>
            <w:vAlign w:val="bottom"/>
            <w:tcBorders>
              <w:top w:val="single" w:sz="8" w:color="auto"/>
            </w:tcBorders>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411480</wp:posOffset>
            </wp:positionV>
            <wp:extent cx="454025" cy="1670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137"/>
          </w:cols>
          <w:pgMar w:left="1322" w:top="1326" w:right="1440" w:bottom="1440" w:gutter="0" w:footer="0" w:header="0"/>
        </w:sectPr>
      </w:pPr>
    </w:p>
    <w:bookmarkStart w:id="324" w:name="page325"/>
    <w:bookmarkEnd w:id="324"/>
    <w:p>
      <w:pPr>
        <w:jc w:val="both"/>
        <w:ind w:left="1680" w:right="1359"/>
        <w:spacing w:after="0" w:line="270" w:lineRule="auto"/>
        <w:rPr>
          <w:sz w:val="20"/>
          <w:szCs w:val="20"/>
          <w:color w:val="auto"/>
        </w:rPr>
      </w:pPr>
      <w:r>
        <w:rPr>
          <w:rFonts w:ascii="Arial" w:cs="Arial" w:eastAsia="Arial" w:hAnsi="Arial"/>
          <w:sz w:val="16"/>
          <w:szCs w:val="16"/>
          <w:color w:val="auto"/>
        </w:rPr>
        <w:t>9.2(a)(v)(C)(1) of the Credit Agreement, the Net Income for such Test Period of any Restricted Subsidiary (other than any Loan Party) if the declaration or payment of dividends or similar distributions by that Restricted Subsidiary of its Net Income is not at the date of determination permitted,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w:t>
      </w:r>
    </w:p>
    <w:p>
      <w:pPr>
        <w:spacing w:after="0" w:line="187" w:lineRule="exact"/>
        <w:rPr>
          <w:sz w:val="20"/>
          <w:szCs w:val="20"/>
          <w:color w:val="auto"/>
        </w:rPr>
      </w:pPr>
    </w:p>
    <w:p>
      <w:pPr>
        <w:jc w:val="both"/>
        <w:ind w:left="1080" w:right="1359"/>
        <w:spacing w:after="0" w:line="24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the Borrower will be increased by the amount of dividends or other distributions or other payments actually paid in cash (or to the extent converted into cash) to the Borrower or a Restricted Subsidiary thereof in respect of such Test Period, to the extent not already included therein;</w:t>
      </w:r>
    </w:p>
    <w:p>
      <w:pPr>
        <w:spacing w:after="0" w:line="25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(vii)</w:t>
            </w:r>
          </w:p>
        </w:tc>
        <w:tc>
          <w:tcPr>
            <w:tcW w:w="4720" w:type="dxa"/>
            <w:vAlign w:val="bottom"/>
            <w:gridSpan w:val="4"/>
          </w:tcPr>
          <w:p>
            <w:pPr>
              <w:ind w:left="140"/>
              <w:spacing w:after="0"/>
              <w:rPr>
                <w:sz w:val="20"/>
                <w:szCs w:val="20"/>
                <w:color w:val="auto"/>
              </w:rPr>
            </w:pPr>
            <w:r>
              <w:rPr>
                <w:rFonts w:ascii="Arial" w:cs="Arial" w:eastAsia="Arial" w:hAnsi="Arial"/>
                <w:sz w:val="18"/>
                <w:szCs w:val="18"/>
                <w:color w:val="auto"/>
              </w:rPr>
              <w:t>effects of adjustments (including the effects of such $</w:t>
            </w:r>
          </w:p>
        </w:tc>
        <w:tc>
          <w:tcPr>
            <w:tcW w:w="20" w:type="dxa"/>
            <w:vAlign w:val="bottom"/>
          </w:tcPr>
          <w:p>
            <w:pPr>
              <w:spacing w:after="0"/>
              <w:rPr>
                <w:sz w:val="17"/>
                <w:szCs w:val="17"/>
                <w:color w:val="auto"/>
              </w:rPr>
            </w:pPr>
          </w:p>
        </w:tc>
        <w:tc>
          <w:tcPr>
            <w:tcW w:w="2540" w:type="dxa"/>
            <w:vAlign w:val="bottom"/>
            <w:gridSpan w:val="2"/>
          </w:tcPr>
          <w:p>
            <w:pPr>
              <w:ind w:left="60"/>
              <w:spacing w:after="0"/>
              <w:rPr>
                <w:sz w:val="20"/>
                <w:szCs w:val="20"/>
                <w:color w:val="auto"/>
              </w:rPr>
            </w:pPr>
            <w:r>
              <w:rPr>
                <w:rFonts w:ascii="Arial" w:cs="Arial" w:eastAsia="Arial" w:hAnsi="Arial"/>
                <w:sz w:val="18"/>
                <w:szCs w:val="18"/>
                <w:color w:val="auto"/>
                <w:w w:val="94"/>
              </w:rPr>
              <w:t>adjustments pushed down to the</w:t>
            </w:r>
          </w:p>
        </w:tc>
      </w:tr>
      <w:tr>
        <w:trPr>
          <w:trHeight w:val="189"/>
        </w:trPr>
        <w:tc>
          <w:tcPr>
            <w:tcW w:w="520" w:type="dxa"/>
            <w:vAlign w:val="bottom"/>
          </w:tcPr>
          <w:p>
            <w:pPr>
              <w:spacing w:after="0"/>
              <w:rPr>
                <w:sz w:val="16"/>
                <w:szCs w:val="16"/>
                <w:color w:val="auto"/>
              </w:rPr>
            </w:pPr>
          </w:p>
        </w:tc>
        <w:tc>
          <w:tcPr>
            <w:tcW w:w="4340" w:type="dxa"/>
            <w:vAlign w:val="bottom"/>
          </w:tcPr>
          <w:p>
            <w:pPr>
              <w:ind w:left="140"/>
              <w:spacing w:after="0" w:line="189" w:lineRule="exact"/>
              <w:rPr>
                <w:sz w:val="20"/>
                <w:szCs w:val="20"/>
                <w:color w:val="auto"/>
              </w:rPr>
            </w:pPr>
            <w:r>
              <w:rPr>
                <w:rFonts w:ascii="Arial" w:cs="Arial" w:eastAsia="Arial" w:hAnsi="Arial"/>
                <w:sz w:val="18"/>
                <w:szCs w:val="18"/>
                <w:color w:val="auto"/>
              </w:rPr>
              <w:t>Borrower and its</w:t>
            </w: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Restricted Subsidiaries) in the property and equipment, software and other</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intangible assets, deferred revenue, debt line items, current assets and current</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liabilities in such Person’s consolidated financial statements pursuant to GAAP</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resulting  from  the  application  of  purchase  accounting  in  relation  to  any</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consummated acquisition and any increase in amortization or depreciation or</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other non-cash Charges resulting therefrom and any write-off of any amounts</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thereof, net of Taxes and any adjustments as required or permitted by the</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application of FASB Accounting Standards Codification 805 (requiring the use</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of purchase method of accounting for acquisitions and consolidations), FASB</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Accounting Standards Codification 350 (relating to changes in accounting for</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the  amortization  of  good  will  and  certain  other  intangibles)  and  FASB</w:t>
            </w: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Accounting Standards Codification 360 (relating to the write downs of long-</w:t>
            </w:r>
          </w:p>
        </w:tc>
      </w:tr>
      <w:tr>
        <w:trPr>
          <w:trHeight w:val="234"/>
        </w:trPr>
        <w:tc>
          <w:tcPr>
            <w:tcW w:w="520" w:type="dxa"/>
            <w:vAlign w:val="bottom"/>
          </w:tcPr>
          <w:p>
            <w:pPr>
              <w:spacing w:after="0"/>
              <w:rPr>
                <w:sz w:val="20"/>
                <w:szCs w:val="20"/>
                <w:color w:val="auto"/>
              </w:rPr>
            </w:pPr>
          </w:p>
        </w:tc>
        <w:tc>
          <w:tcPr>
            <w:tcW w:w="4720" w:type="dxa"/>
            <w:vAlign w:val="bottom"/>
            <w:gridSpan w:val="4"/>
          </w:tcPr>
          <w:p>
            <w:pPr>
              <w:ind w:left="140"/>
              <w:spacing w:after="0"/>
              <w:rPr>
                <w:sz w:val="20"/>
                <w:szCs w:val="20"/>
                <w:color w:val="auto"/>
              </w:rPr>
            </w:pPr>
            <w:r>
              <w:rPr>
                <w:rFonts w:ascii="Arial" w:cs="Arial" w:eastAsia="Arial" w:hAnsi="Arial"/>
                <w:sz w:val="18"/>
                <w:szCs w:val="18"/>
                <w:color w:val="auto"/>
              </w:rPr>
              <w:t>lived assets), shall be excluded;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60"/>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(viii)</w:t>
            </w:r>
          </w:p>
        </w:tc>
        <w:tc>
          <w:tcPr>
            <w:tcW w:w="4720" w:type="dxa"/>
            <w:vAlign w:val="bottom"/>
            <w:gridSpan w:val="4"/>
          </w:tcPr>
          <w:p>
            <w:pPr>
              <w:ind w:left="140"/>
              <w:spacing w:after="0"/>
              <w:rPr>
                <w:sz w:val="20"/>
                <w:szCs w:val="20"/>
                <w:color w:val="auto"/>
              </w:rPr>
            </w:pPr>
            <w:r>
              <w:rPr>
                <w:rFonts w:ascii="Arial" w:cs="Arial" w:eastAsia="Arial" w:hAnsi="Arial"/>
                <w:sz w:val="18"/>
                <w:szCs w:val="18"/>
                <w:color w:val="auto"/>
              </w:rPr>
              <w:t>any impairment charge or asset write off, in each case $</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w w:val="98"/>
              </w:rPr>
              <w:t>pursuant to GAAP, and the</w:t>
            </w:r>
          </w:p>
        </w:tc>
      </w:tr>
      <w:tr>
        <w:trPr>
          <w:trHeight w:val="189"/>
        </w:trPr>
        <w:tc>
          <w:tcPr>
            <w:tcW w:w="520" w:type="dxa"/>
            <w:vAlign w:val="bottom"/>
          </w:tcPr>
          <w:p>
            <w:pPr>
              <w:spacing w:after="0"/>
              <w:rPr>
                <w:sz w:val="16"/>
                <w:szCs w:val="16"/>
                <w:color w:val="auto"/>
              </w:rPr>
            </w:pPr>
          </w:p>
        </w:tc>
        <w:tc>
          <w:tcPr>
            <w:tcW w:w="462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amortization of intangibles</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20" w:type="dxa"/>
            <w:vAlign w:val="bottom"/>
          </w:tcPr>
          <w:p>
            <w:pPr>
              <w:spacing w:after="0"/>
              <w:rPr>
                <w:sz w:val="16"/>
                <w:szCs w:val="16"/>
                <w:color w:val="auto"/>
              </w:rPr>
            </w:pPr>
          </w:p>
        </w:tc>
      </w:tr>
      <w:tr>
        <w:trPr>
          <w:trHeight w:val="201"/>
        </w:trPr>
        <w:tc>
          <w:tcPr>
            <w:tcW w:w="520" w:type="dxa"/>
            <w:vAlign w:val="bottom"/>
          </w:tcPr>
          <w:p>
            <w:pPr>
              <w:spacing w:after="0"/>
              <w:rPr>
                <w:sz w:val="17"/>
                <w:szCs w:val="17"/>
                <w:color w:val="auto"/>
              </w:rPr>
            </w:pPr>
          </w:p>
        </w:tc>
        <w:tc>
          <w:tcPr>
            <w:tcW w:w="7280" w:type="dxa"/>
            <w:vAlign w:val="bottom"/>
            <w:gridSpan w:val="7"/>
          </w:tcPr>
          <w:p>
            <w:pPr>
              <w:ind w:left="140"/>
              <w:spacing w:after="0" w:line="201" w:lineRule="exact"/>
              <w:rPr>
                <w:sz w:val="20"/>
                <w:szCs w:val="20"/>
                <w:color w:val="auto"/>
              </w:rPr>
            </w:pPr>
            <w:r>
              <w:rPr>
                <w:rFonts w:ascii="Arial" w:cs="Arial" w:eastAsia="Arial" w:hAnsi="Arial"/>
                <w:sz w:val="18"/>
                <w:szCs w:val="18"/>
                <w:color w:val="auto"/>
              </w:rPr>
              <w:t>arising pursuant to GAAP (other than any non-cash item that was included in</w:t>
            </w:r>
          </w:p>
        </w:tc>
      </w:tr>
      <w:tr>
        <w:trPr>
          <w:trHeight w:val="234"/>
        </w:trPr>
        <w:tc>
          <w:tcPr>
            <w:tcW w:w="520" w:type="dxa"/>
            <w:vAlign w:val="bottom"/>
          </w:tcPr>
          <w:p>
            <w:pPr>
              <w:spacing w:after="0"/>
              <w:rPr>
                <w:sz w:val="20"/>
                <w:szCs w:val="20"/>
                <w:color w:val="auto"/>
              </w:rPr>
            </w:pPr>
          </w:p>
        </w:tc>
        <w:tc>
          <w:tcPr>
            <w:tcW w:w="4720" w:type="dxa"/>
            <w:vAlign w:val="bottom"/>
            <w:gridSpan w:val="4"/>
          </w:tcPr>
          <w:p>
            <w:pPr>
              <w:ind w:left="140"/>
              <w:spacing w:after="0"/>
              <w:rPr>
                <w:sz w:val="20"/>
                <w:szCs w:val="20"/>
                <w:color w:val="auto"/>
              </w:rPr>
            </w:pPr>
            <w:r>
              <w:rPr>
                <w:rFonts w:ascii="Arial" w:cs="Arial" w:eastAsia="Arial" w:hAnsi="Arial"/>
                <w:sz w:val="18"/>
                <w:szCs w:val="18"/>
                <w:color w:val="auto"/>
              </w:rPr>
              <w:t>Consolidated Net Income in a prior Test Period);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60"/>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(ix)</w:t>
            </w:r>
          </w:p>
        </w:tc>
        <w:tc>
          <w:tcPr>
            <w:tcW w:w="4720" w:type="dxa"/>
            <w:vAlign w:val="bottom"/>
            <w:gridSpan w:val="4"/>
          </w:tcPr>
          <w:p>
            <w:pPr>
              <w:ind w:left="140"/>
              <w:spacing w:after="0"/>
              <w:rPr>
                <w:sz w:val="20"/>
                <w:szCs w:val="20"/>
                <w:color w:val="auto"/>
              </w:rPr>
            </w:pPr>
            <w:r>
              <w:rPr>
                <w:rFonts w:ascii="Arial" w:cs="Arial" w:eastAsia="Arial" w:hAnsi="Arial"/>
                <w:sz w:val="18"/>
                <w:szCs w:val="18"/>
                <w:color w:val="auto"/>
              </w:rPr>
              <w:t>at  the  Borrower’s  option,  any  non-cash  items  $</w:t>
            </w:r>
          </w:p>
        </w:tc>
        <w:tc>
          <w:tcPr>
            <w:tcW w:w="20" w:type="dxa"/>
            <w:vAlign w:val="bottom"/>
          </w:tcPr>
          <w:p>
            <w:pPr>
              <w:spacing w:after="0"/>
              <w:rPr>
                <w:sz w:val="24"/>
                <w:szCs w:val="24"/>
                <w:color w:val="auto"/>
              </w:rPr>
            </w:pP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(including (i) mark-to-market</w:t>
            </w:r>
          </w:p>
        </w:tc>
      </w:tr>
      <w:tr>
        <w:trPr>
          <w:trHeight w:val="222"/>
        </w:trPr>
        <w:tc>
          <w:tcPr>
            <w:tcW w:w="520" w:type="dxa"/>
            <w:vAlign w:val="bottom"/>
          </w:tcPr>
          <w:p>
            <w:pPr>
              <w:spacing w:after="0"/>
              <w:rPr>
                <w:sz w:val="19"/>
                <w:szCs w:val="19"/>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items and timing</w:t>
            </w:r>
          </w:p>
        </w:tc>
        <w:tc>
          <w:tcPr>
            <w:tcW w:w="16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419735</wp:posOffset>
            </wp:positionV>
            <wp:extent cx="454025" cy="1670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325" w:name="page326"/>
    <w:bookmarkEnd w:id="325"/>
    <w:p>
      <w:pPr>
        <w:jc w:val="both"/>
        <w:ind w:left="1680" w:right="1359"/>
        <w:spacing w:after="0" w:line="265" w:lineRule="auto"/>
        <w:rPr>
          <w:sz w:val="20"/>
          <w:szCs w:val="20"/>
          <w:color w:val="auto"/>
        </w:rPr>
      </w:pPr>
      <w:r>
        <w:rPr>
          <w:rFonts w:ascii="Arial" w:cs="Arial" w:eastAsia="Arial" w:hAnsi="Arial"/>
          <w:sz w:val="16"/>
          <w:szCs w:val="16"/>
          <w:color w:val="auto"/>
        </w:rPr>
        <w:t>discrepancies between the time when an item is incurred and when it is recorded under GAAP, due to fluctuations in currency values the amount of non-cash items, (ii) any impairment charge or asset write-off or write-down related to intangible assets (including goodwill), long-lived assets (including capitalized software), and Investments in debt and equity securities pursuant to GAAP, but</w:t>
      </w:r>
    </w:p>
    <w:p>
      <w:pPr>
        <w:spacing w:after="0" w:line="3" w:lineRule="exact"/>
        <w:rPr>
          <w:sz w:val="20"/>
          <w:szCs w:val="20"/>
          <w:color w:val="auto"/>
        </w:rPr>
      </w:pPr>
    </w:p>
    <w:p>
      <w:pPr>
        <w:ind w:left="1680" w:right="1379" w:firstLine="9"/>
        <w:spacing w:after="0" w:line="273" w:lineRule="auto"/>
        <w:tabs>
          <w:tab w:leader="none" w:pos="2002" w:val="left"/>
        </w:tabs>
        <w:numPr>
          <w:ilvl w:val="0"/>
          <w:numId w:val="350"/>
        </w:numPr>
        <w:rPr>
          <w:rFonts w:ascii="Arial" w:cs="Arial" w:eastAsia="Arial" w:hAnsi="Arial"/>
          <w:sz w:val="17"/>
          <w:szCs w:val="17"/>
          <w:color w:val="auto"/>
        </w:rPr>
      </w:pPr>
      <w:r>
        <w:rPr>
          <w:rFonts w:ascii="Arial" w:cs="Arial" w:eastAsia="Arial" w:hAnsi="Arial"/>
          <w:sz w:val="17"/>
          <w:szCs w:val="17"/>
          <w:color w:val="auto"/>
        </w:rPr>
        <w:t>excluding any such non-cash items in respect of an item that was included in Consolidated Net Income in a prior Test Period), shall be excluded;</w:t>
      </w:r>
    </w:p>
    <w:p>
      <w:pPr>
        <w:spacing w:after="0" w:line="227"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(x)</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any  Charges  incurred  in  connection  with</w:t>
            </w:r>
          </w:p>
        </w:tc>
        <w:tc>
          <w:tcPr>
            <w:tcW w:w="600" w:type="dxa"/>
            <w:vAlign w:val="bottom"/>
            <w:gridSpan w:val="5"/>
          </w:tcPr>
          <w:p>
            <w:pPr>
              <w:ind w:left="80"/>
              <w:spacing w:after="0"/>
              <w:rPr>
                <w:sz w:val="20"/>
                <w:szCs w:val="20"/>
                <w:color w:val="auto"/>
              </w:rPr>
            </w:pPr>
            <w:r>
              <w:rPr>
                <w:rFonts w:ascii="Arial" w:cs="Arial" w:eastAsia="Arial" w:hAnsi="Arial"/>
                <w:sz w:val="18"/>
                <w:szCs w:val="18"/>
                <w:color w:val="auto"/>
              </w:rPr>
              <w:t>the  $</w:t>
            </w:r>
          </w:p>
        </w:tc>
        <w:tc>
          <w:tcPr>
            <w:tcW w:w="180" w:type="dxa"/>
            <w:vAlign w:val="bottom"/>
          </w:tcPr>
          <w:p>
            <w:pPr>
              <w:spacing w:after="0"/>
              <w:rPr>
                <w:sz w:val="17"/>
                <w:szCs w:val="17"/>
                <w:color w:val="auto"/>
              </w:rPr>
            </w:pPr>
          </w:p>
        </w:tc>
        <w:tc>
          <w:tcPr>
            <w:tcW w:w="2580" w:type="dxa"/>
            <w:vAlign w:val="bottom"/>
            <w:gridSpan w:val="2"/>
          </w:tcPr>
          <w:p>
            <w:pPr>
              <w:jc w:val="right"/>
              <w:ind w:right="1468"/>
              <w:spacing w:after="0"/>
              <w:rPr>
                <w:sz w:val="20"/>
                <w:szCs w:val="20"/>
                <w:color w:val="auto"/>
              </w:rPr>
            </w:pPr>
            <w:r>
              <w:rPr>
                <w:rFonts w:ascii="Arial" w:cs="Arial" w:eastAsia="Arial" w:hAnsi="Arial"/>
                <w:sz w:val="18"/>
                <w:szCs w:val="18"/>
                <w:color w:val="auto"/>
                <w:w w:val="92"/>
              </w:rPr>
              <w:t>Transactions;</w:t>
            </w:r>
          </w:p>
        </w:tc>
      </w:tr>
      <w:tr>
        <w:trPr>
          <w:trHeight w:val="20"/>
        </w:trPr>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94"/>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(xi)</w:t>
            </w:r>
          </w:p>
        </w:tc>
        <w:tc>
          <w:tcPr>
            <w:tcW w:w="4520" w:type="dxa"/>
            <w:vAlign w:val="bottom"/>
            <w:gridSpan w:val="7"/>
          </w:tcPr>
          <w:p>
            <w:pPr>
              <w:ind w:left="140"/>
              <w:spacing w:after="0"/>
              <w:rPr>
                <w:sz w:val="20"/>
                <w:szCs w:val="20"/>
                <w:color w:val="auto"/>
              </w:rPr>
            </w:pPr>
            <w:r>
              <w:rPr>
                <w:rFonts w:ascii="Arial" w:cs="Arial" w:eastAsia="Arial" w:hAnsi="Arial"/>
                <w:sz w:val="18"/>
                <w:szCs w:val="18"/>
                <w:color w:val="auto"/>
                <w:w w:val="97"/>
              </w:rPr>
              <w:t>any gains or losses (including the effect of all fees and $</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w w:val="91"/>
              </w:rPr>
              <w:t>expenses or charges relating thereto)</w:t>
            </w:r>
          </w:p>
        </w:tc>
      </w:tr>
      <w:tr>
        <w:trPr>
          <w:trHeight w:val="189"/>
        </w:trPr>
        <w:tc>
          <w:tcPr>
            <w:tcW w:w="520" w:type="dxa"/>
            <w:vAlign w:val="bottom"/>
          </w:tcPr>
          <w:p>
            <w:pPr>
              <w:spacing w:after="0"/>
              <w:rPr>
                <w:sz w:val="16"/>
                <w:szCs w:val="16"/>
                <w:color w:val="auto"/>
              </w:rPr>
            </w:pPr>
          </w:p>
        </w:tc>
        <w:tc>
          <w:tcPr>
            <w:tcW w:w="39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attributable to the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early extinguishment of Indebtedness or Swap Agreements or other derivative</w:t>
            </w: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agreements (including deferred financing costs written off and premiums paid</w:t>
            </w:r>
          </w:p>
        </w:tc>
      </w:tr>
      <w:tr>
        <w:trPr>
          <w:trHeight w:val="234"/>
        </w:trPr>
        <w:tc>
          <w:tcPr>
            <w:tcW w:w="520" w:type="dxa"/>
            <w:vAlign w:val="bottom"/>
          </w:tcPr>
          <w:p>
            <w:pPr>
              <w:spacing w:after="0"/>
              <w:rPr>
                <w:sz w:val="20"/>
                <w:szCs w:val="20"/>
                <w:color w:val="auto"/>
              </w:rPr>
            </w:pPr>
          </w:p>
        </w:tc>
        <w:tc>
          <w:tcPr>
            <w:tcW w:w="7280" w:type="dxa"/>
            <w:vAlign w:val="bottom"/>
            <w:gridSpan w:val="10"/>
          </w:tcPr>
          <w:p>
            <w:pPr>
              <w:ind w:left="140"/>
              <w:spacing w:after="0"/>
              <w:rPr>
                <w:sz w:val="20"/>
                <w:szCs w:val="20"/>
                <w:color w:val="auto"/>
              </w:rPr>
            </w:pPr>
            <w:r>
              <w:rPr>
                <w:rFonts w:ascii="Arial" w:cs="Arial" w:eastAsia="Arial" w:hAnsi="Arial"/>
                <w:sz w:val="18"/>
                <w:szCs w:val="18"/>
                <w:color w:val="auto"/>
              </w:rPr>
              <w:t>and any net gain (or loss) from any write-off or forgiveness of Indebtedness);</w:t>
            </w:r>
          </w:p>
        </w:tc>
      </w:tr>
      <w:tr>
        <w:trPr>
          <w:trHeight w:val="460"/>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(xii)</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w w:val="96"/>
              </w:rPr>
              <w:t>unrealized gains and losses relating to hedging $</w:t>
            </w:r>
          </w:p>
        </w:tc>
        <w:tc>
          <w:tcPr>
            <w:tcW w:w="120" w:type="dxa"/>
            <w:vAlign w:val="bottom"/>
          </w:tcPr>
          <w:p>
            <w:pPr>
              <w:spacing w:after="0"/>
              <w:rPr>
                <w:sz w:val="24"/>
                <w:szCs w:val="24"/>
                <w:color w:val="auto"/>
              </w:rPr>
            </w:pPr>
          </w:p>
        </w:tc>
        <w:tc>
          <w:tcPr>
            <w:tcW w:w="3240" w:type="dxa"/>
            <w:vAlign w:val="bottom"/>
            <w:gridSpan w:val="7"/>
          </w:tcPr>
          <w:p>
            <w:pPr>
              <w:jc w:val="right"/>
              <w:spacing w:after="0"/>
              <w:rPr>
                <w:sz w:val="20"/>
                <w:szCs w:val="20"/>
                <w:color w:val="auto"/>
              </w:rPr>
            </w:pPr>
            <w:r>
              <w:rPr>
                <w:rFonts w:ascii="Arial" w:cs="Arial" w:eastAsia="Arial" w:hAnsi="Arial"/>
                <w:sz w:val="18"/>
                <w:szCs w:val="18"/>
                <w:color w:val="auto"/>
                <w:w w:val="92"/>
              </w:rPr>
              <w:t>transactions, foreign exchange transactions</w:t>
            </w:r>
          </w:p>
        </w:tc>
      </w:tr>
      <w:tr>
        <w:trPr>
          <w:trHeight w:val="189"/>
        </w:trPr>
        <w:tc>
          <w:tcPr>
            <w:tcW w:w="520" w:type="dxa"/>
            <w:vAlign w:val="bottom"/>
          </w:tcPr>
          <w:p>
            <w:pPr>
              <w:spacing w:after="0"/>
              <w:rPr>
                <w:sz w:val="16"/>
                <w:szCs w:val="16"/>
                <w:color w:val="auto"/>
              </w:rPr>
            </w:pPr>
          </w:p>
        </w:tc>
        <w:tc>
          <w:tcPr>
            <w:tcW w:w="3760" w:type="dxa"/>
            <w:vAlign w:val="bottom"/>
          </w:tcPr>
          <w:p>
            <w:pPr>
              <w:ind w:left="140"/>
              <w:spacing w:after="0" w:line="189" w:lineRule="exact"/>
              <w:rPr>
                <w:sz w:val="20"/>
                <w:szCs w:val="20"/>
                <w:color w:val="auto"/>
              </w:rPr>
            </w:pPr>
            <w:r>
              <w:rPr>
                <w:rFonts w:ascii="Arial" w:cs="Arial" w:eastAsia="Arial" w:hAnsi="Arial"/>
                <w:sz w:val="18"/>
                <w:szCs w:val="18"/>
                <w:color w:val="auto"/>
              </w:rPr>
              <w:t>(but</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excluding inter-company transactions) and other investments, fluctuations in</w:t>
            </w: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currency values in accordance with GAAP and mark-to-market of Indebtedness</w:t>
            </w:r>
          </w:p>
        </w:tc>
      </w:tr>
      <w:tr>
        <w:trPr>
          <w:trHeight w:val="234"/>
        </w:trPr>
        <w:tc>
          <w:tcPr>
            <w:tcW w:w="520" w:type="dxa"/>
            <w:vAlign w:val="bottom"/>
          </w:tcPr>
          <w:p>
            <w:pPr>
              <w:spacing w:after="0"/>
              <w:rPr>
                <w:sz w:val="20"/>
                <w:szCs w:val="20"/>
                <w:color w:val="auto"/>
              </w:rPr>
            </w:pP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resulting from the application of GAAP;</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73"/>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(xiii)</w:t>
            </w:r>
          </w:p>
        </w:tc>
        <w:tc>
          <w:tcPr>
            <w:tcW w:w="4520" w:type="dxa"/>
            <w:vAlign w:val="bottom"/>
            <w:gridSpan w:val="7"/>
          </w:tcPr>
          <w:p>
            <w:pPr>
              <w:ind w:left="140"/>
              <w:spacing w:after="0"/>
              <w:rPr>
                <w:sz w:val="20"/>
                <w:szCs w:val="20"/>
                <w:color w:val="auto"/>
              </w:rPr>
            </w:pPr>
            <w:r>
              <w:rPr>
                <w:rFonts w:ascii="Arial" w:cs="Arial" w:eastAsia="Arial" w:hAnsi="Arial"/>
                <w:sz w:val="18"/>
                <w:szCs w:val="18"/>
                <w:color w:val="auto"/>
                <w:w w:val="99"/>
              </w:rPr>
              <w:t>any Charges or any amortization thereof related to any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Equity Offering, Permitted</w:t>
            </w:r>
          </w:p>
        </w:tc>
      </w:tr>
      <w:tr>
        <w:trPr>
          <w:trHeight w:val="189"/>
        </w:trPr>
        <w:tc>
          <w:tcPr>
            <w:tcW w:w="520" w:type="dxa"/>
            <w:vAlign w:val="bottom"/>
          </w:tcPr>
          <w:p>
            <w:pPr>
              <w:spacing w:after="0"/>
              <w:rPr>
                <w:sz w:val="16"/>
                <w:szCs w:val="16"/>
                <w:color w:val="auto"/>
              </w:rPr>
            </w:pPr>
          </w:p>
        </w:tc>
        <w:tc>
          <w:tcPr>
            <w:tcW w:w="39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Investment, acquisition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(including earn-out provisions) or disposition, recapitalization or the incurrence</w:t>
            </w: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or refinancing of Indebtedness permitted to be incurred by the Facilities</w:t>
            </w: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including a refinancing thereof or preparation for an initial public offering (in</w:t>
            </w: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each case, whether or not consummated) for such period, including (i) such</w:t>
            </w:r>
          </w:p>
        </w:tc>
      </w:tr>
      <w:tr>
        <w:trPr>
          <w:trHeight w:val="201"/>
        </w:trPr>
        <w:tc>
          <w:tcPr>
            <w:tcW w:w="520" w:type="dxa"/>
            <w:vAlign w:val="bottom"/>
          </w:tcPr>
          <w:p>
            <w:pPr>
              <w:spacing w:after="0"/>
              <w:rPr>
                <w:sz w:val="17"/>
                <w:szCs w:val="17"/>
                <w:color w:val="auto"/>
              </w:rPr>
            </w:pPr>
          </w:p>
        </w:tc>
        <w:tc>
          <w:tcPr>
            <w:tcW w:w="7280" w:type="dxa"/>
            <w:vAlign w:val="bottom"/>
            <w:gridSpan w:val="10"/>
          </w:tcPr>
          <w:p>
            <w:pPr>
              <w:ind w:left="140"/>
              <w:spacing w:after="0" w:line="201" w:lineRule="exact"/>
              <w:rPr>
                <w:sz w:val="20"/>
                <w:szCs w:val="20"/>
                <w:color w:val="auto"/>
              </w:rPr>
            </w:pPr>
            <w:r>
              <w:rPr>
                <w:rFonts w:ascii="Arial" w:cs="Arial" w:eastAsia="Arial" w:hAnsi="Arial"/>
                <w:sz w:val="18"/>
                <w:szCs w:val="18"/>
                <w:color w:val="auto"/>
              </w:rPr>
              <w:t>Charges related to the Facilities and (ii) any amendment or other modification to</w:t>
            </w:r>
          </w:p>
        </w:tc>
      </w:tr>
      <w:tr>
        <w:trPr>
          <w:trHeight w:val="234"/>
        </w:trPr>
        <w:tc>
          <w:tcPr>
            <w:tcW w:w="520" w:type="dxa"/>
            <w:vAlign w:val="bottom"/>
          </w:tcPr>
          <w:p>
            <w:pPr>
              <w:spacing w:after="0"/>
              <w:rPr>
                <w:sz w:val="20"/>
                <w:szCs w:val="20"/>
                <w:color w:val="auto"/>
              </w:rPr>
            </w:pPr>
          </w:p>
        </w:tc>
        <w:tc>
          <w:tcPr>
            <w:tcW w:w="7280" w:type="dxa"/>
            <w:vAlign w:val="bottom"/>
            <w:gridSpan w:val="10"/>
          </w:tcPr>
          <w:p>
            <w:pPr>
              <w:ind w:left="140"/>
              <w:spacing w:after="0"/>
              <w:rPr>
                <w:sz w:val="20"/>
                <w:szCs w:val="20"/>
                <w:color w:val="auto"/>
              </w:rPr>
            </w:pPr>
            <w:r>
              <w:rPr>
                <w:rFonts w:ascii="Arial" w:cs="Arial" w:eastAsia="Arial" w:hAnsi="Arial"/>
                <w:sz w:val="18"/>
                <w:szCs w:val="18"/>
                <w:color w:val="auto"/>
              </w:rPr>
              <w:t>the terms of any such transactions shall, in each case, be excluded;</w:t>
            </w:r>
          </w:p>
        </w:tc>
      </w:tr>
      <w:tr>
        <w:trPr>
          <w:trHeight w:val="460"/>
        </w:trPr>
        <w:tc>
          <w:tcPr>
            <w:tcW w:w="520" w:type="dxa"/>
            <w:vAlign w:val="bottom"/>
          </w:tcPr>
          <w:p>
            <w:pPr>
              <w:jc w:val="right"/>
              <w:ind w:right="68"/>
              <w:spacing w:after="0"/>
              <w:rPr>
                <w:sz w:val="20"/>
                <w:szCs w:val="20"/>
                <w:color w:val="auto"/>
              </w:rPr>
            </w:pPr>
            <w:r>
              <w:rPr>
                <w:rFonts w:ascii="Arial" w:cs="Arial" w:eastAsia="Arial" w:hAnsi="Arial"/>
                <w:sz w:val="18"/>
                <w:szCs w:val="18"/>
                <w:color w:val="auto"/>
                <w:w w:val="99"/>
              </w:rPr>
              <w:t>(xiv)</w:t>
            </w:r>
          </w:p>
        </w:tc>
        <w:tc>
          <w:tcPr>
            <w:tcW w:w="4520" w:type="dxa"/>
            <w:vAlign w:val="bottom"/>
            <w:gridSpan w:val="7"/>
          </w:tcPr>
          <w:p>
            <w:pPr>
              <w:ind w:left="140"/>
              <w:spacing w:after="0"/>
              <w:rPr>
                <w:sz w:val="20"/>
                <w:szCs w:val="20"/>
                <w:color w:val="auto"/>
              </w:rPr>
            </w:pPr>
            <w:r>
              <w:rPr>
                <w:rFonts w:ascii="Arial" w:cs="Arial" w:eastAsia="Arial" w:hAnsi="Arial"/>
                <w:sz w:val="18"/>
                <w:szCs w:val="18"/>
                <w:color w:val="auto"/>
                <w:w w:val="97"/>
              </w:rPr>
              <w:t>(i) any non-cash compensation expense realized from $</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w w:val="92"/>
              </w:rPr>
              <w:t>employee benefit plans or other post-</w:t>
            </w:r>
          </w:p>
        </w:tc>
      </w:tr>
      <w:tr>
        <w:trPr>
          <w:trHeight w:val="205"/>
        </w:trPr>
        <w:tc>
          <w:tcPr>
            <w:tcW w:w="520" w:type="dxa"/>
            <w:vAlign w:val="bottom"/>
          </w:tcPr>
          <w:p>
            <w:pPr>
              <w:spacing w:after="0"/>
              <w:rPr>
                <w:sz w:val="17"/>
                <w:szCs w:val="17"/>
                <w:color w:val="auto"/>
              </w:rPr>
            </w:pPr>
          </w:p>
        </w:tc>
        <w:tc>
          <w:tcPr>
            <w:tcW w:w="392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employment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jc w:val="both"/>
        <w:ind w:left="1680" w:right="1359"/>
        <w:spacing w:after="0" w:line="236" w:lineRule="auto"/>
        <w:rPr>
          <w:sz w:val="20"/>
          <w:szCs w:val="20"/>
          <w:color w:val="auto"/>
        </w:rPr>
      </w:pPr>
      <w:r>
        <w:rPr>
          <w:rFonts w:ascii="Arial" w:cs="Arial" w:eastAsia="Arial" w:hAnsi="Arial"/>
          <w:sz w:val="18"/>
          <w:szCs w:val="18"/>
          <w:color w:val="auto"/>
        </w:rPr>
        <w:t>benefit plans or recorded from grants of stock appreciation or similar rights, phantom equity, stock options, restricted stock or other rights to officers, directors, managers or employees and management compensation plans or equity incentive programs or the treatment of such options under variable plan accounting and (ii) non-cash income (loss)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421005</wp:posOffset>
            </wp:positionV>
            <wp:extent cx="454025" cy="1670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326" w:name="page327"/>
    <w:bookmarkEnd w:id="326"/>
    <w:tbl>
      <w:tblPr>
        <w:tblLayout w:type="fixed"/>
        <w:tblInd w:w="10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to deferred compensation plans or trusts;</w:t>
            </w:r>
          </w:p>
        </w:tc>
        <w:tc>
          <w:tcPr>
            <w:tcW w:w="2620" w:type="dxa"/>
            <w:vAlign w:val="bottom"/>
          </w:tcPr>
          <w:p>
            <w:pPr>
              <w:spacing w:after="0"/>
              <w:rPr>
                <w:sz w:val="20"/>
                <w:szCs w:val="20"/>
                <w:color w:val="auto"/>
              </w:rPr>
            </w:pPr>
          </w:p>
        </w:tc>
      </w:tr>
      <w:tr>
        <w:trPr>
          <w:trHeight w:val="460"/>
        </w:trPr>
        <w:tc>
          <w:tcPr>
            <w:tcW w:w="460" w:type="dxa"/>
            <w:vAlign w:val="bottom"/>
          </w:tcPr>
          <w:p>
            <w:pPr>
              <w:spacing w:after="0"/>
              <w:rPr>
                <w:sz w:val="20"/>
                <w:szCs w:val="20"/>
                <w:color w:val="auto"/>
              </w:rPr>
            </w:pPr>
            <w:r>
              <w:rPr>
                <w:rFonts w:ascii="Arial" w:cs="Arial" w:eastAsia="Arial" w:hAnsi="Arial"/>
                <w:sz w:val="18"/>
                <w:szCs w:val="18"/>
                <w:color w:val="auto"/>
              </w:rPr>
              <w:t>(xv)</w:t>
            </w: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any (x) Charges that are covered by indemnification or $</w:t>
            </w:r>
          </w:p>
        </w:tc>
        <w:tc>
          <w:tcPr>
            <w:tcW w:w="2620" w:type="dxa"/>
            <w:vAlign w:val="bottom"/>
          </w:tcPr>
          <w:p>
            <w:pPr>
              <w:ind w:left="60"/>
              <w:spacing w:after="0"/>
              <w:rPr>
                <w:sz w:val="20"/>
                <w:szCs w:val="20"/>
                <w:color w:val="auto"/>
              </w:rPr>
            </w:pPr>
            <w:r>
              <w:rPr>
                <w:rFonts w:ascii="Arial" w:cs="Arial" w:eastAsia="Arial" w:hAnsi="Arial"/>
                <w:sz w:val="18"/>
                <w:szCs w:val="18"/>
                <w:color w:val="auto"/>
                <w:w w:val="93"/>
              </w:rPr>
              <w:t>other reimbursement provisions in</w:t>
            </w:r>
          </w:p>
        </w:tc>
      </w:tr>
      <w:tr>
        <w:trPr>
          <w:trHeight w:val="205"/>
        </w:trPr>
        <w:tc>
          <w:tcPr>
            <w:tcW w:w="460" w:type="dxa"/>
            <w:vAlign w:val="bottom"/>
          </w:tcPr>
          <w:p>
            <w:pPr>
              <w:spacing w:after="0"/>
              <w:rPr>
                <w:sz w:val="17"/>
                <w:szCs w:val="17"/>
                <w:color w:val="auto"/>
              </w:rPr>
            </w:pPr>
          </w:p>
        </w:tc>
        <w:tc>
          <w:tcPr>
            <w:tcW w:w="4400" w:type="dxa"/>
            <w:vAlign w:val="bottom"/>
          </w:tcPr>
          <w:p>
            <w:pPr>
              <w:ind w:left="140"/>
              <w:spacing w:after="0" w:line="205" w:lineRule="exact"/>
              <w:rPr>
                <w:sz w:val="20"/>
                <w:szCs w:val="20"/>
                <w:color w:val="auto"/>
              </w:rPr>
            </w:pPr>
            <w:r>
              <w:rPr>
                <w:rFonts w:ascii="Arial" w:cs="Arial" w:eastAsia="Arial" w:hAnsi="Arial"/>
                <w:sz w:val="18"/>
                <w:szCs w:val="18"/>
                <w:color w:val="auto"/>
              </w:rPr>
              <w:t>connection with</w:t>
            </w:r>
          </w:p>
        </w:tc>
        <w:tc>
          <w:tcPr>
            <w:tcW w:w="260" w:type="dxa"/>
            <w:vAlign w:val="bottom"/>
            <w:tcBorders>
              <w:top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bl>
    <w:p>
      <w:pPr>
        <w:jc w:val="both"/>
        <w:ind w:left="1680" w:right="1359"/>
        <w:spacing w:after="0" w:line="249" w:lineRule="auto"/>
        <w:rPr>
          <w:sz w:val="20"/>
          <w:szCs w:val="20"/>
          <w:color w:val="auto"/>
        </w:rPr>
      </w:pPr>
      <w:r>
        <w:rPr>
          <w:rFonts w:ascii="Arial" w:cs="Arial" w:eastAsia="Arial" w:hAnsi="Arial"/>
          <w:sz w:val="17"/>
          <w:szCs w:val="17"/>
          <w:color w:val="auto"/>
        </w:rPr>
        <w:t>any Investment, acquisition or any sale, conveyance, transfer or other disposition of assets permitted under this Agreement, or (y) Charges with respect to liability or casualty events or business interruption covered by insurance, in each case to the extent actually reimbursed, or, so long as the Borrower has made a determination that reasonable evidence exists that such indemnification or reimbursement will be made, and only to the extent that such amount is (i) not denied by the applicable indemnifying party, obligor or insurer in writing within 365 days after such determination and (ii) in fact indemnified or reimbursed within 365 days after such determination (with a deduction in the applicable future period for any amount so added back to the extent not so indemnified or reimbursed within such 365 day period), shall be excluded;</w:t>
      </w:r>
    </w:p>
    <w:p>
      <w:pPr>
        <w:spacing w:after="0" w:line="273" w:lineRule="exact"/>
        <w:rPr>
          <w:sz w:val="20"/>
          <w:szCs w:val="20"/>
          <w:color w:val="auto"/>
        </w:rPr>
      </w:pPr>
    </w:p>
    <w:p>
      <w:pPr>
        <w:jc w:val="both"/>
        <w:ind w:left="180" w:right="1359"/>
        <w:spacing w:after="0" w:line="25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Net Income of the Borrower and its Restricted Subsidiaries shall be calculated without deducting the income attributable to the minority Equity Interests of third parties in any non-Wholly Owned Subsidiary that is a Restricted Subsidiary except to the extent of dividends declared or paid in respect of such period or any prior period on the shares of Equity Interests of such Restricted Subsidiary held by such third parties shall be included;</w:t>
      </w:r>
    </w:p>
    <w:p>
      <w:pPr>
        <w:spacing w:after="0" w:line="253" w:lineRule="exact"/>
        <w:rPr>
          <w:sz w:val="20"/>
          <w:szCs w:val="20"/>
          <w:color w:val="auto"/>
        </w:rPr>
      </w:pPr>
    </w:p>
    <w:p>
      <w:pPr>
        <w:ind w:left="780"/>
        <w:spacing w:after="0"/>
        <w:tabs>
          <w:tab w:leader="none" w:pos="5760" w:val="left"/>
          <w:tab w:leader="none" w:pos="6080" w:val="left"/>
        </w:tabs>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plus</w:t>
      </w:r>
      <w:r>
        <w:rPr>
          <w:rFonts w:ascii="Arial" w:cs="Arial" w:eastAsia="Arial" w:hAnsi="Arial"/>
          <w:sz w:val="18"/>
          <w:szCs w:val="18"/>
          <w:color w:val="auto"/>
        </w:rPr>
        <w:t>, the sum (without duplication), of the following amounts</w:t>
        <w:tab/>
        <w:t>$</w:t>
      </w:r>
      <w:r>
        <w:rPr>
          <w:sz w:val="20"/>
          <w:szCs w:val="20"/>
          <w:color w:val="auto"/>
        </w:rPr>
        <w:tab/>
      </w:r>
      <w:r>
        <w:rPr>
          <w:rFonts w:ascii="Arial" w:cs="Arial" w:eastAsia="Arial" w:hAnsi="Arial"/>
          <w:sz w:val="16"/>
          <w:szCs w:val="16"/>
          <w:color w:val="auto"/>
        </w:rPr>
        <w:t>for such period, but solely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-8890</wp:posOffset>
            </wp:positionV>
            <wp:extent cx="11684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extent decreasing</w:t>
      </w:r>
    </w:p>
    <w:p>
      <w:pPr>
        <w:ind w:left="1080"/>
        <w:spacing w:after="0" w:line="232" w:lineRule="auto"/>
        <w:rPr>
          <w:sz w:val="20"/>
          <w:szCs w:val="20"/>
          <w:color w:val="auto"/>
        </w:rPr>
      </w:pPr>
      <w:r>
        <w:rPr>
          <w:rFonts w:ascii="Arial" w:cs="Arial" w:eastAsia="Arial" w:hAnsi="Arial"/>
          <w:sz w:val="18"/>
          <w:szCs w:val="18"/>
          <w:color w:val="auto"/>
        </w:rPr>
        <w:t>Consolidated Net Income (except as set forth in clauses (xv) and (xvi) below) for such</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Test Period:</w:t>
      </w:r>
    </w:p>
    <w:p>
      <w:pPr>
        <w:spacing w:after="0" w:line="26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20" w:type="dxa"/>
            <w:vAlign w:val="bottom"/>
          </w:tcPr>
          <w:p>
            <w:pPr>
              <w:jc w:val="right"/>
              <w:ind w:right="68"/>
              <w:spacing w:after="0"/>
              <w:rPr>
                <w:sz w:val="20"/>
                <w:szCs w:val="20"/>
                <w:color w:val="auto"/>
              </w:rPr>
            </w:pPr>
            <w:r>
              <w:rPr>
                <w:rFonts w:ascii="Arial" w:cs="Arial" w:eastAsia="Arial" w:hAnsi="Arial"/>
                <w:sz w:val="18"/>
                <w:szCs w:val="18"/>
                <w:color w:val="auto"/>
              </w:rPr>
              <w:t>(i)</w:t>
            </w:r>
          </w:p>
        </w:tc>
        <w:tc>
          <w:tcPr>
            <w:tcW w:w="4720" w:type="dxa"/>
            <w:vAlign w:val="bottom"/>
            <w:gridSpan w:val="6"/>
          </w:tcPr>
          <w:p>
            <w:pPr>
              <w:ind w:left="140"/>
              <w:spacing w:after="0"/>
              <w:rPr>
                <w:sz w:val="20"/>
                <w:szCs w:val="20"/>
                <w:color w:val="auto"/>
              </w:rPr>
            </w:pPr>
            <w:r>
              <w:rPr>
                <w:rFonts w:ascii="Arial" w:cs="Arial" w:eastAsia="Arial" w:hAnsi="Arial"/>
                <w:sz w:val="18"/>
                <w:szCs w:val="18"/>
                <w:color w:val="auto"/>
              </w:rPr>
              <w:t>Consolidated Interest Expense (and to the extent not $</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w w:val="96"/>
              </w:rPr>
              <w:t>reflected in Consolidated Interest</w:t>
            </w:r>
          </w:p>
        </w:tc>
      </w:tr>
      <w:tr>
        <w:trPr>
          <w:trHeight w:val="189"/>
        </w:trPr>
        <w:tc>
          <w:tcPr>
            <w:tcW w:w="420" w:type="dxa"/>
            <w:vAlign w:val="bottom"/>
          </w:tcPr>
          <w:p>
            <w:pPr>
              <w:spacing w:after="0"/>
              <w:rPr>
                <w:sz w:val="16"/>
                <w:szCs w:val="16"/>
                <w:color w:val="auto"/>
              </w:rPr>
            </w:pPr>
          </w:p>
        </w:tc>
        <w:tc>
          <w:tcPr>
            <w:tcW w:w="432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Expense, all Charges</w:t>
            </w: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01"/>
        </w:trPr>
        <w:tc>
          <w:tcPr>
            <w:tcW w:w="420" w:type="dxa"/>
            <w:vAlign w:val="bottom"/>
          </w:tcPr>
          <w:p>
            <w:pPr>
              <w:spacing w:after="0"/>
              <w:rPr>
                <w:sz w:val="17"/>
                <w:szCs w:val="17"/>
                <w:color w:val="auto"/>
              </w:rPr>
            </w:pPr>
          </w:p>
        </w:tc>
        <w:tc>
          <w:tcPr>
            <w:tcW w:w="7280" w:type="dxa"/>
            <w:vAlign w:val="bottom"/>
            <w:gridSpan w:val="8"/>
          </w:tcPr>
          <w:p>
            <w:pPr>
              <w:ind w:left="140"/>
              <w:spacing w:after="0" w:line="201" w:lineRule="exact"/>
              <w:rPr>
                <w:sz w:val="20"/>
                <w:szCs w:val="20"/>
                <w:color w:val="auto"/>
              </w:rPr>
            </w:pPr>
            <w:r>
              <w:rPr>
                <w:rFonts w:ascii="Arial" w:cs="Arial" w:eastAsia="Arial" w:hAnsi="Arial"/>
                <w:sz w:val="18"/>
                <w:szCs w:val="18"/>
                <w:color w:val="auto"/>
              </w:rPr>
              <w:t>owed with respect to Indebtedness, letters of credit and bankers’ acceptances and</w:t>
            </w:r>
          </w:p>
        </w:tc>
      </w:tr>
      <w:tr>
        <w:trPr>
          <w:trHeight w:val="234"/>
        </w:trPr>
        <w:tc>
          <w:tcPr>
            <w:tcW w:w="420" w:type="dxa"/>
            <w:vAlign w:val="bottom"/>
          </w:tcPr>
          <w:p>
            <w:pPr>
              <w:spacing w:after="0"/>
              <w:rPr>
                <w:sz w:val="20"/>
                <w:szCs w:val="20"/>
                <w:color w:val="auto"/>
              </w:rPr>
            </w:pPr>
          </w:p>
        </w:tc>
        <w:tc>
          <w:tcPr>
            <w:tcW w:w="4720" w:type="dxa"/>
            <w:vAlign w:val="bottom"/>
            <w:gridSpan w:val="6"/>
          </w:tcPr>
          <w:p>
            <w:pPr>
              <w:ind w:left="140"/>
              <w:spacing w:after="0"/>
              <w:rPr>
                <w:sz w:val="20"/>
                <w:szCs w:val="20"/>
                <w:color w:val="auto"/>
              </w:rPr>
            </w:pPr>
            <w:r>
              <w:rPr>
                <w:rFonts w:ascii="Arial" w:cs="Arial" w:eastAsia="Arial" w:hAnsi="Arial"/>
                <w:sz w:val="18"/>
                <w:szCs w:val="18"/>
                <w:color w:val="auto"/>
                <w:w w:val="91"/>
              </w:rPr>
              <w:t>net costs under Swap Agreements in respect of interest rates);</w:t>
            </w: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73"/>
        </w:trPr>
        <w:tc>
          <w:tcPr>
            <w:tcW w:w="420" w:type="dxa"/>
            <w:vAlign w:val="bottom"/>
          </w:tcPr>
          <w:p>
            <w:pPr>
              <w:jc w:val="right"/>
              <w:ind w:right="68"/>
              <w:spacing w:after="0"/>
              <w:rPr>
                <w:sz w:val="20"/>
                <w:szCs w:val="20"/>
                <w:color w:val="auto"/>
              </w:rPr>
            </w:pPr>
            <w:r>
              <w:rPr>
                <w:rFonts w:ascii="Arial" w:cs="Arial" w:eastAsia="Arial" w:hAnsi="Arial"/>
                <w:sz w:val="18"/>
                <w:szCs w:val="18"/>
                <w:color w:val="auto"/>
              </w:rPr>
              <w:t>(ii)</w:t>
            </w:r>
          </w:p>
        </w:tc>
        <w:tc>
          <w:tcPr>
            <w:tcW w:w="3980" w:type="dxa"/>
            <w:vAlign w:val="bottom"/>
          </w:tcPr>
          <w:p>
            <w:pPr>
              <w:ind w:left="140"/>
              <w:spacing w:after="0"/>
              <w:rPr>
                <w:sz w:val="20"/>
                <w:szCs w:val="20"/>
                <w:color w:val="auto"/>
              </w:rPr>
            </w:pPr>
            <w:r>
              <w:rPr>
                <w:rFonts w:ascii="Arial" w:cs="Arial" w:eastAsia="Arial" w:hAnsi="Arial"/>
                <w:sz w:val="18"/>
                <w:szCs w:val="18"/>
                <w:color w:val="auto"/>
                <w:w w:val="94"/>
              </w:rPr>
              <w:t>provisions for Taxes based on income, profits or  $</w:t>
            </w:r>
          </w:p>
        </w:tc>
        <w:tc>
          <w:tcPr>
            <w:tcW w:w="180" w:type="dxa"/>
            <w:vAlign w:val="bottom"/>
            <w:tcBorders>
              <w:bottom w:val="single" w:sz="8" w:color="auto"/>
            </w:tcBorders>
          </w:tcPr>
          <w:p>
            <w:pPr>
              <w:spacing w:after="0"/>
              <w:rPr>
                <w:sz w:val="24"/>
                <w:szCs w:val="24"/>
                <w:color w:val="auto"/>
              </w:rPr>
            </w:pPr>
          </w:p>
        </w:tc>
        <w:tc>
          <w:tcPr>
            <w:tcW w:w="5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9"/>
        </w:trPr>
        <w:tc>
          <w:tcPr>
            <w:tcW w:w="420" w:type="dxa"/>
            <w:vAlign w:val="bottom"/>
          </w:tcPr>
          <w:p>
            <w:pPr>
              <w:spacing w:after="0"/>
              <w:rPr>
                <w:sz w:val="16"/>
                <w:szCs w:val="16"/>
                <w:color w:val="auto"/>
              </w:rPr>
            </w:pPr>
          </w:p>
        </w:tc>
        <w:tc>
          <w:tcPr>
            <w:tcW w:w="416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capital  (including  federal,  foreign,  state,  local,</w:t>
            </w:r>
          </w:p>
        </w:tc>
        <w:tc>
          <w:tcPr>
            <w:tcW w:w="32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4720" w:type="dxa"/>
            <w:vAlign w:val="bottom"/>
            <w:gridSpan w:val="6"/>
          </w:tcPr>
          <w:p>
            <w:pPr>
              <w:ind w:left="140"/>
              <w:spacing w:after="0"/>
              <w:rPr>
                <w:sz w:val="20"/>
                <w:szCs w:val="20"/>
                <w:color w:val="auto"/>
              </w:rPr>
            </w:pPr>
            <w:r>
              <w:rPr>
                <w:rFonts w:ascii="Arial" w:cs="Arial" w:eastAsia="Arial" w:hAnsi="Arial"/>
                <w:sz w:val="18"/>
                <w:szCs w:val="18"/>
                <w:color w:val="auto"/>
                <w:w w:val="94"/>
              </w:rPr>
              <w:t>franchise, excise, and similar Taxes), and stamp duty Taxes;</w:t>
            </w: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73"/>
        </w:trPr>
        <w:tc>
          <w:tcPr>
            <w:tcW w:w="420" w:type="dxa"/>
            <w:vAlign w:val="bottom"/>
          </w:tcPr>
          <w:p>
            <w:pPr>
              <w:jc w:val="right"/>
              <w:ind w:right="68"/>
              <w:spacing w:after="0"/>
              <w:rPr>
                <w:sz w:val="20"/>
                <w:szCs w:val="20"/>
                <w:color w:val="auto"/>
              </w:rPr>
            </w:pPr>
            <w:r>
              <w:rPr>
                <w:rFonts w:ascii="Arial" w:cs="Arial" w:eastAsia="Arial" w:hAnsi="Arial"/>
                <w:sz w:val="18"/>
                <w:szCs w:val="18"/>
                <w:color w:val="auto"/>
                <w:w w:val="99"/>
              </w:rPr>
              <w:t>(iii)</w:t>
            </w:r>
          </w:p>
        </w:tc>
        <w:tc>
          <w:tcPr>
            <w:tcW w:w="4720" w:type="dxa"/>
            <w:vAlign w:val="bottom"/>
            <w:gridSpan w:val="6"/>
          </w:tcPr>
          <w:p>
            <w:pPr>
              <w:ind w:left="140"/>
              <w:spacing w:after="0"/>
              <w:rPr>
                <w:sz w:val="20"/>
                <w:szCs w:val="20"/>
                <w:color w:val="auto"/>
              </w:rPr>
            </w:pPr>
            <w:r>
              <w:rPr>
                <w:rFonts w:ascii="Arial" w:cs="Arial" w:eastAsia="Arial" w:hAnsi="Arial"/>
                <w:sz w:val="18"/>
                <w:szCs w:val="18"/>
                <w:color w:val="auto"/>
              </w:rPr>
              <w:t>total depreciation and amortization Charges (including $</w:t>
            </w:r>
          </w:p>
        </w:tc>
        <w:tc>
          <w:tcPr>
            <w:tcW w:w="1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amortization or impairment of</w:t>
            </w:r>
          </w:p>
        </w:tc>
      </w:tr>
      <w:tr>
        <w:trPr>
          <w:trHeight w:val="205"/>
        </w:trPr>
        <w:tc>
          <w:tcPr>
            <w:tcW w:w="420" w:type="dxa"/>
            <w:vAlign w:val="bottom"/>
          </w:tcPr>
          <w:p>
            <w:pPr>
              <w:spacing w:after="0"/>
              <w:rPr>
                <w:sz w:val="17"/>
                <w:szCs w:val="17"/>
                <w:color w:val="auto"/>
              </w:rPr>
            </w:pPr>
          </w:p>
        </w:tc>
        <w:tc>
          <w:tcPr>
            <w:tcW w:w="4480" w:type="dxa"/>
            <w:vAlign w:val="bottom"/>
            <w:gridSpan w:val="4"/>
          </w:tcPr>
          <w:p>
            <w:pPr>
              <w:ind w:left="140"/>
              <w:spacing w:after="0" w:line="205" w:lineRule="exact"/>
              <w:rPr>
                <w:sz w:val="20"/>
                <w:szCs w:val="20"/>
                <w:color w:val="auto"/>
              </w:rPr>
            </w:pPr>
            <w:r>
              <w:rPr>
                <w:rFonts w:ascii="Arial" w:cs="Arial" w:eastAsia="Arial" w:hAnsi="Arial"/>
                <w:sz w:val="18"/>
                <w:szCs w:val="18"/>
                <w:color w:val="auto"/>
              </w:rPr>
              <w:t>intangibles (including</w:t>
            </w:r>
          </w:p>
        </w:tc>
        <w:tc>
          <w:tcPr>
            <w:tcW w:w="24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0" w:type="dxa"/>
            <w:vAlign w:val="bottom"/>
          </w:tcPr>
          <w:p>
            <w:pPr>
              <w:spacing w:after="0"/>
              <w:rPr>
                <w:sz w:val="17"/>
                <w:szCs w:val="17"/>
                <w:color w:val="auto"/>
              </w:rPr>
            </w:pPr>
          </w:p>
        </w:tc>
      </w:tr>
    </w:tbl>
    <w:p>
      <w:pPr>
        <w:ind w:left="1680" w:right="1359"/>
        <w:spacing w:after="0" w:line="245" w:lineRule="auto"/>
        <w:rPr>
          <w:sz w:val="20"/>
          <w:szCs w:val="20"/>
          <w:color w:val="auto"/>
        </w:rPr>
      </w:pPr>
      <w:r>
        <w:rPr>
          <w:rFonts w:ascii="Arial" w:cs="Arial" w:eastAsia="Arial" w:hAnsi="Arial"/>
          <w:sz w:val="18"/>
          <w:szCs w:val="18"/>
          <w:color w:val="auto"/>
        </w:rPr>
        <w:t>goodwill) and organization Charges but excluding amortization expense attributable to a prepaid cash item that was paid in a prior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408940</wp:posOffset>
            </wp:positionV>
            <wp:extent cx="454025" cy="1670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327" w:name="page328"/>
    <w:bookmarkEnd w:id="327"/>
    <w:tbl>
      <w:tblPr>
        <w:tblLayout w:type="fixed"/>
        <w:tblInd w:w="1060" w:type="dxa"/>
        <w:tblCellMar>
          <w:top w:w="0" w:type="dxa"/>
          <w:left w:w="0" w:type="dxa"/>
          <w:bottom w:w="0" w:type="dxa"/>
          <w:right w:w="0" w:type="dxa"/>
        </w:tblCellMar>
      </w:tblPr>
      <w:tr>
        <w:trPr>
          <w:trHeight w:val="207"/>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(iv)</w:t>
            </w:r>
          </w:p>
        </w:tc>
        <w:tc>
          <w:tcPr>
            <w:tcW w:w="4180" w:type="dxa"/>
            <w:vAlign w:val="bottom"/>
            <w:gridSpan w:val="10"/>
          </w:tcPr>
          <w:p>
            <w:pPr>
              <w:ind w:left="140"/>
              <w:spacing w:after="0"/>
              <w:rPr>
                <w:sz w:val="20"/>
                <w:szCs w:val="20"/>
                <w:color w:val="auto"/>
              </w:rPr>
            </w:pPr>
            <w:r>
              <w:rPr>
                <w:rFonts w:ascii="Arial" w:cs="Arial" w:eastAsia="Arial" w:hAnsi="Arial"/>
                <w:sz w:val="18"/>
                <w:szCs w:val="18"/>
                <w:color w:val="auto"/>
                <w:w w:val="95"/>
              </w:rPr>
              <w:t>adjustments and add-backs of the type identified in $</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gridSpan w:val="6"/>
          </w:tcPr>
          <w:p>
            <w:pPr>
              <w:jc w:val="right"/>
              <w:spacing w:after="0"/>
              <w:rPr>
                <w:sz w:val="20"/>
                <w:szCs w:val="20"/>
                <w:color w:val="auto"/>
              </w:rPr>
            </w:pPr>
            <w:r>
              <w:rPr>
                <w:rFonts w:ascii="Arial" w:cs="Arial" w:eastAsia="Arial" w:hAnsi="Arial"/>
                <w:sz w:val="18"/>
                <w:szCs w:val="18"/>
                <w:color w:val="auto"/>
                <w:w w:val="93"/>
              </w:rPr>
              <w:t>any quality of earnings report prepared</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6"/>
          </w:tcPr>
          <w:p>
            <w:pPr>
              <w:spacing w:after="0" w:line="189" w:lineRule="exact"/>
              <w:rPr>
                <w:sz w:val="20"/>
                <w:szCs w:val="20"/>
                <w:color w:val="auto"/>
              </w:rPr>
            </w:pPr>
            <w:r>
              <w:rPr>
                <w:rFonts w:ascii="Arial" w:cs="Arial" w:eastAsia="Arial" w:hAnsi="Arial"/>
                <w:sz w:val="18"/>
                <w:szCs w:val="18"/>
                <w:color w:val="auto"/>
              </w:rPr>
              <w:t>by independent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public  accountants  of  nationally  recognized  standing  delivered  to  the</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Administrative Agent in connection with any Permitted Acquisition or other</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Investment permitted hereunder, excluding any such adjustments and add-backs</w:t>
            </w: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140" w:type="dxa"/>
            <w:vAlign w:val="bottom"/>
            <w:gridSpan w:val="17"/>
          </w:tcPr>
          <w:p>
            <w:pPr>
              <w:spacing w:after="0" w:line="193" w:lineRule="exact"/>
              <w:rPr>
                <w:sz w:val="20"/>
                <w:szCs w:val="20"/>
                <w:color w:val="auto"/>
              </w:rPr>
            </w:pPr>
            <w:r>
              <w:rPr>
                <w:rFonts w:ascii="Arial" w:cs="Arial" w:eastAsia="Arial" w:hAnsi="Arial"/>
                <w:sz w:val="18"/>
                <w:szCs w:val="18"/>
                <w:color w:val="auto"/>
              </w:rPr>
              <w:t>relating to revenue enhancements, run rate projections, and synergies; provided,</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920" w:type="dxa"/>
            <w:vAlign w:val="bottom"/>
            <w:gridSpan w:val="16"/>
          </w:tcPr>
          <w:p>
            <w:pPr>
              <w:spacing w:after="0" w:line="181" w:lineRule="exact"/>
              <w:rPr>
                <w:sz w:val="20"/>
                <w:szCs w:val="20"/>
                <w:color w:val="auto"/>
              </w:rPr>
            </w:pPr>
            <w:r>
              <w:rPr>
                <w:rFonts w:ascii="Arial" w:cs="Arial" w:eastAsia="Arial" w:hAnsi="Arial"/>
                <w:sz w:val="18"/>
                <w:szCs w:val="18"/>
                <w:color w:val="auto"/>
                <w:w w:val="91"/>
              </w:rPr>
              <w:t>that, the aggregate amount added back pursuant to this clause (iv), together with</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the</w:t>
            </w:r>
          </w:p>
        </w:tc>
        <w:tc>
          <w:tcPr>
            <w:tcW w:w="6860" w:type="dxa"/>
            <w:vAlign w:val="bottom"/>
            <w:gridSpan w:val="16"/>
          </w:tcPr>
          <w:p>
            <w:pPr>
              <w:jc w:val="right"/>
              <w:ind w:right="1160"/>
              <w:spacing w:after="0" w:line="189" w:lineRule="exact"/>
              <w:rPr>
                <w:sz w:val="20"/>
                <w:szCs w:val="20"/>
                <w:color w:val="auto"/>
              </w:rPr>
            </w:pPr>
            <w:r>
              <w:rPr>
                <w:rFonts w:ascii="Arial" w:cs="Arial" w:eastAsia="Arial" w:hAnsi="Arial"/>
                <w:sz w:val="18"/>
                <w:szCs w:val="18"/>
                <w:color w:val="auto"/>
                <w:w w:val="95"/>
              </w:rPr>
              <w:t>aggregate amount added back pursuant to clause (xv) and the definition of</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“Pro  Forma  Basis”,  shall  not  exceed  30.0%  of  Consolidated  CEBITDA</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(calculated on a Pro Forma Basis after giving effect to such add-back) for such</w:t>
            </w: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140" w:type="dxa"/>
            <w:vAlign w:val="bottom"/>
            <w:gridSpan w:val="17"/>
          </w:tcPr>
          <w:p>
            <w:pPr>
              <w:spacing w:after="0" w:line="193" w:lineRule="exact"/>
              <w:rPr>
                <w:sz w:val="20"/>
                <w:szCs w:val="20"/>
                <w:color w:val="auto"/>
              </w:rPr>
            </w:pPr>
            <w:r>
              <w:rPr>
                <w:rFonts w:ascii="Arial" w:cs="Arial" w:eastAsia="Arial" w:hAnsi="Arial"/>
                <w:sz w:val="18"/>
                <w:szCs w:val="18"/>
                <w:color w:val="auto"/>
              </w:rPr>
              <w:t>Test Period; provided, further, that adjustments and add-backs included in any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such quality</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160" w:type="dxa"/>
            <w:vAlign w:val="bottom"/>
            <w:gridSpan w:val="15"/>
          </w:tcPr>
          <w:p>
            <w:pPr>
              <w:jc w:val="right"/>
              <w:ind w:right="1160"/>
              <w:spacing w:after="0" w:line="189" w:lineRule="exact"/>
              <w:rPr>
                <w:sz w:val="20"/>
                <w:szCs w:val="20"/>
                <w:color w:val="auto"/>
              </w:rPr>
            </w:pPr>
            <w:r>
              <w:rPr>
                <w:rFonts w:ascii="Arial" w:cs="Arial" w:eastAsia="Arial" w:hAnsi="Arial"/>
                <w:sz w:val="18"/>
                <w:szCs w:val="18"/>
                <w:color w:val="auto"/>
                <w:w w:val="95"/>
              </w:rPr>
              <w:t>of earnings report relating to excess commissions, incentives and</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personal expenses, shareholder compensation and shareholder- related expenses</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17"/>
          </w:tcPr>
          <w:p>
            <w:pPr>
              <w:spacing w:after="0"/>
              <w:rPr>
                <w:sz w:val="20"/>
                <w:szCs w:val="20"/>
                <w:color w:val="auto"/>
              </w:rPr>
            </w:pPr>
            <w:r>
              <w:rPr>
                <w:rFonts w:ascii="Arial" w:cs="Arial" w:eastAsia="Arial" w:hAnsi="Arial"/>
                <w:sz w:val="18"/>
                <w:szCs w:val="18"/>
                <w:color w:val="auto"/>
              </w:rPr>
              <w:t>shall not be subject to the cap set forth in the preceding proviso;</w:t>
            </w:r>
          </w:p>
        </w:tc>
        <w:tc>
          <w:tcPr>
            <w:tcW w:w="0" w:type="dxa"/>
            <w:vAlign w:val="bottom"/>
          </w:tcPr>
          <w:p>
            <w:pPr>
              <w:spacing w:after="0"/>
              <w:rPr>
                <w:sz w:val="1"/>
                <w:szCs w:val="1"/>
                <w:color w:val="auto"/>
              </w:rPr>
            </w:pPr>
          </w:p>
        </w:tc>
      </w:tr>
      <w:tr>
        <w:trPr>
          <w:trHeight w:val="473"/>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(v)</w:t>
            </w:r>
          </w:p>
        </w:tc>
        <w:tc>
          <w:tcPr>
            <w:tcW w:w="4180" w:type="dxa"/>
            <w:vAlign w:val="bottom"/>
            <w:gridSpan w:val="10"/>
          </w:tcPr>
          <w:p>
            <w:pPr>
              <w:ind w:left="140"/>
              <w:spacing w:after="0"/>
              <w:rPr>
                <w:sz w:val="20"/>
                <w:szCs w:val="20"/>
                <w:color w:val="auto"/>
              </w:rPr>
            </w:pPr>
            <w:r>
              <w:rPr>
                <w:rFonts w:ascii="Arial" w:cs="Arial" w:eastAsia="Arial" w:hAnsi="Arial"/>
                <w:sz w:val="18"/>
                <w:szCs w:val="18"/>
                <w:color w:val="auto"/>
                <w:w w:val="92"/>
              </w:rPr>
              <w:t>business interruption insurance proceeds to the extent</w:t>
            </w:r>
          </w:p>
        </w:tc>
        <w:tc>
          <w:tcPr>
            <w:tcW w:w="2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40" w:type="dxa"/>
            <w:vAlign w:val="bottom"/>
            <w:gridSpan w:val="4"/>
          </w:tcPr>
          <w:p>
            <w:pPr>
              <w:jc w:val="right"/>
              <w:ind w:right="380"/>
              <w:spacing w:after="0"/>
              <w:rPr>
                <w:sz w:val="20"/>
                <w:szCs w:val="20"/>
                <w:color w:val="auto"/>
              </w:rPr>
            </w:pPr>
            <w:r>
              <w:rPr>
                <w:rFonts w:ascii="Arial" w:cs="Arial" w:eastAsia="Arial" w:hAnsi="Arial"/>
                <w:sz w:val="18"/>
                <w:szCs w:val="18"/>
                <w:color w:val="auto"/>
                <w:w w:val="91"/>
              </w:rPr>
              <w:t>covered by insurance proceeds,</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6"/>
          </w:tcPr>
          <w:p>
            <w:pPr>
              <w:spacing w:after="0" w:line="189" w:lineRule="exact"/>
              <w:rPr>
                <w:sz w:val="20"/>
                <w:szCs w:val="20"/>
                <w:color w:val="auto"/>
              </w:rPr>
            </w:pPr>
            <w:r>
              <w:rPr>
                <w:rFonts w:ascii="Arial" w:cs="Arial" w:eastAsia="Arial" w:hAnsi="Arial"/>
                <w:sz w:val="18"/>
                <w:szCs w:val="18"/>
                <w:color w:val="auto"/>
              </w:rPr>
              <w:t>losses in connection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17"/>
          </w:tcPr>
          <w:p>
            <w:pPr>
              <w:spacing w:after="0"/>
              <w:rPr>
                <w:sz w:val="20"/>
                <w:szCs w:val="20"/>
                <w:color w:val="auto"/>
              </w:rPr>
            </w:pPr>
            <w:r>
              <w:rPr>
                <w:rFonts w:ascii="Arial" w:cs="Arial" w:eastAsia="Arial" w:hAnsi="Arial"/>
                <w:sz w:val="18"/>
                <w:szCs w:val="18"/>
                <w:color w:val="auto"/>
              </w:rPr>
              <w:t>with casualty events, in each case to the extent actually received in cash;</w:t>
            </w:r>
          </w:p>
        </w:tc>
        <w:tc>
          <w:tcPr>
            <w:tcW w:w="0" w:type="dxa"/>
            <w:vAlign w:val="bottom"/>
          </w:tcPr>
          <w:p>
            <w:pPr>
              <w:spacing w:after="0"/>
              <w:rPr>
                <w:sz w:val="1"/>
                <w:szCs w:val="1"/>
                <w:color w:val="auto"/>
              </w:rPr>
            </w:pPr>
          </w:p>
        </w:tc>
      </w:tr>
      <w:tr>
        <w:trPr>
          <w:trHeight w:val="473"/>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(vi)</w:t>
            </w:r>
          </w:p>
        </w:tc>
        <w:tc>
          <w:tcPr>
            <w:tcW w:w="4540" w:type="dxa"/>
            <w:vAlign w:val="bottom"/>
            <w:gridSpan w:val="14"/>
          </w:tcPr>
          <w:p>
            <w:pPr>
              <w:ind w:left="140"/>
              <w:spacing w:after="0"/>
              <w:rPr>
                <w:sz w:val="20"/>
                <w:szCs w:val="20"/>
                <w:color w:val="auto"/>
              </w:rPr>
            </w:pPr>
            <w:r>
              <w:rPr>
                <w:rFonts w:ascii="Arial" w:cs="Arial" w:eastAsia="Arial" w:hAnsi="Arial"/>
                <w:sz w:val="18"/>
                <w:szCs w:val="18"/>
                <w:color w:val="auto"/>
                <w:w w:val="95"/>
              </w:rPr>
              <w:t>non-cash Charges for employee compensation plans or $</w:t>
            </w:r>
          </w:p>
        </w:tc>
        <w:tc>
          <w:tcPr>
            <w:tcW w:w="26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w w:val="96"/>
              </w:rPr>
              <w:t>other non-cash Charges, arising</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6"/>
          </w:tcPr>
          <w:p>
            <w:pPr>
              <w:spacing w:after="0" w:line="189" w:lineRule="exact"/>
              <w:rPr>
                <w:sz w:val="20"/>
                <w:szCs w:val="20"/>
                <w:color w:val="auto"/>
              </w:rPr>
            </w:pPr>
            <w:r>
              <w:rPr>
                <w:rFonts w:ascii="Arial" w:cs="Arial" w:eastAsia="Arial" w:hAnsi="Arial"/>
                <w:sz w:val="18"/>
                <w:szCs w:val="18"/>
                <w:color w:val="auto"/>
              </w:rPr>
              <w:t>from the sale or</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issuance of Equity Interests, the granting of options for Equity Interests, the</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granting of appreciation rights and similar arrangements in respect of Equity</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17"/>
          </w:tcPr>
          <w:p>
            <w:pPr>
              <w:spacing w:after="0" w:line="201" w:lineRule="exact"/>
              <w:rPr>
                <w:sz w:val="20"/>
                <w:szCs w:val="20"/>
                <w:color w:val="auto"/>
              </w:rPr>
            </w:pPr>
            <w:r>
              <w:rPr>
                <w:rFonts w:ascii="Arial" w:cs="Arial" w:eastAsia="Arial" w:hAnsi="Arial"/>
                <w:sz w:val="18"/>
                <w:szCs w:val="18"/>
                <w:color w:val="auto"/>
              </w:rPr>
              <w:t>Interests (including any repricing, amendment, modification, substitution or</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17"/>
          </w:tcPr>
          <w:p>
            <w:pPr>
              <w:spacing w:after="0"/>
              <w:rPr>
                <w:sz w:val="20"/>
                <w:szCs w:val="20"/>
                <w:color w:val="auto"/>
              </w:rPr>
            </w:pPr>
            <w:r>
              <w:rPr>
                <w:rFonts w:ascii="Arial" w:cs="Arial" w:eastAsia="Arial" w:hAnsi="Arial"/>
                <w:sz w:val="18"/>
                <w:szCs w:val="18"/>
                <w:color w:val="auto"/>
              </w:rPr>
              <w:t>change of any such Equity Interests or similar arrangements);</w:t>
            </w:r>
          </w:p>
        </w:tc>
        <w:tc>
          <w:tcPr>
            <w:tcW w:w="0" w:type="dxa"/>
            <w:vAlign w:val="bottom"/>
          </w:tcPr>
          <w:p>
            <w:pPr>
              <w:spacing w:after="0"/>
              <w:rPr>
                <w:sz w:val="1"/>
                <w:szCs w:val="1"/>
                <w:color w:val="auto"/>
              </w:rPr>
            </w:pPr>
          </w:p>
        </w:tc>
      </w:tr>
      <w:tr>
        <w:trPr>
          <w:trHeight w:val="460"/>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(vii)</w:t>
            </w:r>
          </w:p>
        </w:tc>
        <w:tc>
          <w:tcPr>
            <w:tcW w:w="3660" w:type="dxa"/>
            <w:vAlign w:val="bottom"/>
            <w:gridSpan w:val="7"/>
          </w:tcPr>
          <w:p>
            <w:pPr>
              <w:ind w:left="140"/>
              <w:spacing w:after="0"/>
              <w:rPr>
                <w:sz w:val="20"/>
                <w:szCs w:val="20"/>
                <w:color w:val="auto"/>
              </w:rPr>
            </w:pPr>
            <w:r>
              <w:rPr>
                <w:rFonts w:ascii="Arial" w:cs="Arial" w:eastAsia="Arial" w:hAnsi="Arial"/>
                <w:sz w:val="18"/>
                <w:szCs w:val="18"/>
                <w:color w:val="auto"/>
                <w:w w:val="90"/>
              </w:rPr>
              <w:t>(x) Charges and payments that are covered by $</w:t>
            </w:r>
          </w:p>
        </w:tc>
        <w:tc>
          <w:tcPr>
            <w:tcW w:w="220" w:type="dxa"/>
            <w:vAlign w:val="bottom"/>
            <w:tcBorders>
              <w:bottom w:val="single" w:sz="8" w:color="auto"/>
            </w:tcBorders>
          </w:tcPr>
          <w:p>
            <w:pPr>
              <w:spacing w:after="0"/>
              <w:rPr>
                <w:sz w:val="24"/>
                <w:szCs w:val="24"/>
                <w:color w:val="auto"/>
              </w:rPr>
            </w:pPr>
          </w:p>
        </w:tc>
        <w:tc>
          <w:tcPr>
            <w:tcW w:w="3400" w:type="dxa"/>
            <w:vAlign w:val="bottom"/>
            <w:gridSpan w:val="10"/>
          </w:tcPr>
          <w:p>
            <w:pPr>
              <w:jc w:val="right"/>
              <w:ind w:right="20"/>
              <w:spacing w:after="0"/>
              <w:rPr>
                <w:sz w:val="20"/>
                <w:szCs w:val="20"/>
                <w:color w:val="auto"/>
              </w:rPr>
            </w:pPr>
            <w:r>
              <w:rPr>
                <w:rFonts w:ascii="Arial" w:cs="Arial" w:eastAsia="Arial" w:hAnsi="Arial"/>
                <w:sz w:val="18"/>
                <w:szCs w:val="18"/>
                <w:color w:val="auto"/>
                <w:w w:val="94"/>
              </w:rPr>
              <w:t>indemnification or purchase price adjustment</w:t>
            </w:r>
          </w:p>
        </w:tc>
        <w:tc>
          <w:tcPr>
            <w:tcW w:w="0" w:type="dxa"/>
            <w:vAlign w:val="bottom"/>
          </w:tcPr>
          <w:p>
            <w:pPr>
              <w:spacing w:after="0"/>
              <w:rPr>
                <w:sz w:val="1"/>
                <w:szCs w:val="1"/>
                <w:color w:val="auto"/>
              </w:rPr>
            </w:pPr>
          </w:p>
        </w:tc>
      </w:tr>
    </w:tbl>
    <w:p>
      <w:pPr>
        <w:jc w:val="both"/>
        <w:ind w:left="1680" w:right="1359"/>
        <w:spacing w:after="0" w:line="251" w:lineRule="auto"/>
        <w:rPr>
          <w:sz w:val="20"/>
          <w:szCs w:val="20"/>
          <w:color w:val="auto"/>
        </w:rPr>
      </w:pPr>
      <w:r>
        <w:rPr>
          <w:rFonts w:ascii="Arial" w:cs="Arial" w:eastAsia="Arial" w:hAnsi="Arial"/>
          <w:sz w:val="17"/>
          <w:szCs w:val="17"/>
          <w:color w:val="auto"/>
        </w:rPr>
        <w:t>provisions in any agreement entered into in connection with a Permitted Acquisition or proposed acquisition that was reasonably expected to be a Permitted Acquisition, in each case, to the extent actually received in cash and</w:t>
      </w:r>
    </w:p>
    <w:p>
      <w:pPr>
        <w:jc w:val="both"/>
        <w:ind w:left="1680" w:right="1359" w:firstLine="8"/>
        <w:spacing w:after="0" w:line="283" w:lineRule="auto"/>
        <w:tabs>
          <w:tab w:leader="none" w:pos="2103" w:val="left"/>
        </w:tabs>
        <w:numPr>
          <w:ilvl w:val="0"/>
          <w:numId w:val="351"/>
        </w:numPr>
        <w:rPr>
          <w:rFonts w:ascii="Arial" w:cs="Arial" w:eastAsia="Arial" w:hAnsi="Arial"/>
          <w:sz w:val="16"/>
          <w:szCs w:val="16"/>
          <w:color w:val="auto"/>
        </w:rPr>
      </w:pPr>
      <w:r>
        <w:rPr>
          <w:rFonts w:ascii="Arial" w:cs="Arial" w:eastAsia="Arial" w:hAnsi="Arial"/>
          <w:sz w:val="16"/>
          <w:szCs w:val="16"/>
          <w:color w:val="auto"/>
        </w:rPr>
        <w:t>Charges and payments covered by indemnification, insurance, reimbursement, guaranty, purchase price adjustment or similar arrangements to the extent such Charges and payments have been paid or reimbursed in cash;</w:t>
      </w:r>
    </w:p>
    <w:p>
      <w:pPr>
        <w:spacing w:after="0" w:line="23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(viii)</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w w:val="94"/>
              </w:rPr>
              <w:t>earn-outs and other contingent payments in connection  $   with acquisitions, to the extent</w:t>
            </w:r>
          </w:p>
        </w:tc>
      </w:tr>
      <w:tr>
        <w:trPr>
          <w:trHeight w:val="189"/>
        </w:trPr>
        <w:tc>
          <w:tcPr>
            <w:tcW w:w="520" w:type="dxa"/>
            <w:vAlign w:val="bottom"/>
          </w:tcPr>
          <w:p>
            <w:pPr>
              <w:spacing w:after="0"/>
              <w:rPr>
                <w:sz w:val="16"/>
                <w:szCs w:val="16"/>
                <w:color w:val="auto"/>
              </w:rPr>
            </w:pPr>
          </w:p>
        </w:tc>
        <w:tc>
          <w:tcPr>
            <w:tcW w:w="4460" w:type="dxa"/>
            <w:vAlign w:val="bottom"/>
          </w:tcPr>
          <w:p>
            <w:pPr>
              <w:ind w:left="140"/>
              <w:spacing w:after="0" w:line="189" w:lineRule="exact"/>
              <w:rPr>
                <w:sz w:val="20"/>
                <w:szCs w:val="20"/>
                <w:color w:val="auto"/>
              </w:rPr>
            </w:pPr>
            <w:r>
              <w:rPr>
                <w:rFonts w:ascii="Arial" w:cs="Arial" w:eastAsia="Arial" w:hAnsi="Arial"/>
                <w:sz w:val="18"/>
                <w:szCs w:val="18"/>
                <w:color w:val="auto"/>
              </w:rPr>
              <w:t>such earn-outs or</w:t>
            </w:r>
          </w:p>
        </w:tc>
        <w:tc>
          <w:tcPr>
            <w:tcW w:w="180" w:type="dxa"/>
            <w:vAlign w:val="bottom"/>
            <w:tcBorders>
              <w:top w:val="single" w:sz="8" w:color="auto"/>
            </w:tcBorders>
          </w:tcPr>
          <w:p>
            <w:pPr>
              <w:spacing w:after="0"/>
              <w:rPr>
                <w:sz w:val="16"/>
                <w:szCs w:val="16"/>
                <w:color w:val="auto"/>
              </w:rPr>
            </w:pPr>
          </w:p>
        </w:tc>
        <w:tc>
          <w:tcPr>
            <w:tcW w:w="230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payments are expensed on the financial statements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419735</wp:posOffset>
            </wp:positionV>
            <wp:extent cx="454025" cy="1670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11" w:right="1440" w:bottom="1440" w:gutter="0" w:footer="0" w:header="0"/>
        </w:sectPr>
      </w:pPr>
    </w:p>
    <w:bookmarkStart w:id="328" w:name="page329"/>
    <w:bookmarkEnd w:id="328"/>
    <w:tbl>
      <w:tblPr>
        <w:tblLayout w:type="fixed"/>
        <w:tblInd w:w="10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the Borrower and its Subsidiaries;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60"/>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(ix)</w:t>
            </w: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w w:val="89"/>
              </w:rPr>
              <w:t>reasonable expense reimbursements and indemnities $</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color w:val="auto"/>
                <w:w w:val="92"/>
              </w:rPr>
              <w:t>and fees, in each case, of the board of</w:t>
            </w:r>
          </w:p>
        </w:tc>
      </w:tr>
      <w:tr>
        <w:trPr>
          <w:trHeight w:val="189"/>
        </w:trPr>
        <w:tc>
          <w:tcPr>
            <w:tcW w:w="480" w:type="dxa"/>
            <w:vAlign w:val="bottom"/>
          </w:tcPr>
          <w:p>
            <w:pPr>
              <w:spacing w:after="0"/>
              <w:rPr>
                <w:sz w:val="16"/>
                <w:szCs w:val="16"/>
                <w:color w:val="auto"/>
              </w:rPr>
            </w:pPr>
          </w:p>
        </w:tc>
        <w:tc>
          <w:tcPr>
            <w:tcW w:w="41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directors of the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1"/>
        </w:trPr>
        <w:tc>
          <w:tcPr>
            <w:tcW w:w="480" w:type="dxa"/>
            <w:vAlign w:val="bottom"/>
          </w:tcPr>
          <w:p>
            <w:pPr>
              <w:spacing w:after="0"/>
              <w:rPr>
                <w:sz w:val="17"/>
                <w:szCs w:val="17"/>
                <w:color w:val="auto"/>
              </w:rPr>
            </w:pPr>
          </w:p>
        </w:tc>
        <w:tc>
          <w:tcPr>
            <w:tcW w:w="7280" w:type="dxa"/>
            <w:vAlign w:val="bottom"/>
            <w:gridSpan w:val="13"/>
          </w:tcPr>
          <w:p>
            <w:pPr>
              <w:ind w:left="140"/>
              <w:spacing w:after="0" w:line="201" w:lineRule="exact"/>
              <w:rPr>
                <w:sz w:val="20"/>
                <w:szCs w:val="20"/>
                <w:color w:val="auto"/>
              </w:rPr>
            </w:pPr>
            <w:r>
              <w:rPr>
                <w:rFonts w:ascii="Arial" w:cs="Arial" w:eastAsia="Arial" w:hAnsi="Arial"/>
                <w:sz w:val="18"/>
                <w:szCs w:val="18"/>
                <w:color w:val="auto"/>
              </w:rPr>
              <w:t>Borrower and its Subsidiaries paid in cash by the Borrower or its Subsidiaries</w:t>
            </w:r>
          </w:p>
        </w:tc>
      </w:tr>
      <w:tr>
        <w:trPr>
          <w:trHeight w:val="234"/>
        </w:trPr>
        <w:tc>
          <w:tcPr>
            <w:tcW w:w="480" w:type="dxa"/>
            <w:vAlign w:val="bottom"/>
          </w:tcPr>
          <w:p>
            <w:pPr>
              <w:spacing w:after="0"/>
              <w:rPr>
                <w:sz w:val="20"/>
                <w:szCs w:val="20"/>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during such period in an 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60"/>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(x)</w:t>
            </w: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w w:val="94"/>
              </w:rPr>
              <w:t>expense reimbursements paid in cash to Investors or</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6"/>
          </w:tcPr>
          <w:p>
            <w:pPr>
              <w:jc w:val="right"/>
              <w:ind w:right="40"/>
              <w:spacing w:after="0"/>
              <w:rPr>
                <w:sz w:val="20"/>
                <w:szCs w:val="20"/>
                <w:color w:val="auto"/>
              </w:rPr>
            </w:pPr>
            <w:r>
              <w:rPr>
                <w:rFonts w:ascii="Arial" w:cs="Arial" w:eastAsia="Arial" w:hAnsi="Arial"/>
                <w:sz w:val="18"/>
                <w:szCs w:val="18"/>
                <w:color w:val="auto"/>
                <w:w w:val="97"/>
              </w:rPr>
              <w:t>their Affiliates by the Borrower or its</w:t>
            </w:r>
          </w:p>
        </w:tc>
      </w:tr>
      <w:tr>
        <w:trPr>
          <w:trHeight w:val="189"/>
        </w:trPr>
        <w:tc>
          <w:tcPr>
            <w:tcW w:w="480" w:type="dxa"/>
            <w:vAlign w:val="bottom"/>
          </w:tcPr>
          <w:p>
            <w:pPr>
              <w:spacing w:after="0"/>
              <w:rPr>
                <w:sz w:val="16"/>
                <w:szCs w:val="16"/>
                <w:color w:val="auto"/>
              </w:rPr>
            </w:pPr>
          </w:p>
        </w:tc>
        <w:tc>
          <w:tcPr>
            <w:tcW w:w="41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4"/>
        </w:trPr>
        <w:tc>
          <w:tcPr>
            <w:tcW w:w="480" w:type="dxa"/>
            <w:vAlign w:val="bottom"/>
          </w:tcPr>
          <w:p>
            <w:pPr>
              <w:spacing w:after="0"/>
              <w:rPr>
                <w:sz w:val="20"/>
                <w:szCs w:val="20"/>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during such Test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73"/>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(xi)</w:t>
            </w: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w w:val="92"/>
              </w:rPr>
              <w:t>other Charges paid in cash during such Test Period to</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5"/>
          </w:tcPr>
          <w:p>
            <w:pPr>
              <w:jc w:val="right"/>
              <w:ind w:right="700"/>
              <w:spacing w:after="0"/>
              <w:rPr>
                <w:sz w:val="20"/>
                <w:szCs w:val="20"/>
                <w:color w:val="auto"/>
              </w:rPr>
            </w:pPr>
            <w:r>
              <w:rPr>
                <w:rFonts w:ascii="Arial" w:cs="Arial" w:eastAsia="Arial" w:hAnsi="Arial"/>
                <w:sz w:val="18"/>
                <w:szCs w:val="18"/>
                <w:color w:val="auto"/>
                <w:w w:val="90"/>
              </w:rPr>
              <w:t>the extent such Charges are</w:t>
            </w:r>
          </w:p>
        </w:tc>
      </w:tr>
      <w:tr>
        <w:trPr>
          <w:trHeight w:val="189"/>
        </w:trPr>
        <w:tc>
          <w:tcPr>
            <w:tcW w:w="480" w:type="dxa"/>
            <w:vAlign w:val="bottom"/>
          </w:tcPr>
          <w:p>
            <w:pPr>
              <w:spacing w:after="0"/>
              <w:rPr>
                <w:sz w:val="16"/>
                <w:szCs w:val="16"/>
                <w:color w:val="auto"/>
              </w:rPr>
            </w:pPr>
          </w:p>
        </w:tc>
        <w:tc>
          <w:tcPr>
            <w:tcW w:w="41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reimbursed in cash within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1"/>
        </w:trPr>
        <w:tc>
          <w:tcPr>
            <w:tcW w:w="480" w:type="dxa"/>
            <w:vAlign w:val="bottom"/>
          </w:tcPr>
          <w:p>
            <w:pPr>
              <w:spacing w:after="0"/>
              <w:rPr>
                <w:sz w:val="17"/>
                <w:szCs w:val="17"/>
                <w:color w:val="auto"/>
              </w:rPr>
            </w:pPr>
          </w:p>
        </w:tc>
        <w:tc>
          <w:tcPr>
            <w:tcW w:w="7280" w:type="dxa"/>
            <w:vAlign w:val="bottom"/>
            <w:gridSpan w:val="13"/>
          </w:tcPr>
          <w:p>
            <w:pPr>
              <w:ind w:left="140"/>
              <w:spacing w:after="0" w:line="201" w:lineRule="exact"/>
              <w:rPr>
                <w:sz w:val="20"/>
                <w:szCs w:val="20"/>
                <w:color w:val="auto"/>
              </w:rPr>
            </w:pPr>
            <w:r>
              <w:rPr>
                <w:rFonts w:ascii="Arial" w:cs="Arial" w:eastAsia="Arial" w:hAnsi="Arial"/>
                <w:sz w:val="18"/>
                <w:szCs w:val="18"/>
                <w:color w:val="auto"/>
              </w:rPr>
              <w:t>the same period of add-back by third-party Persons, other than the Borrower or</w:t>
            </w:r>
          </w:p>
        </w:tc>
      </w:tr>
      <w:tr>
        <w:trPr>
          <w:trHeight w:val="234"/>
        </w:trPr>
        <w:tc>
          <w:tcPr>
            <w:tcW w:w="480" w:type="dxa"/>
            <w:vAlign w:val="bottom"/>
          </w:tcPr>
          <w:p>
            <w:pPr>
              <w:spacing w:after="0"/>
              <w:rPr>
                <w:sz w:val="20"/>
                <w:szCs w:val="20"/>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its Restricted Subsidiaries;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73"/>
        </w:trPr>
        <w:tc>
          <w:tcPr>
            <w:tcW w:w="480" w:type="dxa"/>
            <w:vAlign w:val="bottom"/>
          </w:tcPr>
          <w:p>
            <w:pPr>
              <w:jc w:val="right"/>
              <w:ind w:right="68"/>
              <w:spacing w:after="0"/>
              <w:rPr>
                <w:sz w:val="20"/>
                <w:szCs w:val="20"/>
                <w:color w:val="auto"/>
              </w:rPr>
            </w:pPr>
            <w:r>
              <w:rPr>
                <w:rFonts w:ascii="Arial" w:cs="Arial" w:eastAsia="Arial" w:hAnsi="Arial"/>
                <w:sz w:val="18"/>
                <w:szCs w:val="18"/>
                <w:color w:val="auto"/>
              </w:rPr>
              <w:t>(xii)</w:t>
            </w: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w w:val="91"/>
              </w:rPr>
              <w:t>consultant fees, advisory fees and management fees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8"/>
          </w:tcPr>
          <w:p>
            <w:pPr>
              <w:jc w:val="right"/>
              <w:spacing w:after="0"/>
              <w:rPr>
                <w:sz w:val="20"/>
                <w:szCs w:val="20"/>
                <w:color w:val="auto"/>
              </w:rPr>
            </w:pPr>
            <w:r>
              <w:rPr>
                <w:rFonts w:ascii="Arial" w:cs="Arial" w:eastAsia="Arial" w:hAnsi="Arial"/>
                <w:sz w:val="18"/>
                <w:szCs w:val="18"/>
                <w:color w:val="auto"/>
                <w:w w:val="93"/>
              </w:rPr>
              <w:t>paid to the Investors, provided that, the</w:t>
            </w:r>
          </w:p>
        </w:tc>
      </w:tr>
      <w:tr>
        <w:trPr>
          <w:trHeight w:val="205"/>
        </w:trPr>
        <w:tc>
          <w:tcPr>
            <w:tcW w:w="480" w:type="dxa"/>
            <w:vAlign w:val="bottom"/>
          </w:tcPr>
          <w:p>
            <w:pPr>
              <w:spacing w:after="0"/>
              <w:rPr>
                <w:sz w:val="17"/>
                <w:szCs w:val="17"/>
                <w:color w:val="auto"/>
              </w:rPr>
            </w:pPr>
          </w:p>
        </w:tc>
        <w:tc>
          <w:tcPr>
            <w:tcW w:w="4100" w:type="dxa"/>
            <w:vAlign w:val="bottom"/>
          </w:tcPr>
          <w:p>
            <w:pPr>
              <w:ind w:left="140"/>
              <w:spacing w:after="0" w:line="205" w:lineRule="exact"/>
              <w:rPr>
                <w:sz w:val="20"/>
                <w:szCs w:val="20"/>
                <w:color w:val="auto"/>
              </w:rPr>
            </w:pPr>
            <w:r>
              <w:rPr>
                <w:rFonts w:ascii="Arial" w:cs="Arial" w:eastAsia="Arial" w:hAnsi="Arial"/>
                <w:sz w:val="18"/>
                <w:szCs w:val="18"/>
                <w:color w:val="auto"/>
              </w:rPr>
              <w:t>aggregate</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bl>
    <w:p>
      <w:pPr>
        <w:ind w:left="1680"/>
        <w:spacing w:after="0" w:line="232" w:lineRule="auto"/>
        <w:rPr>
          <w:sz w:val="20"/>
          <w:szCs w:val="20"/>
          <w:color w:val="auto"/>
        </w:rPr>
      </w:pPr>
      <w:r>
        <w:rPr>
          <w:rFonts w:ascii="Arial" w:cs="Arial" w:eastAsia="Arial" w:hAnsi="Arial"/>
          <w:sz w:val="18"/>
          <w:szCs w:val="18"/>
          <w:color w:val="auto"/>
        </w:rPr>
        <w:t>amount added back pursuant to this clause (xii) shall not exceed the greater of</w:t>
      </w:r>
    </w:p>
    <w:p>
      <w:pPr>
        <w:ind w:left="1940" w:hanging="251"/>
        <w:spacing w:after="0" w:line="233" w:lineRule="auto"/>
        <w:tabs>
          <w:tab w:leader="none" w:pos="19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$20,000,000 and</w:t>
      </w:r>
    </w:p>
    <w:p>
      <w:pPr>
        <w:ind w:left="1680" w:right="1359" w:firstLine="9"/>
        <w:spacing w:after="0" w:line="245" w:lineRule="auto"/>
        <w:tabs>
          <w:tab w:leader="none" w:pos="247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20.0% of Consolidated CEBITDA (calculated on a Pro Forma Basis after giving effect to such add-back) for such Test Period;</w:t>
      </w:r>
    </w:p>
    <w:p>
      <w:pPr>
        <w:spacing w:after="0" w:line="249"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(xiii)</w:t>
            </w: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w w:val="88"/>
              </w:rPr>
              <w:t>non-cash losses on the sale of assets, other than sales</w:t>
            </w:r>
          </w:p>
        </w:tc>
        <w:tc>
          <w:tcPr>
            <w:tcW w:w="120" w:type="dxa"/>
            <w:vAlign w:val="bottom"/>
          </w:tcPr>
          <w:p>
            <w:pPr>
              <w:spacing w:after="0"/>
              <w:rPr>
                <w:sz w:val="17"/>
                <w:szCs w:val="17"/>
                <w:color w:val="auto"/>
              </w:rPr>
            </w:pPr>
          </w:p>
        </w:tc>
        <w:tc>
          <w:tcPr>
            <w:tcW w:w="3100" w:type="dxa"/>
            <w:vAlign w:val="bottom"/>
            <w:gridSpan w:val="3"/>
          </w:tcPr>
          <w:p>
            <w:pPr>
              <w:ind w:left="40"/>
              <w:spacing w:after="0"/>
              <w:rPr>
                <w:sz w:val="20"/>
                <w:szCs w:val="20"/>
                <w:color w:val="auto"/>
              </w:rPr>
            </w:pPr>
            <w:r>
              <w:rPr>
                <w:rFonts w:ascii="Arial" w:cs="Arial" w:eastAsia="Arial" w:hAnsi="Arial"/>
                <w:sz w:val="18"/>
                <w:szCs w:val="18"/>
                <w:color w:val="auto"/>
              </w:rPr>
              <w:t>$   of assets in the ordinary course of</w:t>
            </w:r>
          </w:p>
        </w:tc>
      </w:tr>
      <w:tr>
        <w:trPr>
          <w:trHeight w:val="189"/>
        </w:trPr>
        <w:tc>
          <w:tcPr>
            <w:tcW w:w="520" w:type="dxa"/>
            <w:vAlign w:val="bottom"/>
          </w:tcPr>
          <w:p>
            <w:pPr>
              <w:spacing w:after="0"/>
              <w:rPr>
                <w:sz w:val="16"/>
                <w:szCs w:val="16"/>
                <w:color w:val="auto"/>
              </w:rPr>
            </w:pPr>
          </w:p>
        </w:tc>
        <w:tc>
          <w:tcPr>
            <w:tcW w:w="4060" w:type="dxa"/>
            <w:vAlign w:val="bottom"/>
            <w:gridSpan w:val="4"/>
          </w:tcPr>
          <w:p>
            <w:pPr>
              <w:ind w:left="140"/>
              <w:spacing w:after="0" w:line="189" w:lineRule="exact"/>
              <w:rPr>
                <w:sz w:val="20"/>
                <w:szCs w:val="20"/>
                <w:color w:val="auto"/>
              </w:rPr>
            </w:pPr>
            <w:r>
              <w:rPr>
                <w:rFonts w:ascii="Arial" w:cs="Arial" w:eastAsia="Arial" w:hAnsi="Arial"/>
                <w:sz w:val="18"/>
                <w:szCs w:val="18"/>
                <w:color w:val="auto"/>
              </w:rPr>
              <w:t>business and in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78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connection with any Recovery Event;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60"/>
        </w:trPr>
        <w:tc>
          <w:tcPr>
            <w:tcW w:w="520" w:type="dxa"/>
            <w:vAlign w:val="bottom"/>
          </w:tcPr>
          <w:p>
            <w:pPr>
              <w:jc w:val="right"/>
              <w:ind w:right="68"/>
              <w:spacing w:after="0"/>
              <w:rPr>
                <w:sz w:val="20"/>
                <w:szCs w:val="20"/>
                <w:color w:val="auto"/>
              </w:rPr>
            </w:pPr>
            <w:r>
              <w:rPr>
                <w:rFonts w:ascii="Arial" w:cs="Arial" w:eastAsia="Arial" w:hAnsi="Arial"/>
                <w:sz w:val="18"/>
                <w:szCs w:val="18"/>
                <w:color w:val="auto"/>
                <w:w w:val="99"/>
              </w:rPr>
              <w:t>(xiv)</w:t>
            </w: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w w:val="96"/>
              </w:rPr>
              <w:t>Charges incurred in connection with any waiver,  $</w:t>
            </w:r>
          </w:p>
        </w:tc>
        <w:tc>
          <w:tcPr>
            <w:tcW w:w="120" w:type="dxa"/>
            <w:vAlign w:val="bottom"/>
          </w:tcPr>
          <w:p>
            <w:pPr>
              <w:spacing w:after="0"/>
              <w:rPr>
                <w:sz w:val="24"/>
                <w:szCs w:val="24"/>
                <w:color w:val="auto"/>
              </w:rPr>
            </w:pPr>
          </w:p>
        </w:tc>
        <w:tc>
          <w:tcPr>
            <w:tcW w:w="3100" w:type="dxa"/>
            <w:vAlign w:val="bottom"/>
            <w:gridSpan w:val="3"/>
          </w:tcPr>
          <w:p>
            <w:pPr>
              <w:ind w:left="40"/>
              <w:spacing w:after="0"/>
              <w:rPr>
                <w:sz w:val="20"/>
                <w:szCs w:val="20"/>
                <w:color w:val="auto"/>
              </w:rPr>
            </w:pPr>
            <w:r>
              <w:rPr>
                <w:rFonts w:ascii="Arial" w:cs="Arial" w:eastAsia="Arial" w:hAnsi="Arial"/>
                <w:sz w:val="18"/>
                <w:szCs w:val="18"/>
                <w:color w:val="auto"/>
                <w:w w:val="99"/>
              </w:rPr>
              <w:t>consent or amendment required under</w:t>
            </w:r>
          </w:p>
        </w:tc>
      </w:tr>
      <w:tr>
        <w:trPr>
          <w:trHeight w:val="189"/>
        </w:trPr>
        <w:tc>
          <w:tcPr>
            <w:tcW w:w="520" w:type="dxa"/>
            <w:vAlign w:val="bottom"/>
          </w:tcPr>
          <w:p>
            <w:pPr>
              <w:spacing w:after="0"/>
              <w:rPr>
                <w:sz w:val="16"/>
                <w:szCs w:val="16"/>
                <w:color w:val="auto"/>
              </w:rPr>
            </w:pPr>
          </w:p>
        </w:tc>
        <w:tc>
          <w:tcPr>
            <w:tcW w:w="400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any Loan</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60"/>
        </w:trPr>
        <w:tc>
          <w:tcPr>
            <w:tcW w:w="520" w:type="dxa"/>
            <w:vAlign w:val="bottom"/>
          </w:tcPr>
          <w:p>
            <w:pPr>
              <w:jc w:val="right"/>
              <w:ind w:right="68"/>
              <w:spacing w:after="0"/>
              <w:rPr>
                <w:sz w:val="20"/>
                <w:szCs w:val="20"/>
                <w:color w:val="auto"/>
              </w:rPr>
            </w:pPr>
            <w:r>
              <w:rPr>
                <w:rFonts w:ascii="Arial" w:cs="Arial" w:eastAsia="Arial" w:hAnsi="Arial"/>
                <w:sz w:val="18"/>
                <w:szCs w:val="18"/>
                <w:color w:val="auto"/>
              </w:rPr>
              <w:t>(xv)</w:t>
            </w: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w w:val="99"/>
              </w:rPr>
              <w:t>the amount of expected “run rate” cost savings, $</w:t>
            </w:r>
          </w:p>
        </w:tc>
        <w:tc>
          <w:tcPr>
            <w:tcW w:w="3220" w:type="dxa"/>
            <w:vAlign w:val="bottom"/>
            <w:gridSpan w:val="4"/>
          </w:tcPr>
          <w:p>
            <w:pPr>
              <w:ind w:left="20"/>
              <w:spacing w:after="0"/>
              <w:rPr>
                <w:sz w:val="20"/>
                <w:szCs w:val="20"/>
                <w:color w:val="auto"/>
              </w:rPr>
            </w:pPr>
            <w:r>
              <w:rPr>
                <w:rFonts w:ascii="Arial" w:cs="Arial" w:eastAsia="Arial" w:hAnsi="Arial"/>
                <w:sz w:val="18"/>
                <w:szCs w:val="18"/>
                <w:color w:val="auto"/>
                <w:w w:val="91"/>
              </w:rPr>
              <w:t>operating expense reductions, restructuring</w:t>
            </w:r>
          </w:p>
        </w:tc>
      </w:tr>
      <w:tr>
        <w:trPr>
          <w:trHeight w:val="217"/>
        </w:trPr>
        <w:tc>
          <w:tcPr>
            <w:tcW w:w="5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Charges</w:t>
            </w:r>
          </w:p>
        </w:tc>
        <w:tc>
          <w:tcPr>
            <w:tcW w:w="240" w:type="dxa"/>
            <w:vAlign w:val="bottom"/>
            <w:tcBorders>
              <w:top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r>
    </w:tbl>
    <w:p>
      <w:pPr>
        <w:jc w:val="both"/>
        <w:ind w:left="1680" w:right="1359"/>
        <w:spacing w:after="0" w:line="261" w:lineRule="auto"/>
        <w:rPr>
          <w:sz w:val="20"/>
          <w:szCs w:val="20"/>
          <w:color w:val="auto"/>
        </w:rPr>
      </w:pPr>
      <w:r>
        <w:rPr>
          <w:rFonts w:ascii="Arial" w:cs="Arial" w:eastAsia="Arial" w:hAnsi="Arial"/>
          <w:sz w:val="16"/>
          <w:szCs w:val="16"/>
          <w:color w:val="auto"/>
        </w:rPr>
        <w:t>and cost-saving synergies reasonably projected by the Borrower in connection with acquisitions, Investments or other initiatives in good faith to be realized as a result of actions taken or expected to be taken (calculated on a Pro Forma Basis as though such cost savings, operating expense reductions, restructuring Charges and cost-saving synergies had been realized on the first day of such Test Period) related to the transactions contemplated hereby, which are (A) reasonably expected to have a continuing impact on the Borrower and its Subsidiaries and</w:t>
      </w:r>
    </w:p>
    <w:p>
      <w:pPr>
        <w:spacing w:after="0" w:line="4" w:lineRule="exact"/>
        <w:rPr>
          <w:sz w:val="20"/>
          <w:szCs w:val="20"/>
          <w:color w:val="auto"/>
        </w:rPr>
      </w:pPr>
    </w:p>
    <w:p>
      <w:pPr>
        <w:jc w:val="both"/>
        <w:ind w:left="1680" w:right="1359" w:firstLine="8"/>
        <w:spacing w:after="0" w:line="237" w:lineRule="auto"/>
        <w:tabs>
          <w:tab w:leader="none" w:pos="198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reasonably expected to be realized within twenty-four (24) months after the last day of such Test Period (in the good faith determination of the Borrower), minus the amount of actual benefits realized during such Test Period from such actions, and minus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412750</wp:posOffset>
            </wp:positionV>
            <wp:extent cx="454025" cy="1670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329" w:name="page330"/>
    <w:bookmarkEnd w:id="329"/>
    <w:p>
      <w:pPr>
        <w:jc w:val="both"/>
        <w:ind w:left="1680" w:right="1359"/>
        <w:spacing w:after="0" w:line="238" w:lineRule="auto"/>
        <w:rPr>
          <w:sz w:val="20"/>
          <w:szCs w:val="20"/>
          <w:color w:val="auto"/>
        </w:rPr>
      </w:pPr>
      <w:r>
        <w:rPr>
          <w:rFonts w:ascii="Arial" w:cs="Arial" w:eastAsia="Arial" w:hAnsi="Arial"/>
          <w:sz w:val="18"/>
          <w:szCs w:val="18"/>
          <w:color w:val="auto"/>
        </w:rPr>
        <w:t xml:space="preserve">previously added back under this clause (xv) that were not actually realized during the projected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amount added back pursuant to this clause (xv), together with the aggregate amount added back pursuant to clause (iv) (other than as set forth in the second proviso thereto) and the definition of “Pro Forma Basis”, shall not exceed 30.0% of Consolidated CEBITDA (calculated on a Pro Forma Basis after giving effect to such add-back) for such Test Period;</w:t>
      </w: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20" w:type="dxa"/>
            <w:vAlign w:val="bottom"/>
          </w:tcPr>
          <w:p>
            <w:pPr>
              <w:jc w:val="right"/>
              <w:ind w:right="68"/>
              <w:spacing w:after="0"/>
              <w:rPr>
                <w:sz w:val="20"/>
                <w:szCs w:val="20"/>
                <w:color w:val="auto"/>
              </w:rPr>
            </w:pPr>
            <w:r>
              <w:rPr>
                <w:rFonts w:ascii="Arial" w:cs="Arial" w:eastAsia="Arial" w:hAnsi="Arial"/>
                <w:sz w:val="18"/>
                <w:szCs w:val="18"/>
                <w:color w:val="auto"/>
              </w:rPr>
              <w:t>(xvi)</w:t>
            </w:r>
          </w:p>
        </w:tc>
        <w:tc>
          <w:tcPr>
            <w:tcW w:w="4620" w:type="dxa"/>
            <w:vAlign w:val="bottom"/>
            <w:gridSpan w:val="9"/>
          </w:tcPr>
          <w:p>
            <w:pPr>
              <w:ind w:left="140"/>
              <w:spacing w:after="0"/>
              <w:rPr>
                <w:sz w:val="20"/>
                <w:szCs w:val="20"/>
                <w:color w:val="auto"/>
              </w:rPr>
            </w:pPr>
            <w:r>
              <w:rPr>
                <w:rFonts w:ascii="Arial" w:cs="Arial" w:eastAsia="Arial" w:hAnsi="Arial"/>
                <w:sz w:val="18"/>
                <w:szCs w:val="18"/>
                <w:color w:val="auto"/>
                <w:w w:val="99"/>
              </w:rPr>
              <w:t>the net amount, if any, by which consolidated deferred $</w:t>
            </w:r>
          </w:p>
        </w:tc>
        <w:tc>
          <w:tcPr>
            <w:tcW w:w="100" w:type="dxa"/>
            <w:vAlign w:val="bottom"/>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w w:val="97"/>
              </w:rPr>
              <w:t>revenues of the Borrower and its</w:t>
            </w:r>
          </w:p>
        </w:tc>
      </w:tr>
      <w:tr>
        <w:trPr>
          <w:trHeight w:val="189"/>
        </w:trPr>
        <w:tc>
          <w:tcPr>
            <w:tcW w:w="620" w:type="dxa"/>
            <w:vAlign w:val="bottom"/>
          </w:tcPr>
          <w:p>
            <w:pPr>
              <w:spacing w:after="0"/>
              <w:rPr>
                <w:sz w:val="16"/>
                <w:szCs w:val="16"/>
                <w:color w:val="auto"/>
              </w:rPr>
            </w:pPr>
          </w:p>
        </w:tc>
        <w:tc>
          <w:tcPr>
            <w:tcW w:w="3640" w:type="dxa"/>
            <w:vAlign w:val="bottom"/>
          </w:tcPr>
          <w:p>
            <w:pPr>
              <w:ind w:left="140"/>
              <w:spacing w:after="0" w:line="189" w:lineRule="exact"/>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560" w:type="dxa"/>
            <w:vAlign w:val="bottom"/>
          </w:tcPr>
          <w:p>
            <w:pPr>
              <w:spacing w:after="0"/>
              <w:rPr>
                <w:sz w:val="16"/>
                <w:szCs w:val="16"/>
                <w:color w:val="auto"/>
              </w:rPr>
            </w:pP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Subsidiaries  increased  during  such  Test  Period  (excluding  any  non-cash</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purchase accounting adjustment (including, but not limited to deferred revenue</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write down) and any adjustments as required or permitted by the application of</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FASB Accounting Standards Codification 805 (requiring the use of purchase</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method of accounting for acquisitions and consolidations), FASB Accounting</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Standards  Codification  350  (relating  to  changes  in  accounting  for  the</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amortization of good will and certain other intangibles) and FASB Accounting</w:t>
            </w:r>
          </w:p>
        </w:tc>
      </w:tr>
      <w:tr>
        <w:trPr>
          <w:trHeight w:val="234"/>
        </w:trPr>
        <w:tc>
          <w:tcPr>
            <w:tcW w:w="620" w:type="dxa"/>
            <w:vAlign w:val="bottom"/>
          </w:tcPr>
          <w:p>
            <w:pPr>
              <w:spacing w:after="0"/>
              <w:rPr>
                <w:sz w:val="20"/>
                <w:szCs w:val="20"/>
                <w:color w:val="auto"/>
              </w:rPr>
            </w:pPr>
          </w:p>
        </w:tc>
        <w:tc>
          <w:tcPr>
            <w:tcW w:w="7280" w:type="dxa"/>
            <w:vAlign w:val="bottom"/>
            <w:gridSpan w:val="11"/>
          </w:tcPr>
          <w:p>
            <w:pPr>
              <w:ind w:left="140"/>
              <w:spacing w:after="0"/>
              <w:rPr>
                <w:sz w:val="20"/>
                <w:szCs w:val="20"/>
                <w:color w:val="auto"/>
              </w:rPr>
            </w:pPr>
            <w:r>
              <w:rPr>
                <w:rFonts w:ascii="Arial" w:cs="Arial" w:eastAsia="Arial" w:hAnsi="Arial"/>
                <w:sz w:val="18"/>
                <w:szCs w:val="18"/>
                <w:color w:val="auto"/>
              </w:rPr>
              <w:t>Standards Codification 360 (relating to the write downs of long- lived assets));</w:t>
            </w:r>
          </w:p>
        </w:tc>
      </w:tr>
      <w:tr>
        <w:trPr>
          <w:trHeight w:val="460"/>
        </w:trPr>
        <w:tc>
          <w:tcPr>
            <w:tcW w:w="620" w:type="dxa"/>
            <w:vAlign w:val="bottom"/>
          </w:tcPr>
          <w:p>
            <w:pPr>
              <w:jc w:val="right"/>
              <w:ind w:right="68"/>
              <w:spacing w:after="0"/>
              <w:rPr>
                <w:sz w:val="20"/>
                <w:szCs w:val="20"/>
                <w:color w:val="auto"/>
              </w:rPr>
            </w:pPr>
            <w:r>
              <w:rPr>
                <w:rFonts w:ascii="Arial" w:cs="Arial" w:eastAsia="Arial" w:hAnsi="Arial"/>
                <w:sz w:val="18"/>
                <w:szCs w:val="18"/>
                <w:color w:val="auto"/>
              </w:rPr>
              <w:t>(xvii)</w:t>
            </w:r>
          </w:p>
        </w:tc>
        <w:tc>
          <w:tcPr>
            <w:tcW w:w="4620" w:type="dxa"/>
            <w:vAlign w:val="bottom"/>
            <w:gridSpan w:val="9"/>
          </w:tcPr>
          <w:p>
            <w:pPr>
              <w:ind w:left="140"/>
              <w:spacing w:after="0"/>
              <w:rPr>
                <w:sz w:val="20"/>
                <w:szCs w:val="20"/>
                <w:color w:val="auto"/>
              </w:rPr>
            </w:pPr>
            <w:r>
              <w:rPr>
                <w:rFonts w:ascii="Arial" w:cs="Arial" w:eastAsia="Arial" w:hAnsi="Arial"/>
                <w:sz w:val="18"/>
                <w:szCs w:val="18"/>
                <w:color w:val="auto"/>
              </w:rPr>
              <w:t>any Charges incurred by the Borrower or a Restricted $</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w w:val="98"/>
              </w:rPr>
              <w:t>Subsidiary of the Borrower during</w:t>
            </w:r>
          </w:p>
        </w:tc>
      </w:tr>
      <w:tr>
        <w:trPr>
          <w:trHeight w:val="201"/>
        </w:trPr>
        <w:tc>
          <w:tcPr>
            <w:tcW w:w="620" w:type="dxa"/>
            <w:vAlign w:val="bottom"/>
          </w:tcPr>
          <w:p>
            <w:pPr>
              <w:spacing w:after="0"/>
              <w:rPr>
                <w:sz w:val="17"/>
                <w:szCs w:val="17"/>
                <w:color w:val="auto"/>
              </w:rPr>
            </w:pPr>
          </w:p>
        </w:tc>
        <w:tc>
          <w:tcPr>
            <w:tcW w:w="3640" w:type="dxa"/>
            <w:vAlign w:val="bottom"/>
          </w:tcPr>
          <w:p>
            <w:pPr>
              <w:ind w:left="140"/>
              <w:spacing w:after="0" w:line="201" w:lineRule="exact"/>
              <w:rPr>
                <w:sz w:val="20"/>
                <w:szCs w:val="20"/>
                <w:color w:val="auto"/>
              </w:rPr>
            </w:pPr>
            <w:r>
              <w:rPr>
                <w:rFonts w:ascii="Arial" w:cs="Arial" w:eastAsia="Arial" w:hAnsi="Arial"/>
                <w:sz w:val="18"/>
                <w:szCs w:val="18"/>
                <w:color w:val="auto"/>
              </w:rPr>
              <w:t>such Test Period</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pursuant to any management equity plan or stock option plan or any other</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management or employee benefit plan or agreement or any stock subscription or</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shareholder agreement, to the extent that such costs or expenses are funded with</w:t>
            </w:r>
          </w:p>
        </w:tc>
      </w:tr>
      <w:tr>
        <w:trPr>
          <w:trHeight w:val="201"/>
        </w:trPr>
        <w:tc>
          <w:tcPr>
            <w:tcW w:w="620" w:type="dxa"/>
            <w:vAlign w:val="bottom"/>
          </w:tcPr>
          <w:p>
            <w:pPr>
              <w:spacing w:after="0"/>
              <w:rPr>
                <w:sz w:val="17"/>
                <w:szCs w:val="17"/>
                <w:color w:val="auto"/>
              </w:rPr>
            </w:pPr>
          </w:p>
        </w:tc>
        <w:tc>
          <w:tcPr>
            <w:tcW w:w="7280" w:type="dxa"/>
            <w:vAlign w:val="bottom"/>
            <w:gridSpan w:val="11"/>
          </w:tcPr>
          <w:p>
            <w:pPr>
              <w:ind w:left="140"/>
              <w:spacing w:after="0" w:line="201" w:lineRule="exact"/>
              <w:rPr>
                <w:sz w:val="20"/>
                <w:szCs w:val="20"/>
                <w:color w:val="auto"/>
              </w:rPr>
            </w:pPr>
            <w:r>
              <w:rPr>
                <w:rFonts w:ascii="Arial" w:cs="Arial" w:eastAsia="Arial" w:hAnsi="Arial"/>
                <w:sz w:val="18"/>
                <w:szCs w:val="18"/>
                <w:color w:val="auto"/>
              </w:rPr>
              <w:t>cash proceeds contributed to the capital of the Borrower or Net Cash Proceeds of</w:t>
            </w:r>
          </w:p>
        </w:tc>
      </w:tr>
      <w:tr>
        <w:trPr>
          <w:trHeight w:val="234"/>
        </w:trPr>
        <w:tc>
          <w:tcPr>
            <w:tcW w:w="620" w:type="dxa"/>
            <w:vAlign w:val="bottom"/>
          </w:tcPr>
          <w:p>
            <w:pPr>
              <w:spacing w:after="0"/>
              <w:rPr>
                <w:sz w:val="20"/>
                <w:szCs w:val="20"/>
                <w:color w:val="auto"/>
              </w:rPr>
            </w:pPr>
          </w:p>
        </w:tc>
        <w:tc>
          <w:tcPr>
            <w:tcW w:w="7280" w:type="dxa"/>
            <w:vAlign w:val="bottom"/>
            <w:gridSpan w:val="11"/>
          </w:tcPr>
          <w:p>
            <w:pPr>
              <w:ind w:left="140"/>
              <w:spacing w:after="0"/>
              <w:rPr>
                <w:sz w:val="20"/>
                <w:szCs w:val="20"/>
                <w:color w:val="auto"/>
              </w:rPr>
            </w:pPr>
            <w:r>
              <w:rPr>
                <w:rFonts w:ascii="Arial" w:cs="Arial" w:eastAsia="Arial" w:hAnsi="Arial"/>
                <w:sz w:val="18"/>
                <w:szCs w:val="18"/>
                <w:color w:val="auto"/>
              </w:rPr>
              <w:t>an issuance of Equity Interest of the Borrower (other than Disqualified Stock);</w:t>
            </w:r>
          </w:p>
        </w:tc>
      </w:tr>
      <w:tr>
        <w:trPr>
          <w:trHeight w:val="460"/>
        </w:trPr>
        <w:tc>
          <w:tcPr>
            <w:tcW w:w="620" w:type="dxa"/>
            <w:vAlign w:val="bottom"/>
          </w:tcPr>
          <w:p>
            <w:pPr>
              <w:jc w:val="right"/>
              <w:ind w:right="68"/>
              <w:spacing w:after="0"/>
              <w:rPr>
                <w:sz w:val="20"/>
                <w:szCs w:val="20"/>
                <w:color w:val="auto"/>
              </w:rPr>
            </w:pPr>
            <w:r>
              <w:rPr>
                <w:rFonts w:ascii="Arial" w:cs="Arial" w:eastAsia="Arial" w:hAnsi="Arial"/>
                <w:sz w:val="18"/>
                <w:szCs w:val="18"/>
                <w:color w:val="auto"/>
              </w:rPr>
              <w:t>(xviii)</w:t>
            </w:r>
          </w:p>
        </w:tc>
        <w:tc>
          <w:tcPr>
            <w:tcW w:w="3640" w:type="dxa"/>
            <w:vAlign w:val="bottom"/>
          </w:tcPr>
          <w:p>
            <w:pPr>
              <w:ind w:left="140"/>
              <w:spacing w:after="0"/>
              <w:rPr>
                <w:sz w:val="20"/>
                <w:szCs w:val="20"/>
                <w:color w:val="auto"/>
              </w:rPr>
            </w:pPr>
            <w:r>
              <w:rPr>
                <w:rFonts w:ascii="Arial" w:cs="Arial" w:eastAsia="Arial" w:hAnsi="Arial"/>
                <w:sz w:val="18"/>
                <w:szCs w:val="18"/>
                <w:color w:val="auto"/>
                <w:w w:val="94"/>
              </w:rPr>
              <w:t>actual Charges incurred in such Test Period in</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gridSpan w:val="6"/>
          </w:tcPr>
          <w:p>
            <w:pPr>
              <w:jc w:val="center"/>
              <w:ind w:right="8"/>
              <w:spacing w:after="0"/>
              <w:rPr>
                <w:sz w:val="20"/>
                <w:szCs w:val="20"/>
                <w:color w:val="auto"/>
              </w:rPr>
            </w:pPr>
            <w:r>
              <w:rPr>
                <w:rFonts w:ascii="Arial" w:cs="Arial" w:eastAsia="Arial" w:hAnsi="Arial"/>
                <w:sz w:val="18"/>
                <w:szCs w:val="18"/>
                <w:color w:val="auto"/>
                <w:w w:val="94"/>
              </w:rPr>
              <w:t>connection with obtaining and maintaining</w:t>
            </w:r>
          </w:p>
        </w:tc>
      </w:tr>
      <w:tr>
        <w:trPr>
          <w:trHeight w:val="189"/>
        </w:trPr>
        <w:tc>
          <w:tcPr>
            <w:tcW w:w="620" w:type="dxa"/>
            <w:vAlign w:val="bottom"/>
          </w:tcPr>
          <w:p>
            <w:pPr>
              <w:spacing w:after="0"/>
              <w:rPr>
                <w:sz w:val="16"/>
                <w:szCs w:val="16"/>
                <w:color w:val="auto"/>
              </w:rPr>
            </w:pPr>
          </w:p>
        </w:tc>
        <w:tc>
          <w:tcPr>
            <w:tcW w:w="3640" w:type="dxa"/>
            <w:vAlign w:val="bottom"/>
          </w:tcPr>
          <w:p>
            <w:pPr>
              <w:ind w:left="140"/>
              <w:spacing w:after="0" w:line="189" w:lineRule="exact"/>
              <w:rPr>
                <w:sz w:val="20"/>
                <w:szCs w:val="20"/>
                <w:color w:val="auto"/>
              </w:rPr>
            </w:pPr>
            <w:r>
              <w:rPr>
                <w:rFonts w:ascii="Arial" w:cs="Arial" w:eastAsia="Arial" w:hAnsi="Arial"/>
                <w:sz w:val="18"/>
                <w:szCs w:val="18"/>
                <w:color w:val="auto"/>
              </w:rPr>
              <w:t>credit</w:t>
            </w:r>
          </w:p>
        </w:tc>
        <w:tc>
          <w:tcPr>
            <w:tcW w:w="1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ratings;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60"/>
        </w:trPr>
        <w:tc>
          <w:tcPr>
            <w:tcW w:w="620" w:type="dxa"/>
            <w:vAlign w:val="bottom"/>
          </w:tcPr>
          <w:p>
            <w:pPr>
              <w:jc w:val="right"/>
              <w:ind w:right="68"/>
              <w:spacing w:after="0"/>
              <w:rPr>
                <w:sz w:val="20"/>
                <w:szCs w:val="20"/>
                <w:color w:val="auto"/>
              </w:rPr>
            </w:pPr>
            <w:r>
              <w:rPr>
                <w:rFonts w:ascii="Arial" w:cs="Arial" w:eastAsia="Arial" w:hAnsi="Arial"/>
                <w:sz w:val="18"/>
                <w:szCs w:val="18"/>
                <w:color w:val="auto"/>
              </w:rPr>
              <w:t>(xix)</w:t>
            </w:r>
          </w:p>
        </w:tc>
        <w:tc>
          <w:tcPr>
            <w:tcW w:w="3640" w:type="dxa"/>
            <w:vAlign w:val="bottom"/>
          </w:tcPr>
          <w:p>
            <w:pPr>
              <w:ind w:left="140"/>
              <w:spacing w:after="0"/>
              <w:rPr>
                <w:sz w:val="20"/>
                <w:szCs w:val="20"/>
                <w:color w:val="auto"/>
              </w:rPr>
            </w:pPr>
            <w:r>
              <w:rPr>
                <w:rFonts w:ascii="Arial" w:cs="Arial" w:eastAsia="Arial" w:hAnsi="Arial"/>
                <w:sz w:val="18"/>
                <w:szCs w:val="18"/>
                <w:color w:val="auto"/>
                <w:w w:val="94"/>
              </w:rPr>
              <w:t>any net loss resulting in such Test Period from</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60" w:type="dxa"/>
            <w:vAlign w:val="bottom"/>
            <w:gridSpan w:val="6"/>
          </w:tcPr>
          <w:p>
            <w:pPr>
              <w:jc w:val="center"/>
              <w:spacing w:after="0"/>
              <w:rPr>
                <w:sz w:val="20"/>
                <w:szCs w:val="20"/>
                <w:color w:val="auto"/>
              </w:rPr>
            </w:pPr>
            <w:r>
              <w:rPr>
                <w:rFonts w:ascii="Arial" w:cs="Arial" w:eastAsia="Arial" w:hAnsi="Arial"/>
                <w:sz w:val="18"/>
                <w:szCs w:val="18"/>
                <w:color w:val="auto"/>
                <w:w w:val="91"/>
              </w:rPr>
              <w:t>currency translation gains or losses related</w:t>
            </w:r>
          </w:p>
        </w:tc>
      </w:tr>
      <w:tr>
        <w:trPr>
          <w:trHeight w:val="189"/>
        </w:trPr>
        <w:tc>
          <w:tcPr>
            <w:tcW w:w="620" w:type="dxa"/>
            <w:vAlign w:val="bottom"/>
          </w:tcPr>
          <w:p>
            <w:pPr>
              <w:spacing w:after="0"/>
              <w:rPr>
                <w:sz w:val="16"/>
                <w:szCs w:val="16"/>
                <w:color w:val="auto"/>
              </w:rPr>
            </w:pPr>
          </w:p>
        </w:tc>
        <w:tc>
          <w:tcPr>
            <w:tcW w:w="7280" w:type="dxa"/>
            <w:vAlign w:val="bottom"/>
            <w:gridSpan w:val="11"/>
          </w:tcPr>
          <w:p>
            <w:pPr>
              <w:ind w:left="140"/>
              <w:spacing w:after="0" w:line="189" w:lineRule="exact"/>
              <w:rPr>
                <w:sz w:val="20"/>
                <w:szCs w:val="20"/>
                <w:color w:val="auto"/>
              </w:rPr>
            </w:pPr>
            <w:r>
              <w:rPr>
                <w:rFonts w:ascii="Arial" w:cs="Arial" w:eastAsia="Arial" w:hAnsi="Arial"/>
                <w:sz w:val="18"/>
                <w:szCs w:val="18"/>
                <w:color w:val="auto"/>
              </w:rPr>
              <w:t>to currency remeasurements of Indebtedness (including any net</w:t>
            </w:r>
          </w:p>
        </w:tc>
      </w:tr>
      <w:tr>
        <w:trPr>
          <w:trHeight w:val="234"/>
        </w:trPr>
        <w:tc>
          <w:tcPr>
            <w:tcW w:w="620" w:type="dxa"/>
            <w:vAlign w:val="bottom"/>
          </w:tcPr>
          <w:p>
            <w:pPr>
              <w:spacing w:after="0"/>
              <w:rPr>
                <w:sz w:val="20"/>
                <w:szCs w:val="20"/>
                <w:color w:val="auto"/>
              </w:rPr>
            </w:pPr>
          </w:p>
        </w:tc>
        <w:tc>
          <w:tcPr>
            <w:tcW w:w="7280" w:type="dxa"/>
            <w:vAlign w:val="bottom"/>
            <w:gridSpan w:val="11"/>
          </w:tcPr>
          <w:p>
            <w:pPr>
              <w:ind w:left="140"/>
              <w:spacing w:after="0"/>
              <w:rPr>
                <w:sz w:val="20"/>
                <w:szCs w:val="20"/>
                <w:color w:val="auto"/>
              </w:rPr>
            </w:pPr>
            <w:r>
              <w:rPr>
                <w:rFonts w:ascii="Arial" w:cs="Arial" w:eastAsia="Arial" w:hAnsi="Arial"/>
                <w:sz w:val="18"/>
                <w:szCs w:val="18"/>
                <w:color w:val="auto"/>
              </w:rPr>
              <w:t>loss or gain resulting from Swap Agreements for currency exchange risk);</w:t>
            </w:r>
          </w:p>
        </w:tc>
      </w:tr>
      <w:tr>
        <w:trPr>
          <w:trHeight w:val="460"/>
        </w:trPr>
        <w:tc>
          <w:tcPr>
            <w:tcW w:w="620" w:type="dxa"/>
            <w:vAlign w:val="bottom"/>
          </w:tcPr>
          <w:p>
            <w:pPr>
              <w:jc w:val="right"/>
              <w:ind w:right="68"/>
              <w:spacing w:after="0"/>
              <w:rPr>
                <w:sz w:val="20"/>
                <w:szCs w:val="20"/>
                <w:color w:val="auto"/>
              </w:rPr>
            </w:pPr>
            <w:r>
              <w:rPr>
                <w:rFonts w:ascii="Arial" w:cs="Arial" w:eastAsia="Arial" w:hAnsi="Arial"/>
                <w:sz w:val="18"/>
                <w:szCs w:val="18"/>
                <w:color w:val="auto"/>
              </w:rPr>
              <w:t>(xx)</w:t>
            </w:r>
          </w:p>
        </w:tc>
        <w:tc>
          <w:tcPr>
            <w:tcW w:w="3980" w:type="dxa"/>
            <w:vAlign w:val="bottom"/>
            <w:gridSpan w:val="4"/>
          </w:tcPr>
          <w:p>
            <w:pPr>
              <w:ind w:left="140"/>
              <w:spacing w:after="0"/>
              <w:rPr>
                <w:sz w:val="20"/>
                <w:szCs w:val="20"/>
                <w:color w:val="auto"/>
              </w:rPr>
            </w:pPr>
            <w:r>
              <w:rPr>
                <w:rFonts w:ascii="Arial" w:cs="Arial" w:eastAsia="Arial" w:hAnsi="Arial"/>
                <w:sz w:val="18"/>
                <w:szCs w:val="18"/>
                <w:color w:val="auto"/>
                <w:w w:val="93"/>
              </w:rPr>
              <w:t>any Charges of the Borrower or its direct or indirect</w:t>
            </w:r>
          </w:p>
        </w:tc>
        <w:tc>
          <w:tcPr>
            <w:tcW w:w="40" w:type="dxa"/>
            <w:vAlign w:val="bottom"/>
          </w:tcPr>
          <w:p>
            <w:pPr>
              <w:spacing w:after="0"/>
              <w:rPr>
                <w:sz w:val="24"/>
                <w:szCs w:val="24"/>
                <w:color w:val="auto"/>
              </w:rPr>
            </w:pPr>
          </w:p>
        </w:tc>
        <w:tc>
          <w:tcPr>
            <w:tcW w:w="3260" w:type="dxa"/>
            <w:vAlign w:val="bottom"/>
            <w:gridSpan w:val="6"/>
          </w:tcPr>
          <w:p>
            <w:pPr>
              <w:jc w:val="center"/>
              <w:ind w:right="8"/>
              <w:spacing w:after="0"/>
              <w:rPr>
                <w:sz w:val="20"/>
                <w:szCs w:val="20"/>
                <w:color w:val="auto"/>
              </w:rPr>
            </w:pPr>
            <w:r>
              <w:rPr>
                <w:rFonts w:ascii="Arial" w:cs="Arial" w:eastAsia="Arial" w:hAnsi="Arial"/>
                <w:sz w:val="18"/>
                <w:szCs w:val="18"/>
                <w:color w:val="auto"/>
                <w:w w:val="96"/>
              </w:rPr>
              <w:t>$   parent company in connection with</w:t>
            </w:r>
          </w:p>
        </w:tc>
      </w:tr>
      <w:tr>
        <w:trPr>
          <w:trHeight w:val="189"/>
        </w:trPr>
        <w:tc>
          <w:tcPr>
            <w:tcW w:w="620" w:type="dxa"/>
            <w:vAlign w:val="bottom"/>
          </w:tcPr>
          <w:p>
            <w:pPr>
              <w:spacing w:after="0"/>
              <w:rPr>
                <w:sz w:val="16"/>
                <w:szCs w:val="16"/>
                <w:color w:val="auto"/>
              </w:rPr>
            </w:pPr>
          </w:p>
        </w:tc>
        <w:tc>
          <w:tcPr>
            <w:tcW w:w="3640" w:type="dxa"/>
            <w:vAlign w:val="bottom"/>
          </w:tcPr>
          <w:p>
            <w:pPr>
              <w:ind w:left="140"/>
              <w:spacing w:after="0" w:line="189" w:lineRule="exact"/>
              <w:rPr>
                <w:sz w:val="20"/>
                <w:szCs w:val="20"/>
                <w:color w:val="auto"/>
              </w:rPr>
            </w:pPr>
            <w:r>
              <w:rPr>
                <w:rFonts w:ascii="Arial" w:cs="Arial" w:eastAsia="Arial" w:hAnsi="Arial"/>
                <w:sz w:val="18"/>
                <w:szCs w:val="18"/>
                <w:color w:val="auto"/>
              </w:rPr>
              <w:t>the Sarbanes</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3980" w:type="dxa"/>
            <w:vAlign w:val="bottom"/>
            <w:gridSpan w:val="4"/>
          </w:tcPr>
          <w:p>
            <w:pPr>
              <w:ind w:left="140"/>
              <w:spacing w:after="0"/>
              <w:rPr>
                <w:sz w:val="20"/>
                <w:szCs w:val="20"/>
                <w:color w:val="auto"/>
              </w:rPr>
            </w:pPr>
            <w:r>
              <w:rPr>
                <w:rFonts w:ascii="Arial" w:cs="Arial" w:eastAsia="Arial" w:hAnsi="Arial"/>
                <w:sz w:val="18"/>
                <w:szCs w:val="18"/>
                <w:color w:val="auto"/>
                <w:w w:val="95"/>
              </w:rPr>
              <w:t>Oxley Act of 2002, as amended, and the rules and</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419735</wp:posOffset>
            </wp:positionV>
            <wp:extent cx="454025" cy="1670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330" w:name="page331"/>
    <w:bookmarkEnd w:id="330"/>
    <w:tbl>
      <w:tblPr>
        <w:tblLayout w:type="fixed"/>
        <w:tblInd w:w="10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7260" w:type="dxa"/>
            <w:vAlign w:val="bottom"/>
            <w:gridSpan w:val="3"/>
          </w:tcPr>
          <w:p>
            <w:pPr>
              <w:ind w:left="140"/>
              <w:spacing w:after="0"/>
              <w:rPr>
                <w:sz w:val="20"/>
                <w:szCs w:val="20"/>
                <w:color w:val="auto"/>
              </w:rPr>
            </w:pPr>
            <w:r>
              <w:rPr>
                <w:rFonts w:ascii="Arial" w:cs="Arial" w:eastAsia="Arial" w:hAnsi="Arial"/>
                <w:sz w:val="18"/>
                <w:szCs w:val="18"/>
                <w:color w:val="auto"/>
              </w:rPr>
              <w:t>regulations  promulgated  in  connection  therewith  and  costs  relating  to</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compliance with the provisions of the Securities Act and the Exchange Act or</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any other comparable body of laws, rules or regulations, as applicable to</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companies with equity securities held by the public, the rules of national</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securities exchange companies with listed equity, initial or non-recurring fees</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and costs relating to investor relations and other executive costs, legal and other</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initial or non-recurring professional fees, and listing fees, in each case to the</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extent arising solely by virtue of the listing of the Borrower’s (or the Borrower’s</w:t>
            </w:r>
          </w:p>
        </w:tc>
      </w:tr>
      <w:tr>
        <w:trPr>
          <w:trHeight w:val="201"/>
        </w:trPr>
        <w:tc>
          <w:tcPr>
            <w:tcW w:w="500" w:type="dxa"/>
            <w:vAlign w:val="bottom"/>
          </w:tcPr>
          <w:p>
            <w:pPr>
              <w:spacing w:after="0"/>
              <w:rPr>
                <w:sz w:val="17"/>
                <w:szCs w:val="17"/>
                <w:color w:val="auto"/>
              </w:rPr>
            </w:pPr>
          </w:p>
        </w:tc>
        <w:tc>
          <w:tcPr>
            <w:tcW w:w="72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direct or indirect holding company’s) equity securities on a national securities</w:t>
            </w:r>
          </w:p>
        </w:tc>
      </w:tr>
      <w:tr>
        <w:trPr>
          <w:trHeight w:val="234"/>
        </w:trPr>
        <w:tc>
          <w:tcPr>
            <w:tcW w:w="500" w:type="dxa"/>
            <w:vAlign w:val="bottom"/>
          </w:tcPr>
          <w:p>
            <w:pPr>
              <w:spacing w:after="0"/>
              <w:rPr>
                <w:sz w:val="20"/>
                <w:szCs w:val="20"/>
                <w:color w:val="auto"/>
              </w:rPr>
            </w:pPr>
          </w:p>
        </w:tc>
        <w:tc>
          <w:tcPr>
            <w:tcW w:w="7260" w:type="dxa"/>
            <w:vAlign w:val="bottom"/>
            <w:gridSpan w:val="3"/>
          </w:tcPr>
          <w:p>
            <w:pPr>
              <w:ind w:left="140"/>
              <w:spacing w:after="0"/>
              <w:rPr>
                <w:sz w:val="20"/>
                <w:szCs w:val="20"/>
                <w:color w:val="auto"/>
              </w:rPr>
            </w:pPr>
            <w:r>
              <w:rPr>
                <w:rFonts w:ascii="Arial" w:cs="Arial" w:eastAsia="Arial" w:hAnsi="Arial"/>
                <w:sz w:val="18"/>
                <w:szCs w:val="18"/>
                <w:color w:val="auto"/>
              </w:rPr>
              <w:t>exchange;</w:t>
            </w:r>
          </w:p>
        </w:tc>
      </w:tr>
      <w:tr>
        <w:trPr>
          <w:trHeight w:val="473"/>
        </w:trPr>
        <w:tc>
          <w:tcPr>
            <w:tcW w:w="500" w:type="dxa"/>
            <w:vAlign w:val="bottom"/>
          </w:tcPr>
          <w:p>
            <w:pPr>
              <w:spacing w:after="0"/>
              <w:rPr>
                <w:sz w:val="20"/>
                <w:szCs w:val="20"/>
                <w:color w:val="auto"/>
              </w:rPr>
            </w:pPr>
            <w:r>
              <w:rPr>
                <w:rFonts w:ascii="Arial" w:cs="Arial" w:eastAsia="Arial" w:hAnsi="Arial"/>
                <w:sz w:val="18"/>
                <w:szCs w:val="18"/>
                <w:color w:val="auto"/>
              </w:rPr>
              <w:t>(xxi)</w:t>
            </w:r>
          </w:p>
        </w:tc>
        <w:tc>
          <w:tcPr>
            <w:tcW w:w="7260" w:type="dxa"/>
            <w:vAlign w:val="bottom"/>
            <w:gridSpan w:val="3"/>
          </w:tcPr>
          <w:p>
            <w:pPr>
              <w:ind w:left="140"/>
              <w:spacing w:after="0"/>
              <w:rPr>
                <w:sz w:val="20"/>
                <w:szCs w:val="20"/>
                <w:color w:val="auto"/>
              </w:rPr>
            </w:pPr>
            <w:r>
              <w:rPr>
                <w:rFonts w:ascii="Arial" w:cs="Arial" w:eastAsia="Arial" w:hAnsi="Arial"/>
                <w:sz w:val="18"/>
                <w:szCs w:val="18"/>
                <w:color w:val="auto"/>
                <w:w w:val="94"/>
              </w:rPr>
              <w:t>the cumulative effect of a change in accounting  $   principles during such Test Period shall be</w:t>
            </w:r>
          </w:p>
        </w:tc>
      </w:tr>
      <w:tr>
        <w:trPr>
          <w:trHeight w:val="222"/>
        </w:trPr>
        <w:tc>
          <w:tcPr>
            <w:tcW w:w="50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excluded;</w:t>
            </w:r>
          </w:p>
        </w:tc>
        <w:tc>
          <w:tcPr>
            <w:tcW w:w="18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r>
    </w:tbl>
    <w:p>
      <w:pPr>
        <w:spacing w:after="0" w:line="268" w:lineRule="exact"/>
        <w:rPr>
          <w:sz w:val="20"/>
          <w:szCs w:val="20"/>
          <w:color w:val="auto"/>
        </w:rPr>
      </w:pPr>
    </w:p>
    <w:p>
      <w:pPr>
        <w:jc w:val="both"/>
        <w:ind w:left="1080" w:right="1359" w:hanging="295"/>
        <w:spacing w:after="0" w:line="248" w:lineRule="auto"/>
        <w:tabs>
          <w:tab w:leader="none" w:pos="1072"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the sum (without duplication), of the following amounts for such Test Period, but</w:t>
      </w:r>
      <w:r>
        <w:rPr>
          <w:rFonts w:ascii="Arial" w:cs="Arial" w:eastAsia="Arial" w:hAnsi="Arial"/>
          <w:sz w:val="18"/>
          <w:szCs w:val="18"/>
          <w:i w:val="1"/>
          <w:iCs w:val="1"/>
          <w:color w:val="auto"/>
        </w:rPr>
        <w:t xml:space="preserve"> </w:t>
      </w:r>
      <w:r>
        <w:rPr>
          <w:rFonts w:ascii="Arial" w:cs="Arial" w:eastAsia="Arial" w:hAnsi="Arial"/>
          <w:sz w:val="18"/>
          <w:szCs w:val="18"/>
          <w:color w:val="auto"/>
        </w:rPr>
        <w:t>solely to the extent increasing Consolidated Net Income for such Test Period (except as set forth in clause (c)(vi)):</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20" w:type="dxa"/>
            <w:vAlign w:val="bottom"/>
          </w:tcPr>
          <w:p>
            <w:pPr>
              <w:jc w:val="right"/>
              <w:ind w:right="68"/>
              <w:spacing w:after="0"/>
              <w:rPr>
                <w:sz w:val="20"/>
                <w:szCs w:val="20"/>
                <w:color w:val="auto"/>
              </w:rPr>
            </w:pPr>
            <w:r>
              <w:rPr>
                <w:rFonts w:ascii="Arial" w:cs="Arial" w:eastAsia="Arial" w:hAnsi="Arial"/>
                <w:sz w:val="18"/>
                <w:szCs w:val="18"/>
                <w:color w:val="auto"/>
              </w:rPr>
              <w:t>(i)</w:t>
            </w:r>
          </w:p>
        </w:tc>
        <w:tc>
          <w:tcPr>
            <w:tcW w:w="4220" w:type="dxa"/>
            <w:vAlign w:val="bottom"/>
            <w:gridSpan w:val="7"/>
          </w:tcPr>
          <w:p>
            <w:pPr>
              <w:ind w:left="140"/>
              <w:spacing w:after="0"/>
              <w:rPr>
                <w:sz w:val="20"/>
                <w:szCs w:val="20"/>
                <w:color w:val="auto"/>
              </w:rPr>
            </w:pPr>
            <w:r>
              <w:rPr>
                <w:rFonts w:ascii="Arial" w:cs="Arial" w:eastAsia="Arial" w:hAnsi="Arial"/>
                <w:sz w:val="18"/>
                <w:szCs w:val="18"/>
                <w:color w:val="auto"/>
                <w:w w:val="94"/>
              </w:rPr>
              <w:t>any cash payment made with respect to any non-cash</w:t>
            </w: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89"/>
        </w:trPr>
        <w:tc>
          <w:tcPr>
            <w:tcW w:w="420" w:type="dxa"/>
            <w:vAlign w:val="bottom"/>
          </w:tcPr>
          <w:p>
            <w:pPr>
              <w:spacing w:after="0"/>
              <w:rPr>
                <w:sz w:val="16"/>
                <w:szCs w:val="16"/>
                <w:color w:val="auto"/>
              </w:rPr>
            </w:pPr>
          </w:p>
        </w:tc>
        <w:tc>
          <w:tcPr>
            <w:tcW w:w="4220" w:type="dxa"/>
            <w:vAlign w:val="bottom"/>
            <w:gridSpan w:val="7"/>
          </w:tcPr>
          <w:p>
            <w:pPr>
              <w:ind w:left="140"/>
              <w:spacing w:after="0" w:line="189" w:lineRule="exact"/>
              <w:rPr>
                <w:sz w:val="20"/>
                <w:szCs w:val="20"/>
                <w:color w:val="auto"/>
              </w:rPr>
            </w:pPr>
            <w:r>
              <w:rPr>
                <w:rFonts w:ascii="Arial" w:cs="Arial" w:eastAsia="Arial" w:hAnsi="Arial"/>
                <w:sz w:val="18"/>
                <w:szCs w:val="18"/>
                <w:color w:val="auto"/>
              </w:rPr>
              <w:t>items  added  back  in  computing  Consolidated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01"/>
        </w:trPr>
        <w:tc>
          <w:tcPr>
            <w:tcW w:w="420" w:type="dxa"/>
            <w:vAlign w:val="bottom"/>
          </w:tcPr>
          <w:p>
            <w:pPr>
              <w:spacing w:after="0"/>
              <w:rPr>
                <w:sz w:val="17"/>
                <w:szCs w:val="17"/>
                <w:color w:val="auto"/>
              </w:rPr>
            </w:pPr>
          </w:p>
        </w:tc>
        <w:tc>
          <w:tcPr>
            <w:tcW w:w="4220" w:type="dxa"/>
            <w:vAlign w:val="bottom"/>
            <w:gridSpan w:val="7"/>
          </w:tcPr>
          <w:p>
            <w:pPr>
              <w:ind w:left="140"/>
              <w:spacing w:after="0" w:line="201" w:lineRule="exact"/>
              <w:rPr>
                <w:sz w:val="20"/>
                <w:szCs w:val="20"/>
                <w:color w:val="auto"/>
              </w:rPr>
            </w:pPr>
            <w:r>
              <w:rPr>
                <w:rFonts w:ascii="Arial" w:cs="Arial" w:eastAsia="Arial" w:hAnsi="Arial"/>
                <w:sz w:val="18"/>
                <w:szCs w:val="18"/>
                <w:color w:val="auto"/>
                <w:w w:val="94"/>
              </w:rPr>
              <w:t>CEBITDA for any prior Test Period pursuant to clause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3940" w:type="dxa"/>
            <w:vAlign w:val="bottom"/>
            <w:gridSpan w:val="3"/>
          </w:tcPr>
          <w:p>
            <w:pPr>
              <w:ind w:left="140"/>
              <w:spacing w:after="0"/>
              <w:rPr>
                <w:sz w:val="20"/>
                <w:szCs w:val="20"/>
                <w:color w:val="auto"/>
              </w:rPr>
            </w:pPr>
            <w:r>
              <w:rPr>
                <w:rFonts w:ascii="Arial" w:cs="Arial" w:eastAsia="Arial" w:hAnsi="Arial"/>
                <w:sz w:val="18"/>
                <w:szCs w:val="18"/>
                <w:color w:val="auto"/>
              </w:rPr>
              <w:t>(b) above;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60"/>
        </w:trPr>
        <w:tc>
          <w:tcPr>
            <w:tcW w:w="420" w:type="dxa"/>
            <w:vAlign w:val="bottom"/>
          </w:tcPr>
          <w:p>
            <w:pPr>
              <w:jc w:val="right"/>
              <w:ind w:right="68"/>
              <w:spacing w:after="0"/>
              <w:rPr>
                <w:sz w:val="20"/>
                <w:szCs w:val="20"/>
                <w:color w:val="auto"/>
              </w:rPr>
            </w:pPr>
            <w:r>
              <w:rPr>
                <w:rFonts w:ascii="Arial" w:cs="Arial" w:eastAsia="Arial" w:hAnsi="Arial"/>
                <w:sz w:val="18"/>
                <w:szCs w:val="18"/>
                <w:color w:val="auto"/>
              </w:rPr>
              <w:t>(ii)</w:t>
            </w:r>
          </w:p>
        </w:tc>
        <w:tc>
          <w:tcPr>
            <w:tcW w:w="3160" w:type="dxa"/>
            <w:vAlign w:val="bottom"/>
          </w:tcPr>
          <w:p>
            <w:pPr>
              <w:ind w:left="140"/>
              <w:spacing w:after="0"/>
              <w:rPr>
                <w:sz w:val="20"/>
                <w:szCs w:val="20"/>
                <w:color w:val="auto"/>
              </w:rPr>
            </w:pPr>
            <w:r>
              <w:rPr>
                <w:rFonts w:ascii="Arial" w:cs="Arial" w:eastAsia="Arial" w:hAnsi="Arial"/>
                <w:sz w:val="18"/>
                <w:szCs w:val="18"/>
                <w:color w:val="auto"/>
                <w:w w:val="96"/>
              </w:rPr>
              <w:t>extraordinary or non-recurring gains;  $</w:t>
            </w:r>
          </w:p>
        </w:tc>
        <w:tc>
          <w:tcPr>
            <w:tcW w:w="2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94"/>
        </w:trPr>
        <w:tc>
          <w:tcPr>
            <w:tcW w:w="420" w:type="dxa"/>
            <w:vAlign w:val="bottom"/>
          </w:tcPr>
          <w:p>
            <w:pPr>
              <w:jc w:val="right"/>
              <w:ind w:right="68"/>
              <w:spacing w:after="0"/>
              <w:rPr>
                <w:sz w:val="20"/>
                <w:szCs w:val="20"/>
                <w:color w:val="auto"/>
              </w:rPr>
            </w:pPr>
            <w:r>
              <w:rPr>
                <w:rFonts w:ascii="Arial" w:cs="Arial" w:eastAsia="Arial" w:hAnsi="Arial"/>
                <w:sz w:val="18"/>
                <w:szCs w:val="18"/>
                <w:color w:val="auto"/>
                <w:w w:val="99"/>
              </w:rPr>
              <w:t>(iii)</w:t>
            </w:r>
          </w:p>
        </w:tc>
        <w:tc>
          <w:tcPr>
            <w:tcW w:w="3940" w:type="dxa"/>
            <w:vAlign w:val="bottom"/>
            <w:gridSpan w:val="3"/>
          </w:tcPr>
          <w:p>
            <w:pPr>
              <w:ind w:left="140"/>
              <w:spacing w:after="0"/>
              <w:rPr>
                <w:sz w:val="20"/>
                <w:szCs w:val="20"/>
                <w:color w:val="auto"/>
              </w:rPr>
            </w:pPr>
            <w:r>
              <w:rPr>
                <w:rFonts w:ascii="Arial" w:cs="Arial" w:eastAsia="Arial" w:hAnsi="Arial"/>
                <w:sz w:val="18"/>
                <w:szCs w:val="18"/>
                <w:color w:val="auto"/>
                <w:w w:val="94"/>
              </w:rPr>
              <w:t>non-cash gains for employee compensation plans;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933"/>
        </w:trPr>
        <w:tc>
          <w:tcPr>
            <w:tcW w:w="420" w:type="dxa"/>
            <w:vAlign w:val="bottom"/>
          </w:tcPr>
          <w:p>
            <w:pPr>
              <w:jc w:val="right"/>
              <w:ind w:right="68"/>
              <w:spacing w:after="0"/>
              <w:rPr>
                <w:sz w:val="20"/>
                <w:szCs w:val="20"/>
                <w:color w:val="auto"/>
              </w:rPr>
            </w:pPr>
            <w:r>
              <w:rPr>
                <w:rFonts w:ascii="Arial" w:cs="Arial" w:eastAsia="Arial" w:hAnsi="Arial"/>
                <w:sz w:val="18"/>
                <w:szCs w:val="18"/>
                <w:color w:val="auto"/>
                <w:w w:val="95"/>
              </w:rPr>
              <w:t>(iv)</w:t>
            </w:r>
          </w:p>
        </w:tc>
        <w:tc>
          <w:tcPr>
            <w:tcW w:w="3940" w:type="dxa"/>
            <w:vAlign w:val="bottom"/>
            <w:gridSpan w:val="3"/>
          </w:tcPr>
          <w:p>
            <w:pPr>
              <w:ind w:left="140"/>
              <w:spacing w:after="0"/>
              <w:rPr>
                <w:sz w:val="20"/>
                <w:szCs w:val="20"/>
                <w:color w:val="auto"/>
              </w:rPr>
            </w:pPr>
            <w:r>
              <w:rPr>
                <w:rFonts w:ascii="Arial" w:cs="Arial" w:eastAsia="Arial" w:hAnsi="Arial"/>
                <w:sz w:val="18"/>
                <w:szCs w:val="18"/>
                <w:color w:val="auto"/>
                <w:w w:val="91"/>
              </w:rPr>
              <w:t>other non-cash gains (excluding any such non-cash</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4"/>
          </w:tcPr>
          <w:p>
            <w:pPr>
              <w:ind w:left="60"/>
              <w:spacing w:after="0"/>
              <w:rPr>
                <w:sz w:val="20"/>
                <w:szCs w:val="20"/>
                <w:color w:val="auto"/>
              </w:rPr>
            </w:pPr>
            <w:r>
              <w:rPr>
                <w:rFonts w:ascii="Arial" w:cs="Arial" w:eastAsia="Arial" w:hAnsi="Arial"/>
                <w:sz w:val="18"/>
                <w:szCs w:val="18"/>
                <w:color w:val="auto"/>
                <w:w w:val="90"/>
              </w:rPr>
              <w:t>gain to the extent that it represents the</w:t>
            </w:r>
          </w:p>
        </w:tc>
      </w:tr>
      <w:tr>
        <w:trPr>
          <w:trHeight w:val="189"/>
        </w:trPr>
        <w:tc>
          <w:tcPr>
            <w:tcW w:w="420" w:type="dxa"/>
            <w:vAlign w:val="bottom"/>
          </w:tcPr>
          <w:p>
            <w:pPr>
              <w:spacing w:after="0"/>
              <w:rPr>
                <w:sz w:val="16"/>
                <w:szCs w:val="16"/>
                <w:color w:val="auto"/>
              </w:rPr>
            </w:pPr>
          </w:p>
        </w:tc>
        <w:tc>
          <w:tcPr>
            <w:tcW w:w="394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reversal of an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7220" w:type="dxa"/>
            <w:vAlign w:val="bottom"/>
            <w:gridSpan w:val="14"/>
          </w:tcPr>
          <w:p>
            <w:pPr>
              <w:ind w:left="140"/>
              <w:spacing w:after="0"/>
              <w:rPr>
                <w:sz w:val="20"/>
                <w:szCs w:val="20"/>
                <w:color w:val="auto"/>
              </w:rPr>
            </w:pPr>
            <w:r>
              <w:rPr>
                <w:rFonts w:ascii="Arial" w:cs="Arial" w:eastAsia="Arial" w:hAnsi="Arial"/>
                <w:sz w:val="18"/>
                <w:szCs w:val="18"/>
                <w:color w:val="auto"/>
              </w:rPr>
              <w:t>accrual or reserve for potential cash items in any prior Test Period);</w:t>
            </w:r>
          </w:p>
        </w:tc>
      </w:tr>
      <w:tr>
        <w:trPr>
          <w:trHeight w:val="473"/>
        </w:trPr>
        <w:tc>
          <w:tcPr>
            <w:tcW w:w="420" w:type="dxa"/>
            <w:vAlign w:val="bottom"/>
          </w:tcPr>
          <w:p>
            <w:pPr>
              <w:jc w:val="right"/>
              <w:ind w:right="68"/>
              <w:spacing w:after="0"/>
              <w:rPr>
                <w:sz w:val="20"/>
                <w:szCs w:val="20"/>
                <w:color w:val="auto"/>
              </w:rPr>
            </w:pPr>
            <w:r>
              <w:rPr>
                <w:rFonts w:ascii="Arial" w:cs="Arial" w:eastAsia="Arial" w:hAnsi="Arial"/>
                <w:sz w:val="18"/>
                <w:szCs w:val="18"/>
                <w:color w:val="auto"/>
              </w:rPr>
              <w:t>(v)</w:t>
            </w:r>
          </w:p>
        </w:tc>
        <w:tc>
          <w:tcPr>
            <w:tcW w:w="3940" w:type="dxa"/>
            <w:vAlign w:val="bottom"/>
            <w:gridSpan w:val="3"/>
          </w:tcPr>
          <w:p>
            <w:pPr>
              <w:ind w:left="140"/>
              <w:spacing w:after="0"/>
              <w:rPr>
                <w:sz w:val="20"/>
                <w:szCs w:val="20"/>
                <w:color w:val="auto"/>
              </w:rPr>
            </w:pPr>
            <w:r>
              <w:rPr>
                <w:rFonts w:ascii="Arial" w:cs="Arial" w:eastAsia="Arial" w:hAnsi="Arial"/>
                <w:sz w:val="18"/>
                <w:szCs w:val="18"/>
                <w:color w:val="auto"/>
                <w:w w:val="94"/>
              </w:rPr>
              <w:t>any net gains resulting in such Test Period from  $</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gridSpan w:val="9"/>
          </w:tcPr>
          <w:p>
            <w:pPr>
              <w:ind w:left="40"/>
              <w:spacing w:after="0"/>
              <w:rPr>
                <w:sz w:val="20"/>
                <w:szCs w:val="20"/>
                <w:color w:val="auto"/>
              </w:rPr>
            </w:pPr>
            <w:r>
              <w:rPr>
                <w:rFonts w:ascii="Arial" w:cs="Arial" w:eastAsia="Arial" w:hAnsi="Arial"/>
                <w:sz w:val="18"/>
                <w:szCs w:val="18"/>
                <w:color w:val="auto"/>
              </w:rPr>
              <w:t>currency translation gains or losses</w:t>
            </w:r>
          </w:p>
        </w:tc>
      </w:tr>
      <w:tr>
        <w:trPr>
          <w:trHeight w:val="189"/>
        </w:trPr>
        <w:tc>
          <w:tcPr>
            <w:tcW w:w="420" w:type="dxa"/>
            <w:vAlign w:val="bottom"/>
          </w:tcPr>
          <w:p>
            <w:pPr>
              <w:spacing w:after="0"/>
              <w:rPr>
                <w:sz w:val="16"/>
                <w:szCs w:val="16"/>
                <w:color w:val="auto"/>
              </w:rPr>
            </w:pPr>
          </w:p>
        </w:tc>
        <w:tc>
          <w:tcPr>
            <w:tcW w:w="3940" w:type="dxa"/>
            <w:vAlign w:val="bottom"/>
            <w:gridSpan w:val="3"/>
          </w:tcPr>
          <w:p>
            <w:pPr>
              <w:ind w:left="140"/>
              <w:spacing w:after="0" w:line="189" w:lineRule="exact"/>
              <w:rPr>
                <w:sz w:val="20"/>
                <w:szCs w:val="20"/>
                <w:color w:val="auto"/>
              </w:rPr>
            </w:pPr>
            <w:r>
              <w:rPr>
                <w:rFonts w:ascii="Arial" w:cs="Arial" w:eastAsia="Arial" w:hAnsi="Arial"/>
                <w:sz w:val="18"/>
                <w:szCs w:val="18"/>
                <w:color w:val="auto"/>
                <w:w w:val="89"/>
              </w:rPr>
              <w:t>related to currency remeasurements of Indebtedness</w:t>
            </w:r>
          </w:p>
        </w:tc>
        <w:tc>
          <w:tcPr>
            <w:tcW w:w="180" w:type="dxa"/>
            <w:vAlign w:val="bottom"/>
            <w:gridSpan w:val="2"/>
          </w:tcPr>
          <w:p>
            <w:pPr>
              <w:spacing w:after="0"/>
              <w:rPr>
                <w:sz w:val="16"/>
                <w:szCs w:val="16"/>
                <w:color w:val="auto"/>
              </w:rPr>
            </w:pPr>
          </w:p>
        </w:tc>
        <w:tc>
          <w:tcPr>
            <w:tcW w:w="3100" w:type="dxa"/>
            <w:vAlign w:val="bottom"/>
            <w:gridSpan w:val="9"/>
          </w:tcPr>
          <w:p>
            <w:pPr>
              <w:spacing w:after="0" w:line="189" w:lineRule="exact"/>
              <w:rPr>
                <w:sz w:val="20"/>
                <w:szCs w:val="20"/>
                <w:color w:val="auto"/>
              </w:rPr>
            </w:pPr>
            <w:r>
              <w:rPr>
                <w:rFonts w:ascii="Arial" w:cs="Arial" w:eastAsia="Arial" w:hAnsi="Arial"/>
                <w:sz w:val="18"/>
                <w:szCs w:val="18"/>
                <w:color w:val="auto"/>
              </w:rPr>
              <w:t>(including any net</w:t>
            </w:r>
          </w:p>
        </w:tc>
      </w:tr>
      <w:tr>
        <w:trPr>
          <w:trHeight w:val="201"/>
        </w:trPr>
        <w:tc>
          <w:tcPr>
            <w:tcW w:w="420" w:type="dxa"/>
            <w:vAlign w:val="bottom"/>
          </w:tcPr>
          <w:p>
            <w:pPr>
              <w:spacing w:after="0"/>
              <w:rPr>
                <w:sz w:val="17"/>
                <w:szCs w:val="17"/>
                <w:color w:val="auto"/>
              </w:rPr>
            </w:pPr>
          </w:p>
        </w:tc>
        <w:tc>
          <w:tcPr>
            <w:tcW w:w="7220" w:type="dxa"/>
            <w:vAlign w:val="bottom"/>
            <w:gridSpan w:val="14"/>
          </w:tcPr>
          <w:p>
            <w:pPr>
              <w:ind w:left="140"/>
              <w:spacing w:after="0" w:line="201" w:lineRule="exact"/>
              <w:rPr>
                <w:sz w:val="20"/>
                <w:szCs w:val="20"/>
                <w:color w:val="auto"/>
              </w:rPr>
            </w:pPr>
            <w:r>
              <w:rPr>
                <w:rFonts w:ascii="Arial" w:cs="Arial" w:eastAsia="Arial" w:hAnsi="Arial"/>
                <w:sz w:val="18"/>
                <w:szCs w:val="18"/>
                <w:color w:val="auto"/>
              </w:rPr>
              <w:t>loss or gain resulting from Swap Agreements for currency exchange risk (but</w:t>
            </w:r>
          </w:p>
        </w:tc>
      </w:tr>
      <w:tr>
        <w:trPr>
          <w:trHeight w:val="234"/>
        </w:trPr>
        <w:tc>
          <w:tcPr>
            <w:tcW w:w="420" w:type="dxa"/>
            <w:vAlign w:val="bottom"/>
          </w:tcPr>
          <w:p>
            <w:pPr>
              <w:spacing w:after="0"/>
              <w:rPr>
                <w:sz w:val="20"/>
                <w:szCs w:val="20"/>
                <w:color w:val="auto"/>
              </w:rPr>
            </w:pPr>
          </w:p>
        </w:tc>
        <w:tc>
          <w:tcPr>
            <w:tcW w:w="3940" w:type="dxa"/>
            <w:vAlign w:val="bottom"/>
            <w:gridSpan w:val="3"/>
          </w:tcPr>
          <w:p>
            <w:pPr>
              <w:ind w:left="140"/>
              <w:spacing w:after="0"/>
              <w:rPr>
                <w:sz w:val="20"/>
                <w:szCs w:val="20"/>
                <w:color w:val="auto"/>
              </w:rPr>
            </w:pPr>
            <w:r>
              <w:rPr>
                <w:rFonts w:ascii="Arial" w:cs="Arial" w:eastAsia="Arial" w:hAnsi="Arial"/>
                <w:sz w:val="18"/>
                <w:szCs w:val="18"/>
                <w:color w:val="auto"/>
              </w:rPr>
              <w:t>excluding inter-company transactions); plus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73"/>
        </w:trPr>
        <w:tc>
          <w:tcPr>
            <w:tcW w:w="420" w:type="dxa"/>
            <w:vAlign w:val="bottom"/>
          </w:tcPr>
          <w:p>
            <w:pPr>
              <w:jc w:val="right"/>
              <w:ind w:right="68"/>
              <w:spacing w:after="0"/>
              <w:rPr>
                <w:sz w:val="20"/>
                <w:szCs w:val="20"/>
                <w:color w:val="auto"/>
              </w:rPr>
            </w:pPr>
            <w:r>
              <w:rPr>
                <w:rFonts w:ascii="Arial" w:cs="Arial" w:eastAsia="Arial" w:hAnsi="Arial"/>
                <w:sz w:val="18"/>
                <w:szCs w:val="18"/>
                <w:color w:val="auto"/>
                <w:w w:val="95"/>
              </w:rPr>
              <w:t>(vi)</w:t>
            </w:r>
          </w:p>
        </w:tc>
        <w:tc>
          <w:tcPr>
            <w:tcW w:w="4220" w:type="dxa"/>
            <w:vAlign w:val="bottom"/>
            <w:gridSpan w:val="7"/>
          </w:tcPr>
          <w:p>
            <w:pPr>
              <w:ind w:left="140"/>
              <w:spacing w:after="0"/>
              <w:rPr>
                <w:sz w:val="20"/>
                <w:szCs w:val="20"/>
                <w:color w:val="auto"/>
              </w:rPr>
            </w:pPr>
            <w:r>
              <w:rPr>
                <w:rFonts w:ascii="Arial" w:cs="Arial" w:eastAsia="Arial" w:hAnsi="Arial"/>
                <w:sz w:val="18"/>
                <w:szCs w:val="18"/>
                <w:color w:val="auto"/>
                <w:w w:val="94"/>
              </w:rPr>
              <w:t>the net amount, if any, by which consolidated deferred</w:t>
            </w:r>
          </w:p>
        </w:tc>
        <w:tc>
          <w:tcPr>
            <w:tcW w:w="100" w:type="dxa"/>
            <w:vAlign w:val="bottom"/>
          </w:tcPr>
          <w:p>
            <w:pPr>
              <w:spacing w:after="0"/>
              <w:rPr>
                <w:sz w:val="24"/>
                <w:szCs w:val="24"/>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color w:val="auto"/>
              </w:rPr>
              <w:t>$   revenues of the Borrower and its</w:t>
            </w:r>
          </w:p>
        </w:tc>
      </w:tr>
      <w:tr>
        <w:trPr>
          <w:trHeight w:val="189"/>
        </w:trPr>
        <w:tc>
          <w:tcPr>
            <w:tcW w:w="420" w:type="dxa"/>
            <w:vAlign w:val="bottom"/>
          </w:tcPr>
          <w:p>
            <w:pPr>
              <w:spacing w:after="0"/>
              <w:rPr>
                <w:sz w:val="16"/>
                <w:szCs w:val="16"/>
                <w:color w:val="auto"/>
              </w:rPr>
            </w:pPr>
          </w:p>
        </w:tc>
        <w:tc>
          <w:tcPr>
            <w:tcW w:w="394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2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3940" w:type="dxa"/>
            <w:vAlign w:val="bottom"/>
            <w:gridSpan w:val="3"/>
          </w:tcPr>
          <w:p>
            <w:pPr>
              <w:ind w:left="140"/>
              <w:spacing w:after="0"/>
              <w:rPr>
                <w:sz w:val="20"/>
                <w:szCs w:val="20"/>
                <w:color w:val="auto"/>
              </w:rPr>
            </w:pPr>
            <w:r>
              <w:rPr>
                <w:rFonts w:ascii="Arial" w:cs="Arial" w:eastAsia="Arial" w:hAnsi="Arial"/>
                <w:sz w:val="18"/>
                <w:szCs w:val="18"/>
                <w:color w:val="auto"/>
                <w:w w:val="97"/>
              </w:rPr>
              <w:t>Subsidiaries decreased during such Test Period.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419735</wp:posOffset>
            </wp:positionV>
            <wp:extent cx="454025" cy="1670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019"/>
          </w:cols>
          <w:pgMar w:left="1440" w:top="1320" w:right="1440" w:bottom="1440" w:gutter="0" w:footer="0" w:header="0"/>
        </w:sectPr>
      </w:pPr>
    </w:p>
    <w:bookmarkStart w:id="331" w:name="page332"/>
    <w:bookmarkEnd w:id="331"/>
    <w:p>
      <w:pPr>
        <w:jc w:val="center"/>
        <w:ind w:right="119"/>
        <w:spacing w:after="0"/>
        <w:tabs>
          <w:tab w:leader="none" w:pos="160" w:val="left"/>
        </w:tabs>
        <w:rPr>
          <w:sz w:val="20"/>
          <w:szCs w:val="20"/>
          <w:color w:val="auto"/>
        </w:rPr>
      </w:pPr>
      <w:r>
        <w:rPr>
          <w:rFonts w:ascii="Arial" w:cs="Arial" w:eastAsia="Arial" w:hAnsi="Arial"/>
          <w:sz w:val="18"/>
          <w:szCs w:val="18"/>
          <w:color w:val="auto"/>
        </w:rPr>
        <w:t>Consolidated CEBITDA for such Test 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-8890</wp:posOffset>
            </wp:positionV>
            <wp:extent cx="1460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71" w:lineRule="exact"/>
        <w:rPr>
          <w:sz w:val="20"/>
          <w:szCs w:val="20"/>
          <w:color w:val="auto"/>
        </w:rPr>
      </w:pPr>
    </w:p>
    <w:p>
      <w:pPr>
        <w:spacing w:after="0"/>
        <w:tabs>
          <w:tab w:leader="none" w:pos="5380" w:val="left"/>
          <w:tab w:leader="none" w:pos="5640" w:val="left"/>
        </w:tabs>
        <w:rPr>
          <w:sz w:val="20"/>
          <w:szCs w:val="20"/>
          <w:color w:val="auto"/>
        </w:rPr>
      </w:pPr>
      <w:r>
        <w:rPr>
          <w:rFonts w:ascii="Arial" w:cs="Arial" w:eastAsia="Arial" w:hAnsi="Arial"/>
          <w:sz w:val="18"/>
          <w:szCs w:val="18"/>
          <w:b w:val="1"/>
          <w:bCs w:val="1"/>
          <w:color w:val="auto"/>
        </w:rPr>
        <w:t xml:space="preserve">Total Net First Lien Leverage Ratio </w:t>
      </w:r>
      <w:r>
        <w:rPr>
          <w:rFonts w:ascii="Arial" w:cs="Arial" w:eastAsia="Arial" w:hAnsi="Arial"/>
          <w:sz w:val="18"/>
          <w:szCs w:val="18"/>
          <w:color w:val="auto"/>
        </w:rPr>
        <w:t>= ((A(i) – (A)(ii)) – (B)) ÷ (C)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-6350</wp:posOffset>
            </wp:positionV>
            <wp:extent cx="1168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216"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Covenant Requirement for such Test Period:</w:t>
      </w:r>
      <w:r>
        <w:rPr>
          <w:sz w:val="20"/>
          <w:szCs w:val="20"/>
          <w:color w:val="auto"/>
        </w:rPr>
        <w:tab/>
      </w:r>
      <w:r>
        <w:rPr>
          <w:rFonts w:ascii="Arial" w:cs="Arial" w:eastAsia="Arial" w:hAnsi="Arial"/>
          <w:sz w:val="16"/>
          <w:szCs w:val="16"/>
          <w:color w:val="auto"/>
        </w:rPr>
        <w:t>No more than</w:t>
      </w:r>
    </w:p>
    <w:p>
      <w:pPr>
        <w:spacing w:after="0" w:line="10" w:lineRule="exact"/>
        <w:rPr>
          <w:sz w:val="20"/>
          <w:szCs w:val="20"/>
          <w:color w:val="auto"/>
        </w:rPr>
      </w:pPr>
    </w:p>
    <w:p>
      <w:pPr>
        <w:jc w:val="right"/>
        <w:ind w:right="2419"/>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-19050</wp:posOffset>
            </wp:positionV>
            <wp:extent cx="1168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Compliance:</w:t>
      </w:r>
      <w:r>
        <w:rPr>
          <w:sz w:val="20"/>
          <w:szCs w:val="20"/>
          <w:color w:val="auto"/>
        </w:rPr>
        <w:tab/>
      </w:r>
      <w:r>
        <w:rPr>
          <w:rFonts w:ascii="Arial" w:cs="Arial" w:eastAsia="Arial" w:hAnsi="Arial"/>
          <w:sz w:val="17"/>
          <w:szCs w:val="17"/>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436880</wp:posOffset>
            </wp:positionV>
            <wp:extent cx="454025" cy="1670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454025" cy="167005"/>
                    </a:xfrm>
                    <a:prstGeom prst="rect">
                      <a:avLst/>
                    </a:prstGeom>
                    <a:noFill/>
                  </pic:spPr>
                </pic:pic>
              </a:graphicData>
            </a:graphic>
          </wp:anchor>
        </w:drawing>
      </w:r>
    </w:p>
    <w:p>
      <w:pPr>
        <w:sectPr>
          <w:pgSz w:w="11900" w:h="16838" w:orient="portrait"/>
          <w:cols w:equalWidth="0" w:num="1">
            <w:col w:w="9139"/>
          </w:cols>
          <w:pgMar w:left="1320" w:top="1326" w:right="1440" w:bottom="1440" w:gutter="0" w:footer="0" w:header="0"/>
        </w:sectPr>
      </w:pPr>
    </w:p>
    <w:bookmarkStart w:id="332" w:name="page333"/>
    <w:bookmarkEnd w:id="332"/>
    <w:p>
      <w:pPr>
        <w:ind w:left="5100"/>
        <w:spacing w:after="0"/>
        <w:rPr>
          <w:sz w:val="20"/>
          <w:szCs w:val="20"/>
          <w:color w:val="auto"/>
        </w:rPr>
      </w:pPr>
      <w:r>
        <w:rPr>
          <w:rFonts w:ascii="Arial" w:cs="Arial" w:eastAsia="Arial" w:hAnsi="Arial"/>
          <w:sz w:val="18"/>
          <w:szCs w:val="18"/>
          <w:b w:val="1"/>
          <w:bCs w:val="1"/>
          <w:u w:val="single" w:color="auto"/>
          <w:color w:val="auto"/>
        </w:rPr>
        <w:t>EXHIBIT C</w:t>
      </w:r>
    </w:p>
    <w:p>
      <w:pPr>
        <w:spacing w:after="0" w:line="200" w:lineRule="exact"/>
        <w:rPr>
          <w:sz w:val="20"/>
          <w:szCs w:val="20"/>
          <w:color w:val="auto"/>
        </w:rPr>
      </w:pPr>
    </w:p>
    <w:p>
      <w:pPr>
        <w:spacing w:after="0" w:line="362"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DISCLOSURE OF DEFAULT AND/OR EVENT OF</w:t>
      </w:r>
    </w:p>
    <w:p>
      <w:pPr>
        <w:spacing w:after="0" w:line="21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149860</wp:posOffset>
            </wp:positionV>
            <wp:extent cx="454025" cy="135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454025" cy="135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[[5662673]]</w:t>
      </w:r>
    </w:p>
    <w:p>
      <w:pPr>
        <w:sectPr>
          <w:pgSz w:w="11900" w:h="16838" w:orient="portrait"/>
          <w:cols w:equalWidth="0" w:num="1">
            <w:col w:w="10099"/>
          </w:cols>
          <w:pgMar w:left="360" w:top="1322" w:right="1440"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u w:val="single" w:color="auto"/>
          <w:color w:val="auto"/>
        </w:rPr>
        <w:t>EXHIBIT D</w:t>
      </w:r>
    </w:p>
    <w:p>
      <w:pPr>
        <w:spacing w:after="0" w:line="200" w:lineRule="exact"/>
        <w:rPr>
          <w:sz w:val="20"/>
          <w:szCs w:val="20"/>
          <w:color w:val="auto"/>
        </w:rPr>
      </w:pPr>
    </w:p>
    <w:p>
      <w:pPr>
        <w:spacing w:after="0" w:line="362"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DISCLOSURE OF CERTAIN CHANGES IN THE JURISDICTION</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OF ORGANIZATION</w:t>
      </w:r>
    </w:p>
    <w:p>
      <w:pPr>
        <w:spacing w:after="0" w:line="10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OF ANY LOAN PARTY</w:t>
      </w:r>
    </w:p>
    <w:p>
      <w:pPr>
        <w:sectPr>
          <w:pgSz w:w="11900" w:h="16838" w:orient="portrait"/>
          <w:cols w:equalWidth="0" w:num="1">
            <w:col w:w="9019"/>
          </w:cols>
          <w:pgMar w:left="1440" w:top="1322" w:right="1440"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b w:val="1"/>
          <w:bCs w:val="1"/>
          <w:u w:val="single" w:color="auto"/>
          <w:color w:val="auto"/>
        </w:rPr>
        <w:t>EXHIBIT 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IMMATERIAL SUBSIDIARIES</w:t>
      </w:r>
    </w:p>
    <w:p>
      <w:pPr>
        <w:sectPr>
          <w:pgSz w:w="11900" w:h="16838" w:orient="portrait"/>
          <w:cols w:equalWidth="0" w:num="1">
            <w:col w:w="9019"/>
          </w:cols>
          <w:pgMar w:left="1440" w:top="1322" w:right="1440"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u w:val="single" w:color="auto"/>
          <w:color w:val="auto"/>
        </w:rPr>
        <w:t>EXHIBIT F</w:t>
      </w:r>
    </w:p>
    <w:p>
      <w:pPr>
        <w:spacing w:after="0" w:line="200" w:lineRule="exact"/>
        <w:rPr>
          <w:sz w:val="20"/>
          <w:szCs w:val="20"/>
          <w:color w:val="auto"/>
        </w:rPr>
      </w:pPr>
    </w:p>
    <w:p>
      <w:pPr>
        <w:spacing w:after="0" w:line="262"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UNRESTRICTED SUBSIDIARIES</w:t>
      </w:r>
    </w:p>
    <w:p>
      <w:pPr>
        <w:sectPr>
          <w:pgSz w:w="11900" w:h="16838" w:orient="portrait"/>
          <w:cols w:equalWidth="0" w:num="1">
            <w:col w:w="9019"/>
          </w:cols>
          <w:pgMar w:left="1440" w:top="1322" w:right="1440"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b w:val="1"/>
          <w:bCs w:val="1"/>
          <w:u w:val="single" w:color="auto"/>
          <w:color w:val="auto"/>
        </w:rPr>
        <w:t>EXHIBIT 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INFORMATION REGARDING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UNRESTRICTED SUBSIDIARIES</w:t>
      </w:r>
    </w:p>
    <w:p>
      <w:pPr>
        <w:sectPr>
          <w:pgSz w:w="11900" w:h="16838" w:orient="portrait"/>
          <w:cols w:equalWidth="0" w:num="1">
            <w:col w:w="9019"/>
          </w:cols>
          <w:pgMar w:left="1440" w:top="1322" w:right="1440" w:bottom="1440" w:gutter="0" w:footer="0" w:header="0"/>
        </w:sectPr>
      </w:pPr>
    </w:p>
    <w:bookmarkStart w:id="337" w:name="page338"/>
    <w:bookmarkEnd w:id="337"/>
    <w:p>
      <w:pPr>
        <w:ind w:left="9560"/>
        <w:spacing w:after="0"/>
        <w:rPr>
          <w:sz w:val="20"/>
          <w:szCs w:val="20"/>
          <w:color w:val="auto"/>
        </w:rPr>
      </w:pPr>
      <w:r>
        <w:rPr>
          <w:rFonts w:ascii="Arial" w:cs="Arial" w:eastAsia="Arial" w:hAnsi="Arial"/>
          <w:sz w:val="20"/>
          <w:szCs w:val="20"/>
          <w:color w:val="auto"/>
        </w:rPr>
        <w:t>EXHIBIT C-1</w:t>
      </w:r>
    </w:p>
    <w:p>
      <w:pPr>
        <w:spacing w:after="0" w:line="200" w:lineRule="exact"/>
        <w:rPr>
          <w:sz w:val="20"/>
          <w:szCs w:val="20"/>
          <w:color w:val="auto"/>
        </w:rPr>
      </w:pP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INTERCREDITOR AGREEMENT (FIRST LIEN PARI PASSU DEBT) TERM SHEET</w:t>
      </w:r>
    </w:p>
    <w:p>
      <w:pPr>
        <w:spacing w:after="0" w:line="295" w:lineRule="exact"/>
        <w:rPr>
          <w:sz w:val="20"/>
          <w:szCs w:val="20"/>
          <w:color w:val="auto"/>
        </w:rPr>
      </w:pPr>
    </w:p>
    <w:p>
      <w:pPr>
        <w:jc w:val="both"/>
        <w:ind w:left="960"/>
        <w:spacing w:after="0" w:line="251" w:lineRule="auto"/>
        <w:rPr>
          <w:sz w:val="20"/>
          <w:szCs w:val="20"/>
          <w:color w:val="auto"/>
        </w:rPr>
      </w:pPr>
      <w:r>
        <w:rPr>
          <w:rFonts w:ascii="Arial" w:cs="Arial" w:eastAsia="Arial" w:hAnsi="Arial"/>
          <w:sz w:val="17"/>
          <w:szCs w:val="17"/>
          <w:color w:val="auto"/>
        </w:rPr>
        <w:t>The Following summary is intended to apply to one or more Intercreditor Agreements (each, an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xml:space="preserve">”) entered into in connection with an issuance or incurrence of first lien senior secured notes or loans permitted under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of the Credit Agreement (as defined below) (each, “</w:t>
      </w:r>
      <w:r>
        <w:rPr>
          <w:rFonts w:ascii="Arial" w:cs="Arial" w:eastAsia="Arial" w:hAnsi="Arial"/>
          <w:sz w:val="17"/>
          <w:szCs w:val="17"/>
          <w:u w:val="single" w:color="auto"/>
          <w:color w:val="auto"/>
        </w:rPr>
        <w:t>First Lien Pari Passu Debt</w:t>
      </w:r>
      <w:r>
        <w:rPr>
          <w:rFonts w:ascii="Arial" w:cs="Arial" w:eastAsia="Arial" w:hAnsi="Arial"/>
          <w:sz w:val="17"/>
          <w:szCs w:val="17"/>
          <w:color w:val="auto"/>
        </w:rPr>
        <w:t>”). Capitalized terms used but not defined herein shall have the meanings set forth in the Amended and Restated Credit and Guaranty Agreement dated as of July 2, 2021 (as amended, restated, amended and restated, modified, supplemented and/or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LegalZoom.com,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The following is not intended to be a definitive list of all of the provisions that will be contained in each Intercreditor Agreement. Each Intercreditor Agreement will include, in addition to the provisions set forth herein, provisions that are customary or typical or are otherwise reasonably satisfactory to the Administrative Agent and the Borrower.</w:t>
      </w:r>
    </w:p>
    <w:p>
      <w:pPr>
        <w:spacing w:after="0" w:line="200" w:lineRule="exact"/>
        <w:rPr>
          <w:sz w:val="20"/>
          <w:szCs w:val="20"/>
          <w:color w:val="auto"/>
        </w:rPr>
      </w:pPr>
    </w:p>
    <w:p>
      <w:pPr>
        <w:spacing w:after="0" w:line="209" w:lineRule="exact"/>
        <w:rPr>
          <w:sz w:val="20"/>
          <w:szCs w:val="20"/>
          <w:color w:val="auto"/>
        </w:rPr>
      </w:pPr>
    </w:p>
    <w:p>
      <w:pPr>
        <w:jc w:val="both"/>
        <w:ind w:left="1680" w:right="20" w:hanging="4001"/>
        <w:spacing w:after="0" w:line="250" w:lineRule="auto"/>
        <w:tabs>
          <w:tab w:leader="none" w:pos="1660" w:val="left"/>
        </w:tabs>
        <w:rPr>
          <w:sz w:val="20"/>
          <w:szCs w:val="20"/>
          <w:color w:val="auto"/>
        </w:rPr>
      </w:pPr>
      <w:r>
        <w:rPr>
          <w:rFonts w:ascii="Arial" w:cs="Arial" w:eastAsia="Arial" w:hAnsi="Arial"/>
          <w:sz w:val="18"/>
          <w:szCs w:val="18"/>
          <w:b w:val="1"/>
          <w:bCs w:val="1"/>
          <w:i w:val="1"/>
          <w:iCs w:val="1"/>
          <w:color w:val="auto"/>
        </w:rPr>
        <w:t>Parties</w:t>
      </w:r>
      <w:r>
        <w:rPr>
          <w:sz w:val="20"/>
          <w:szCs w:val="20"/>
          <w:color w:val="auto"/>
        </w:rPr>
        <w:tab/>
      </w:r>
      <w:r>
        <w:rPr>
          <w:rFonts w:ascii="Arial" w:cs="Arial" w:eastAsia="Arial" w:hAnsi="Arial"/>
          <w:sz w:val="18"/>
          <w:szCs w:val="18"/>
          <w:color w:val="auto"/>
        </w:rPr>
        <w:t>The Administrative Agent, the Borrower, the Guarantors and one or more Senior Representatives of the lenders or holders (as applicable) of First Lien Pari Passu Debt (each, a “</w:t>
      </w:r>
      <w:r>
        <w:rPr>
          <w:rFonts w:ascii="Arial" w:cs="Arial" w:eastAsia="Arial" w:hAnsi="Arial"/>
          <w:sz w:val="18"/>
          <w:szCs w:val="18"/>
          <w:u w:val="single" w:color="auto"/>
          <w:color w:val="auto"/>
        </w:rPr>
        <w:t>First Lien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both"/>
        <w:ind w:left="2280" w:right="20" w:hanging="4001"/>
        <w:spacing w:after="0" w:line="250" w:lineRule="auto"/>
        <w:tabs>
          <w:tab w:leader="none" w:pos="2260" w:val="left"/>
        </w:tabs>
        <w:rPr>
          <w:sz w:val="20"/>
          <w:szCs w:val="20"/>
          <w:color w:val="auto"/>
        </w:rPr>
      </w:pPr>
      <w:r>
        <w:rPr>
          <w:rFonts w:ascii="Arial" w:cs="Arial" w:eastAsia="Arial" w:hAnsi="Arial"/>
          <w:sz w:val="18"/>
          <w:szCs w:val="18"/>
          <w:b w:val="1"/>
          <w:bCs w:val="1"/>
          <w:i w:val="1"/>
          <w:iCs w:val="1"/>
          <w:color w:val="auto"/>
        </w:rPr>
        <w:t>Lien Priorities</w:t>
      </w:r>
      <w:r>
        <w:rPr>
          <w:sz w:val="20"/>
          <w:szCs w:val="20"/>
          <w:color w:val="auto"/>
        </w:rPr>
        <w:tab/>
      </w:r>
      <w:r>
        <w:rPr>
          <w:rFonts w:ascii="Arial" w:cs="Arial" w:eastAsia="Arial" w:hAnsi="Arial"/>
          <w:sz w:val="18"/>
          <w:szCs w:val="18"/>
          <w:color w:val="auto"/>
        </w:rPr>
        <w:t xml:space="preserve">So long as the Obligations are outstanding, the liens securing First Lien Pari Passu Debt 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to the liens securing the Obligations subject to customary impairment exceptions.</w:t>
      </w:r>
    </w:p>
    <w:p>
      <w:pPr>
        <w:spacing w:after="0" w:line="396"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8"/>
          <w:szCs w:val="18"/>
          <w:b w:val="1"/>
          <w:bCs w:val="1"/>
          <w:i w:val="1"/>
          <w:iCs w:val="1"/>
          <w:color w:val="auto"/>
        </w:rPr>
        <w:t>Collateral</w:t>
      </w:r>
      <w:r>
        <w:rPr>
          <w:sz w:val="20"/>
          <w:szCs w:val="20"/>
          <w:color w:val="auto"/>
        </w:rPr>
        <w:tab/>
      </w:r>
      <w:r>
        <w:rPr>
          <w:rFonts w:ascii="Arial" w:cs="Arial" w:eastAsia="Arial" w:hAnsi="Arial"/>
          <w:sz w:val="18"/>
          <w:szCs w:val="18"/>
          <w:color w:val="auto"/>
        </w:rPr>
        <w:t>The Collateral and the collateral securing the First Lien Pari Passu Debt will be identical.</w:t>
      </w:r>
    </w:p>
    <w:p>
      <w:pPr>
        <w:spacing w:after="0" w:line="232" w:lineRule="exact"/>
        <w:rPr>
          <w:sz w:val="20"/>
          <w:szCs w:val="20"/>
          <w:color w:val="auto"/>
        </w:rPr>
      </w:pPr>
    </w:p>
    <w:p>
      <w:pPr>
        <w:ind w:left="960"/>
        <w:spacing w:after="0"/>
        <w:tabs>
          <w:tab w:leader="none" w:pos="3560" w:val="left"/>
        </w:tabs>
        <w:rPr>
          <w:sz w:val="20"/>
          <w:szCs w:val="20"/>
          <w:color w:val="auto"/>
        </w:rPr>
      </w:pPr>
      <w:r>
        <w:rPr>
          <w:rFonts w:ascii="Arial" w:cs="Arial" w:eastAsia="Arial" w:hAnsi="Arial"/>
          <w:sz w:val="18"/>
          <w:szCs w:val="18"/>
          <w:b w:val="1"/>
          <w:bCs w:val="1"/>
          <w:i w:val="1"/>
          <w:iCs w:val="1"/>
          <w:color w:val="auto"/>
        </w:rPr>
        <w:t>Prohibition on Contesting Liens</w:t>
      </w:r>
      <w:r>
        <w:rPr>
          <w:sz w:val="20"/>
          <w:szCs w:val="20"/>
          <w:color w:val="auto"/>
        </w:rPr>
        <w:tab/>
      </w:r>
      <w:r>
        <w:rPr>
          <w:rFonts w:ascii="Arial" w:cs="Arial" w:eastAsia="Arial" w:hAnsi="Arial"/>
          <w:sz w:val="17"/>
          <w:szCs w:val="17"/>
          <w:color w:val="auto"/>
        </w:rPr>
        <w:t>The Administrative Agent and the First Lien</w:t>
      </w:r>
    </w:p>
    <w:p>
      <w:pPr>
        <w:spacing w:after="0" w:line="10" w:lineRule="exact"/>
        <w:rPr>
          <w:sz w:val="20"/>
          <w:szCs w:val="20"/>
          <w:color w:val="auto"/>
        </w:rPr>
      </w:pPr>
    </w:p>
    <w:p>
      <w:pPr>
        <w:ind w:left="4960" w:right="20"/>
        <w:spacing w:after="0" w:line="245" w:lineRule="auto"/>
        <w:rPr>
          <w:sz w:val="20"/>
          <w:szCs w:val="20"/>
          <w:color w:val="auto"/>
        </w:rPr>
      </w:pPr>
      <w:r>
        <w:rPr>
          <w:rFonts w:ascii="Arial" w:cs="Arial" w:eastAsia="Arial" w:hAnsi="Arial"/>
          <w:sz w:val="18"/>
          <w:szCs w:val="18"/>
          <w:color w:val="auto"/>
        </w:rPr>
        <w:t>Representatives will not contest or support any other person in contesting, the priority, validity or enforceability of each other’s liens.</w:t>
      </w:r>
    </w:p>
    <w:p>
      <w:pPr>
        <w:spacing w:after="0" w:line="188" w:lineRule="exact"/>
        <w:rPr>
          <w:sz w:val="20"/>
          <w:szCs w:val="20"/>
          <w:color w:val="auto"/>
        </w:rPr>
      </w:pPr>
    </w:p>
    <w:p>
      <w:pPr>
        <w:jc w:val="both"/>
        <w:ind w:left="2260" w:hanging="4001"/>
        <w:spacing w:after="0"/>
        <w:tabs>
          <w:tab w:leader="none" w:pos="2240" w:val="left"/>
        </w:tabs>
        <w:rPr>
          <w:sz w:val="20"/>
          <w:szCs w:val="20"/>
          <w:color w:val="auto"/>
        </w:rPr>
      </w:pPr>
      <w:r>
        <w:rPr>
          <w:rFonts w:ascii="Arial" w:cs="Arial" w:eastAsia="Arial" w:hAnsi="Arial"/>
          <w:sz w:val="18"/>
          <w:szCs w:val="18"/>
          <w:b w:val="1"/>
          <w:bCs w:val="1"/>
          <w:i w:val="1"/>
          <w:iCs w:val="1"/>
          <w:color w:val="auto"/>
        </w:rPr>
        <w:t>No New Liens</w:t>
      </w:r>
      <w:r>
        <w:rPr>
          <w:sz w:val="20"/>
          <w:szCs w:val="20"/>
          <w:color w:val="auto"/>
        </w:rPr>
        <w:tab/>
      </w:r>
      <w:r>
        <w:rPr>
          <w:rFonts w:ascii="Arial" w:cs="Arial" w:eastAsia="Arial" w:hAnsi="Arial"/>
          <w:sz w:val="18"/>
          <w:szCs w:val="18"/>
          <w:color w:val="auto"/>
        </w:rPr>
        <w:t>If the Administrative Agent or a First Lien Representative acquires any lien on any assets of the Borrower or any guarantor which assets are not also subject to the lien of the Administrative Agent and each First Lien Representative, as applicable, then the Administrative Agent or such First Lien Representative, as applicable, will hold such lien for the pari passu benefit of the Administrative Agent and the First Lien Representatives until the Administrative Agent and/or each First Lien Representative acquires a lien in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471805</wp:posOffset>
            </wp:positionV>
            <wp:extent cx="621030" cy="294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20"/>
        <w:spacing w:after="0"/>
        <w:rPr>
          <w:sz w:val="20"/>
          <w:szCs w:val="20"/>
          <w:color w:val="auto"/>
        </w:rPr>
      </w:pPr>
      <w:r>
        <w:rPr>
          <w:rFonts w:ascii="Arial" w:cs="Arial" w:eastAsia="Arial" w:hAnsi="Arial"/>
          <w:sz w:val="16"/>
          <w:szCs w:val="16"/>
          <w:color w:val="auto"/>
        </w:rPr>
        <w:t>Exhibit C-1</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0" w:right="819" w:bottom="1440" w:gutter="0" w:footer="0" w:header="0"/>
        </w:sectPr>
      </w:pPr>
    </w:p>
    <w:bookmarkStart w:id="338" w:name="page339"/>
    <w:bookmarkEnd w:id="338"/>
    <w:p>
      <w:pPr>
        <w:jc w:val="both"/>
        <w:ind w:left="2200" w:hanging="4001"/>
        <w:spacing w:after="0"/>
        <w:tabs>
          <w:tab w:leader="none" w:pos="2180" w:val="left"/>
        </w:tabs>
        <w:rPr>
          <w:sz w:val="20"/>
          <w:szCs w:val="20"/>
          <w:color w:val="auto"/>
        </w:rPr>
      </w:pPr>
      <w:r>
        <w:rPr>
          <w:rFonts w:ascii="Arial" w:cs="Arial" w:eastAsia="Arial" w:hAnsi="Arial"/>
          <w:sz w:val="18"/>
          <w:szCs w:val="18"/>
          <w:b w:val="1"/>
          <w:bCs w:val="1"/>
          <w:i w:val="1"/>
          <w:iCs w:val="1"/>
          <w:color w:val="auto"/>
        </w:rPr>
        <w:t>Enforcement</w:t>
      </w:r>
      <w:r>
        <w:rPr>
          <w:sz w:val="20"/>
          <w:szCs w:val="20"/>
          <w:color w:val="auto"/>
        </w:rPr>
        <w:tab/>
      </w:r>
      <w:r>
        <w:rPr>
          <w:rFonts w:ascii="Arial" w:cs="Arial" w:eastAsia="Arial" w:hAnsi="Arial"/>
          <w:sz w:val="18"/>
          <w:szCs w:val="18"/>
          <w:color w:val="auto"/>
        </w:rPr>
        <w:t>The Administrative Agent shall act in respect of the liens securing the Obligations and the First Lien Pari Passu Debt based on the instructions of the Required Lenders under the Credit Agreement until such time as the Obligations cease to represent at least 10% of the aggregate amount of the Obligations and the Pari Passu Debt, at which time the Administrative Agent and each First Lien Representative shall act jointly in respect of the liens securing the Obligations and the First Lien Pari Passu Debt based on the instructions of the majority of the outstanding principal amount under the Credit Agreement and the First Lien Pari Passu Debt. Once the Obligations have been discharged in full, the First Lien Representatives shall act based on the instructions of a majority of the First Lien Pari Passu Debt.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720" w:right="20" w:hanging="4001"/>
        <w:spacing w:after="0" w:line="237" w:lineRule="auto"/>
        <w:tabs>
          <w:tab w:leader="none" w:pos="2700" w:val="left"/>
        </w:tabs>
        <w:rPr>
          <w:sz w:val="20"/>
          <w:szCs w:val="20"/>
          <w:color w:val="auto"/>
        </w:rPr>
      </w:pPr>
      <w:r>
        <w:rPr>
          <w:rFonts w:ascii="Arial" w:cs="Arial" w:eastAsia="Arial" w:hAnsi="Arial"/>
          <w:sz w:val="18"/>
          <w:szCs w:val="18"/>
          <w:b w:val="1"/>
          <w:bCs w:val="1"/>
          <w:i w:val="1"/>
          <w:iCs w:val="1"/>
          <w:color w:val="auto"/>
        </w:rPr>
        <w:t>Release of Collateral</w:t>
      </w:r>
      <w:r>
        <w:rPr>
          <w:sz w:val="20"/>
          <w:szCs w:val="20"/>
          <w:color w:val="auto"/>
        </w:rPr>
        <w:tab/>
      </w:r>
      <w:r>
        <w:rPr>
          <w:rFonts w:ascii="Arial" w:cs="Arial" w:eastAsia="Arial" w:hAnsi="Arial"/>
          <w:sz w:val="18"/>
          <w:szCs w:val="18"/>
          <w:color w:val="auto"/>
        </w:rPr>
        <w:t>The Collateral shall be released automatically from securing the First Lien Pari Passu Debt upon any sale of Collateral in which the liens securing the Obligations are released, in the event that such sale is effected as a result of (a) exercise of remedies by the Administrative Agent, (b) pursuant to Section 363 of the Bankruptcy Code or</w:t>
      </w:r>
    </w:p>
    <w:p>
      <w:pPr>
        <w:spacing w:after="0" w:line="1" w:lineRule="exact"/>
        <w:rPr>
          <w:sz w:val="20"/>
          <w:szCs w:val="20"/>
          <w:color w:val="auto"/>
        </w:rPr>
      </w:pPr>
    </w:p>
    <w:p>
      <w:pPr>
        <w:ind w:left="4960" w:right="20" w:firstLine="6"/>
        <w:spacing w:after="0" w:line="245" w:lineRule="auto"/>
        <w:tabs>
          <w:tab w:leader="none" w:pos="521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 transaction that complies with the terms of each of the Credit Agreement and the First Lien Pari Passu Debt.</w:t>
      </w:r>
    </w:p>
    <w:p>
      <w:pPr>
        <w:spacing w:after="0" w:line="188" w:lineRule="exact"/>
        <w:rPr>
          <w:sz w:val="20"/>
          <w:szCs w:val="20"/>
          <w:color w:val="auto"/>
        </w:rPr>
      </w:pPr>
    </w:p>
    <w:p>
      <w:pPr>
        <w:jc w:val="both"/>
        <w:ind w:left="3240" w:right="20" w:hanging="4001"/>
        <w:spacing w:after="0"/>
        <w:tabs>
          <w:tab w:leader="none" w:pos="3220" w:val="left"/>
        </w:tabs>
        <w:rPr>
          <w:sz w:val="20"/>
          <w:szCs w:val="20"/>
          <w:color w:val="auto"/>
        </w:rPr>
      </w:pPr>
      <w:r>
        <w:rPr>
          <w:rFonts w:ascii="Arial" w:cs="Arial" w:eastAsia="Arial" w:hAnsi="Arial"/>
          <w:sz w:val="18"/>
          <w:szCs w:val="18"/>
          <w:b w:val="1"/>
          <w:bCs w:val="1"/>
          <w:i w:val="1"/>
          <w:iCs w:val="1"/>
          <w:color w:val="auto"/>
        </w:rPr>
        <w:t>Amendment of Documents</w:t>
      </w:r>
      <w:r>
        <w:rPr>
          <w:sz w:val="20"/>
          <w:szCs w:val="20"/>
          <w:color w:val="auto"/>
        </w:rPr>
        <w:tab/>
      </w:r>
      <w:r>
        <w:rPr>
          <w:rFonts w:ascii="Arial" w:cs="Arial" w:eastAsia="Arial" w:hAnsi="Arial"/>
          <w:sz w:val="18"/>
          <w:szCs w:val="18"/>
          <w:color w:val="auto"/>
        </w:rPr>
        <w:t xml:space="preserve">Documents entered into in connection with the Credit Agreement or the First Lien Pari Passu Debt may be amended, supplemented or otherwise modified, and the Credit Agreement and the First Lien Pari Passu Debt may be refinanced, in each case without the consent of the Administrative Agent, the Secured Parties, any First Lien Representative or any holders of any First Lien Pari Passu Debt; </w:t>
      </w:r>
      <w:r>
        <w:rPr>
          <w:rFonts w:ascii="Arial" w:cs="Arial" w:eastAsia="Arial" w:hAnsi="Arial"/>
          <w:sz w:val="18"/>
          <w:szCs w:val="18"/>
          <w:u w:val="single" w:color="auto"/>
          <w:color w:val="auto"/>
        </w:rPr>
        <w:t>provided</w:t>
      </w:r>
      <w:r>
        <w:rPr>
          <w:rFonts w:ascii="Arial" w:cs="Arial" w:eastAsia="Arial" w:hAnsi="Arial"/>
          <w:sz w:val="18"/>
          <w:szCs w:val="18"/>
          <w:color w:val="auto"/>
        </w:rPr>
        <w:t>, that a Senior Representative of the holders of any refinancing debt shall bind itself in writing to the terms of the Intercreditor Agreement.</w:t>
      </w:r>
    </w:p>
    <w:p>
      <w:pPr>
        <w:spacing w:after="0" w:line="388" w:lineRule="exact"/>
        <w:rPr>
          <w:sz w:val="20"/>
          <w:szCs w:val="20"/>
          <w:color w:val="auto"/>
        </w:rPr>
      </w:pPr>
    </w:p>
    <w:p>
      <w:pPr>
        <w:jc w:val="both"/>
        <w:ind w:left="4960" w:right="20"/>
        <w:spacing w:after="0"/>
        <w:rPr>
          <w:sz w:val="20"/>
          <w:szCs w:val="20"/>
          <w:color w:val="auto"/>
        </w:rPr>
      </w:pPr>
      <w:r>
        <w:rPr>
          <w:rFonts w:ascii="Arial" w:cs="Arial" w:eastAsia="Arial" w:hAnsi="Arial"/>
          <w:sz w:val="18"/>
          <w:szCs w:val="18"/>
          <w:color w:val="auto"/>
        </w:rPr>
        <w:t>Notwithstanding the foregoing, no security document entered into in connection with the Credit Agreement or the First Lien Pari Passu Debt may be amended, supplemented or otherwise modified to the extent such amendment, supplement or modification would contravene any of the terms of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348615</wp:posOffset>
            </wp:positionV>
            <wp:extent cx="621030" cy="294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9920"/>
        <w:spacing w:after="0"/>
        <w:rPr>
          <w:sz w:val="20"/>
          <w:szCs w:val="20"/>
          <w:color w:val="auto"/>
        </w:rPr>
      </w:pPr>
      <w:r>
        <w:rPr>
          <w:rFonts w:ascii="Arial" w:cs="Arial" w:eastAsia="Arial" w:hAnsi="Arial"/>
          <w:sz w:val="16"/>
          <w:szCs w:val="16"/>
          <w:color w:val="auto"/>
        </w:rPr>
        <w:t>Exhibit C-1</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720"/>
          </w:cols>
          <w:pgMar w:left="360" w:top="1326" w:right="81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07"/>
        </w:trPr>
        <w:tc>
          <w:tcPr>
            <w:tcW w:w="4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5"/>
              </w:rPr>
              <w:t>Amendments, Waivers under the Intercreditor Agreement</w:t>
            </w:r>
          </w:p>
        </w:tc>
        <w:tc>
          <w:tcPr>
            <w:tcW w:w="4980" w:type="dxa"/>
            <w:vAlign w:val="bottom"/>
          </w:tcPr>
          <w:p>
            <w:pPr>
              <w:ind w:left="360"/>
              <w:spacing w:after="0"/>
              <w:rPr>
                <w:sz w:val="20"/>
                <w:szCs w:val="20"/>
                <w:color w:val="auto"/>
              </w:rPr>
            </w:pPr>
            <w:r>
              <w:rPr>
                <w:rFonts w:ascii="Arial" w:cs="Arial" w:eastAsia="Arial" w:hAnsi="Arial"/>
                <w:sz w:val="18"/>
                <w:szCs w:val="18"/>
                <w:color w:val="auto"/>
                <w:w w:val="93"/>
              </w:rPr>
              <w:t>The Intercreditor Agreement may not be amended without the</w:t>
            </w:r>
          </w:p>
        </w:tc>
        <w:tc>
          <w:tcPr>
            <w:tcW w:w="0" w:type="dxa"/>
            <w:vAlign w:val="bottom"/>
          </w:tcPr>
          <w:p>
            <w:pPr>
              <w:spacing w:after="0"/>
              <w:rPr>
                <w:sz w:val="1"/>
                <w:szCs w:val="1"/>
                <w:color w:val="auto"/>
              </w:rPr>
            </w:pPr>
          </w:p>
        </w:tc>
      </w:tr>
      <w:tr>
        <w:trPr>
          <w:trHeight w:val="96"/>
        </w:trPr>
        <w:tc>
          <w:tcPr>
            <w:tcW w:w="4720" w:type="dxa"/>
            <w:vAlign w:val="bottom"/>
            <w:vMerge w:val="continue"/>
          </w:tcPr>
          <w:p>
            <w:pPr>
              <w:spacing w:after="0"/>
              <w:rPr>
                <w:sz w:val="8"/>
                <w:szCs w:val="8"/>
                <w:color w:val="auto"/>
              </w:rPr>
            </w:pPr>
          </w:p>
        </w:tc>
        <w:tc>
          <w:tcPr>
            <w:tcW w:w="4980" w:type="dxa"/>
            <w:vAlign w:val="bottom"/>
            <w:vMerge w:val="restart"/>
          </w:tcPr>
          <w:p>
            <w:pPr>
              <w:ind w:left="360"/>
              <w:spacing w:after="0" w:line="201" w:lineRule="exact"/>
              <w:rPr>
                <w:sz w:val="20"/>
                <w:szCs w:val="20"/>
                <w:color w:val="auto"/>
              </w:rPr>
            </w:pPr>
            <w:r>
              <w:rPr>
                <w:rFonts w:ascii="Arial" w:cs="Arial" w:eastAsia="Arial" w:hAnsi="Arial"/>
                <w:sz w:val="18"/>
                <w:szCs w:val="18"/>
                <w:color w:val="auto"/>
                <w:w w:val="99"/>
              </w:rPr>
              <w:t>written consent of the Administrative Agent and each First</w:t>
            </w:r>
          </w:p>
        </w:tc>
        <w:tc>
          <w:tcPr>
            <w:tcW w:w="0" w:type="dxa"/>
            <w:vAlign w:val="bottom"/>
          </w:tcPr>
          <w:p>
            <w:pPr>
              <w:spacing w:after="0"/>
              <w:rPr>
                <w:sz w:val="1"/>
                <w:szCs w:val="1"/>
                <w:color w:val="auto"/>
              </w:rPr>
            </w:pPr>
          </w:p>
        </w:tc>
      </w:tr>
      <w:tr>
        <w:trPr>
          <w:trHeight w:val="105"/>
        </w:trPr>
        <w:tc>
          <w:tcPr>
            <w:tcW w:w="4720" w:type="dxa"/>
            <w:vAlign w:val="bottom"/>
          </w:tcPr>
          <w:p>
            <w:pPr>
              <w:spacing w:after="0"/>
              <w:rPr>
                <w:sz w:val="9"/>
                <w:szCs w:val="9"/>
                <w:color w:val="auto"/>
              </w:rPr>
            </w:pPr>
          </w:p>
        </w:tc>
        <w:tc>
          <w:tcPr>
            <w:tcW w:w="4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Lien Representative party thereto.</w:t>
            </w:r>
          </w:p>
        </w:tc>
        <w:tc>
          <w:tcPr>
            <w:tcW w:w="0" w:type="dxa"/>
            <w:vAlign w:val="bottom"/>
          </w:tcPr>
          <w:p>
            <w:pPr>
              <w:spacing w:after="0"/>
              <w:rPr>
                <w:sz w:val="1"/>
                <w:szCs w:val="1"/>
                <w:color w:val="auto"/>
              </w:rPr>
            </w:pPr>
          </w:p>
        </w:tc>
      </w:tr>
    </w:tbl>
    <w:p>
      <w:pPr>
        <w:sectPr>
          <w:pgSz w:w="11900" w:h="16838" w:orient="portrait"/>
          <w:cols w:equalWidth="0" w:num="1">
            <w:col w:w="9700"/>
          </w:cols>
          <w:pgMar w:left="1320" w:top="1256" w:right="879" w:bottom="1440" w:gutter="0" w:footer="0" w:header="0"/>
        </w:sectPr>
      </w:pPr>
    </w:p>
    <w:bookmarkStart w:id="340" w:name="page341"/>
    <w:bookmarkEnd w:id="340"/>
    <w:p>
      <w:pPr>
        <w:spacing w:after="0"/>
        <w:tabs>
          <w:tab w:leader="none" w:pos="1340" w:val="left"/>
        </w:tabs>
        <w:rPr>
          <w:sz w:val="20"/>
          <w:szCs w:val="20"/>
          <w:color w:val="auto"/>
        </w:rPr>
      </w:pPr>
      <w:r>
        <w:rPr>
          <w:rFonts w:ascii="Arial" w:cs="Arial" w:eastAsia="Arial" w:hAnsi="Arial"/>
          <w:sz w:val="18"/>
          <w:szCs w:val="18"/>
          <w:b w:val="1"/>
          <w:bCs w:val="1"/>
          <w:i w:val="1"/>
          <w:iCs w:val="1"/>
          <w:color w:val="auto"/>
        </w:rPr>
        <w:t>Governing Law</w:t>
      </w:r>
      <w:r>
        <w:rPr>
          <w:sz w:val="20"/>
          <w:szCs w:val="20"/>
          <w:color w:val="auto"/>
        </w:rPr>
        <w:tab/>
      </w:r>
      <w:r>
        <w:rPr>
          <w:rFonts w:ascii="Arial" w:cs="Arial" w:eastAsia="Arial" w:hAnsi="Arial"/>
          <w:sz w:val="16"/>
          <w:szCs w:val="16"/>
          <w:color w:val="auto"/>
        </w:rPr>
        <w:t>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Exhibit C-1 Page 3</w:t>
      </w:r>
    </w:p>
    <w:p>
      <w:pPr>
        <w:sectPr>
          <w:pgSz w:w="11900" w:h="16838" w:orient="portrait"/>
          <w:cols w:equalWidth="0" w:num="1">
            <w:col w:w="9139"/>
          </w:cols>
          <w:pgMar w:left="1320" w:top="1276" w:right="1440" w:bottom="1440" w:gutter="0" w:footer="0" w:header="0"/>
        </w:sectPr>
      </w:pPr>
    </w:p>
    <w:bookmarkStart w:id="341" w:name="page342"/>
    <w:bookmarkEnd w:id="341"/>
    <w:p>
      <w:pPr>
        <w:ind w:left="8700"/>
        <w:spacing w:after="0"/>
        <w:rPr>
          <w:sz w:val="20"/>
          <w:szCs w:val="20"/>
          <w:color w:val="auto"/>
        </w:rPr>
      </w:pPr>
      <w:r>
        <w:rPr>
          <w:rFonts w:ascii="Arial" w:cs="Arial" w:eastAsia="Arial" w:hAnsi="Arial"/>
          <w:sz w:val="18"/>
          <w:szCs w:val="18"/>
          <w:color w:val="auto"/>
        </w:rPr>
        <w:t>EXHIBIT C-2</w:t>
      </w:r>
    </w:p>
    <w:p>
      <w:pPr>
        <w:spacing w:after="0" w:line="200" w:lineRule="exact"/>
        <w:rPr>
          <w:sz w:val="20"/>
          <w:szCs w:val="20"/>
          <w:color w:val="auto"/>
        </w:rPr>
      </w:pPr>
    </w:p>
    <w:p>
      <w:pPr>
        <w:spacing w:after="0" w:line="245"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INTERCREDITOR AGREEMENT (JUNIOR LIEN DEBT) TERM SHEET</w:t>
      </w:r>
    </w:p>
    <w:p>
      <w:pPr>
        <w:spacing w:after="0" w:line="3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Following summary is intended to apply to one or more Intercreditor Agreements (each, an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xml:space="preserve">”) entered into in connection with an issuance or incurrence of junior lien secured notes or loans permitted under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of the Credit Agreement (as defined below) (each, “</w:t>
      </w:r>
      <w:r>
        <w:rPr>
          <w:rFonts w:ascii="Arial" w:cs="Arial" w:eastAsia="Arial" w:hAnsi="Arial"/>
          <w:sz w:val="16"/>
          <w:szCs w:val="16"/>
          <w:u w:val="single" w:color="auto"/>
          <w:color w:val="auto"/>
        </w:rPr>
        <w:t>Junior Lien Debt</w:t>
      </w:r>
      <w:r>
        <w:rPr>
          <w:rFonts w:ascii="Arial" w:cs="Arial" w:eastAsia="Arial" w:hAnsi="Arial"/>
          <w:sz w:val="16"/>
          <w:szCs w:val="16"/>
          <w:color w:val="auto"/>
        </w:rPr>
        <w:t>”, and the lenders thereto, the “</w:t>
      </w:r>
      <w:r>
        <w:rPr>
          <w:rFonts w:ascii="Arial" w:cs="Arial" w:eastAsia="Arial" w:hAnsi="Arial"/>
          <w:sz w:val="16"/>
          <w:szCs w:val="16"/>
          <w:u w:val="single" w:color="auto"/>
          <w:color w:val="auto"/>
        </w:rPr>
        <w:t>Junior Lien Lenders</w:t>
      </w:r>
      <w:r>
        <w:rPr>
          <w:rFonts w:ascii="Arial" w:cs="Arial" w:eastAsia="Arial" w:hAnsi="Arial"/>
          <w:sz w:val="16"/>
          <w:szCs w:val="16"/>
          <w:color w:val="auto"/>
        </w:rPr>
        <w:t>”). Capitalized terms used but not defined herein shall have the meanings set forth in the Amended and Restated Credit and Guaranty Agreement dated as of July 2, 2021 (as amended, restated, amended and restated, modified, supplemented and/or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LegalZoom.com,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following is not intended to be a definitive list of all of the provisions that will be contained in each Intercreditor Agreement. Each Intercreditor Agreement will include, in addition to the provisions set forth herein, provisions that are customary or typical or are otherwise reasonably satisfactory to the Administrative Agent and the Borrower.</w:t>
      </w:r>
    </w:p>
    <w:p>
      <w:pPr>
        <w:spacing w:after="0" w:line="398"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b w:val="1"/>
          <w:bCs w:val="1"/>
          <w:i w:val="1"/>
          <w:iCs w:val="1"/>
          <w:color w:val="auto"/>
        </w:rPr>
        <w:t>Senior Lien Secured Parties</w:t>
      </w:r>
      <w:r>
        <w:rPr>
          <w:sz w:val="20"/>
          <w:szCs w:val="20"/>
          <w:color w:val="auto"/>
        </w:rPr>
        <w:tab/>
      </w:r>
      <w:r>
        <w:rPr>
          <w:rFonts w:ascii="Arial" w:cs="Arial" w:eastAsia="Arial" w:hAnsi="Arial"/>
          <w:sz w:val="16"/>
          <w:szCs w:val="16"/>
          <w:color w:val="auto"/>
        </w:rPr>
        <w:t>The Secured Parties.</w:t>
      </w:r>
    </w:p>
    <w:p>
      <w:pPr>
        <w:spacing w:after="0" w:line="219" w:lineRule="exact"/>
        <w:rPr>
          <w:sz w:val="20"/>
          <w:szCs w:val="20"/>
          <w:color w:val="auto"/>
        </w:rPr>
      </w:pPr>
    </w:p>
    <w:p>
      <w:pPr>
        <w:jc w:val="both"/>
        <w:ind w:left="2380" w:hanging="4002"/>
        <w:spacing w:after="0" w:line="239" w:lineRule="auto"/>
        <w:tabs>
          <w:tab w:leader="none" w:pos="2360" w:val="left"/>
        </w:tabs>
        <w:rPr>
          <w:sz w:val="20"/>
          <w:szCs w:val="20"/>
          <w:color w:val="auto"/>
        </w:rPr>
      </w:pPr>
      <w:r>
        <w:rPr>
          <w:rFonts w:ascii="Arial" w:cs="Arial" w:eastAsia="Arial" w:hAnsi="Arial"/>
          <w:sz w:val="18"/>
          <w:szCs w:val="18"/>
          <w:b w:val="1"/>
          <w:bCs w:val="1"/>
          <w:i w:val="1"/>
          <w:iCs w:val="1"/>
          <w:color w:val="auto"/>
        </w:rPr>
        <w:t>Junior Lien Secured Parties</w:t>
      </w:r>
      <w:r>
        <w:rPr>
          <w:sz w:val="20"/>
          <w:szCs w:val="20"/>
          <w:color w:val="auto"/>
        </w:rPr>
        <w:tab/>
      </w:r>
      <w:r>
        <w:rPr>
          <w:rFonts w:ascii="Arial" w:cs="Arial" w:eastAsia="Arial" w:hAnsi="Arial"/>
          <w:sz w:val="18"/>
          <w:szCs w:val="18"/>
          <w:color w:val="auto"/>
        </w:rPr>
        <w:t>The Junior Lien Lenders and the agent (the “</w:t>
      </w:r>
      <w:r>
        <w:rPr>
          <w:rFonts w:ascii="Arial" w:cs="Arial" w:eastAsia="Arial" w:hAnsi="Arial"/>
          <w:sz w:val="18"/>
          <w:szCs w:val="18"/>
          <w:u w:val="single" w:color="auto"/>
          <w:color w:val="auto"/>
        </w:rPr>
        <w:t>Junior Lien Agent</w:t>
      </w:r>
      <w:r>
        <w:rPr>
          <w:rFonts w:ascii="Arial" w:cs="Arial" w:eastAsia="Arial" w:hAnsi="Arial"/>
          <w:sz w:val="18"/>
          <w:szCs w:val="18"/>
          <w:color w:val="auto"/>
        </w:rPr>
        <w:t>” and, together with the Junior Lien Lenders, the “</w:t>
      </w:r>
      <w:r>
        <w:rPr>
          <w:rFonts w:ascii="Arial" w:cs="Arial" w:eastAsia="Arial" w:hAnsi="Arial"/>
          <w:sz w:val="18"/>
          <w:szCs w:val="18"/>
          <w:u w:val="single" w:color="auto"/>
          <w:color w:val="auto"/>
        </w:rPr>
        <w:t>Junior Lien Secured Parties</w:t>
      </w:r>
      <w:r>
        <w:rPr>
          <w:rFonts w:ascii="Arial" w:cs="Arial" w:eastAsia="Arial" w:hAnsi="Arial"/>
          <w:sz w:val="18"/>
          <w:szCs w:val="18"/>
          <w:color w:val="auto"/>
        </w:rPr>
        <w:t>”) under the definitive documents in respect of the Junior Lien Debt (the “</w:t>
      </w:r>
      <w:r>
        <w:rPr>
          <w:rFonts w:ascii="Arial" w:cs="Arial" w:eastAsia="Arial" w:hAnsi="Arial"/>
          <w:sz w:val="18"/>
          <w:szCs w:val="18"/>
          <w:u w:val="single" w:color="auto"/>
          <w:color w:val="auto"/>
        </w:rPr>
        <w:t>Junior Lien Debt Documents</w:t>
      </w:r>
      <w:r>
        <w:rPr>
          <w:rFonts w:ascii="Arial" w:cs="Arial" w:eastAsia="Arial" w:hAnsi="Arial"/>
          <w:sz w:val="18"/>
          <w:szCs w:val="18"/>
          <w:color w:val="auto"/>
        </w:rPr>
        <w:t>”) that are entitled to the benefit of a junior lien on the Collateral as security for the obligations of the Loan Parties owed to the Junior Lien Secured Parties under the Junior Lien Debt Documents (the “</w:t>
      </w:r>
      <w:r>
        <w:rPr>
          <w:rFonts w:ascii="Arial" w:cs="Arial" w:eastAsia="Arial" w:hAnsi="Arial"/>
          <w:sz w:val="18"/>
          <w:szCs w:val="18"/>
          <w:u w:val="single" w:color="auto"/>
          <w:color w:val="auto"/>
        </w:rPr>
        <w:t>Junior Lien Obligations</w:t>
      </w:r>
      <w:r>
        <w:rPr>
          <w:rFonts w:ascii="Arial" w:cs="Arial" w:eastAsia="Arial" w:hAnsi="Arial"/>
          <w:sz w:val="18"/>
          <w:szCs w:val="18"/>
          <w:color w:val="auto"/>
        </w:rPr>
        <w:t>”).</w:t>
      </w:r>
    </w:p>
    <w:p>
      <w:pPr>
        <w:spacing w:after="0" w:line="268" w:lineRule="exact"/>
        <w:rPr>
          <w:sz w:val="20"/>
          <w:szCs w:val="20"/>
          <w:color w:val="auto"/>
        </w:rPr>
      </w:pPr>
    </w:p>
    <w:p>
      <w:pPr>
        <w:jc w:val="both"/>
        <w:ind w:left="1400" w:right="20" w:hanging="4001"/>
        <w:spacing w:after="0" w:line="263" w:lineRule="auto"/>
        <w:tabs>
          <w:tab w:leader="none" w:pos="1380" w:val="left"/>
        </w:tabs>
        <w:rPr>
          <w:sz w:val="20"/>
          <w:szCs w:val="20"/>
          <w:color w:val="auto"/>
        </w:rPr>
      </w:pPr>
      <w:r>
        <w:rPr>
          <w:rFonts w:ascii="Arial" w:cs="Arial" w:eastAsia="Arial" w:hAnsi="Arial"/>
          <w:sz w:val="18"/>
          <w:szCs w:val="18"/>
          <w:b w:val="1"/>
          <w:bCs w:val="1"/>
          <w:i w:val="1"/>
          <w:iCs w:val="1"/>
          <w:color w:val="auto"/>
        </w:rPr>
        <w:t>Lien Priorities</w:t>
      </w:r>
      <w:r>
        <w:rPr>
          <w:sz w:val="20"/>
          <w:szCs w:val="20"/>
          <w:color w:val="auto"/>
        </w:rPr>
        <w:tab/>
      </w:r>
      <w:r>
        <w:rPr>
          <w:rFonts w:ascii="Arial" w:cs="Arial" w:eastAsia="Arial" w:hAnsi="Arial"/>
          <w:sz w:val="18"/>
          <w:szCs w:val="18"/>
          <w:color w:val="auto"/>
        </w:rPr>
        <w:t>So long as the Obligations are outstanding, the liens securing the Junior Lien Obligations shall be junior and subordinated in all respects to the liens securing the Obligations.</w:t>
      </w:r>
    </w:p>
    <w:p>
      <w:pPr>
        <w:spacing w:after="0" w:line="186" w:lineRule="exact"/>
        <w:rPr>
          <w:sz w:val="20"/>
          <w:szCs w:val="20"/>
          <w:color w:val="auto"/>
        </w:rPr>
      </w:pPr>
    </w:p>
    <w:p>
      <w:pPr>
        <w:jc w:val="both"/>
        <w:ind w:left="4000" w:right="20"/>
        <w:spacing w:after="0" w:line="251" w:lineRule="auto"/>
        <w:rPr>
          <w:sz w:val="20"/>
          <w:szCs w:val="20"/>
          <w:color w:val="auto"/>
        </w:rPr>
      </w:pPr>
      <w:r>
        <w:rPr>
          <w:rFonts w:ascii="Arial" w:cs="Arial" w:eastAsia="Arial" w:hAnsi="Arial"/>
          <w:sz w:val="17"/>
          <w:szCs w:val="17"/>
          <w:color w:val="auto"/>
        </w:rPr>
        <w:t>Except as otherwise specified (i) during the Standstill Period (as defined below), the Administrative Agent and the Secured Parties shall have the exclusive right to enforce rights and exercise remedies with respect to the Collateral (or to forbear from any such enforcement or exercise) and to commence actions or proceedings with respect to such rights and remedies, in each case without consultation with or consent of the Junior Lien Secured Parties; (ii) the Junior Lien Secured Parties shall not object to or hinder the ability of the Lenders to exercise any such rights or remedies and shall not exercise or seek to exercise any such rights or remedies with respect to the Collateral and shall not institute any action or proceeding with</w:t>
      </w:r>
    </w:p>
    <w:p>
      <w:pPr>
        <w:sectPr>
          <w:pgSz w:w="11900" w:h="16838" w:orient="portrait"/>
          <w:cols w:equalWidth="0" w:num="1">
            <w:col w:w="9760"/>
          </w:cols>
          <w:pgMar w:left="1320" w:top="724" w:right="819" w:bottom="1440" w:gutter="0" w:footer="0" w:header="0"/>
        </w:sectPr>
      </w:pPr>
    </w:p>
    <w:bookmarkStart w:id="342" w:name="page343"/>
    <w:bookmarkEnd w:id="342"/>
    <w:p>
      <w:pPr>
        <w:ind w:left="8700"/>
        <w:spacing w:after="0"/>
        <w:rPr>
          <w:sz w:val="20"/>
          <w:szCs w:val="20"/>
          <w:color w:val="auto"/>
        </w:rPr>
      </w:pPr>
      <w:r>
        <w:rPr>
          <w:rFonts w:ascii="Arial" w:cs="Arial" w:eastAsia="Arial" w:hAnsi="Arial"/>
          <w:sz w:val="18"/>
          <w:szCs w:val="18"/>
          <w:color w:val="auto"/>
        </w:rPr>
        <w:t>EXHIBIT C-2</w:t>
      </w:r>
    </w:p>
    <w:p>
      <w:pPr>
        <w:spacing w:after="0" w:line="200" w:lineRule="exact"/>
        <w:rPr>
          <w:sz w:val="20"/>
          <w:szCs w:val="20"/>
          <w:color w:val="auto"/>
        </w:rPr>
      </w:pPr>
    </w:p>
    <w:p>
      <w:pPr>
        <w:spacing w:after="0" w:line="245" w:lineRule="exact"/>
        <w:rPr>
          <w:sz w:val="20"/>
          <w:szCs w:val="20"/>
          <w:color w:val="auto"/>
        </w:rPr>
      </w:pPr>
    </w:p>
    <w:p>
      <w:pPr>
        <w:jc w:val="both"/>
        <w:ind w:left="4000"/>
        <w:spacing w:after="0" w:line="242" w:lineRule="auto"/>
        <w:rPr>
          <w:sz w:val="20"/>
          <w:szCs w:val="20"/>
          <w:color w:val="auto"/>
        </w:rPr>
      </w:pPr>
      <w:r>
        <w:rPr>
          <w:rFonts w:ascii="Arial" w:cs="Arial" w:eastAsia="Arial" w:hAnsi="Arial"/>
          <w:sz w:val="18"/>
          <w:szCs w:val="18"/>
          <w:color w:val="auto"/>
        </w:rPr>
        <w:t>respect to such rights or remedies; and (iii) the Junior Lien Agent and the other Junior Lien Secured Parties shall not take or receive any Collateral or any proceeds of Collateral in connection with the exercise of any right or remedy (including setoff) with respect to the Collateral.</w:t>
      </w:r>
    </w:p>
    <w:p>
      <w:pPr>
        <w:spacing w:after="0" w:line="20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i w:val="1"/>
          <w:iCs w:val="1"/>
          <w:color w:val="auto"/>
        </w:rPr>
        <w:t>Collateral</w:t>
      </w:r>
      <w:r>
        <w:rPr>
          <w:sz w:val="20"/>
          <w:szCs w:val="20"/>
          <w:color w:val="auto"/>
        </w:rPr>
        <w:tab/>
      </w:r>
      <w:r>
        <w:rPr>
          <w:rFonts w:ascii="Arial" w:cs="Arial" w:eastAsia="Arial" w:hAnsi="Arial"/>
          <w:sz w:val="18"/>
          <w:szCs w:val="18"/>
          <w:color w:val="auto"/>
        </w:rPr>
        <w:t>The Collateral and the collateral securing the Junior Lien Obligations will be identical.</w:t>
      </w:r>
    </w:p>
    <w:p>
      <w:pPr>
        <w:spacing w:after="0" w:line="232"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b w:val="1"/>
          <w:bCs w:val="1"/>
          <w:i w:val="1"/>
          <w:iCs w:val="1"/>
          <w:color w:val="auto"/>
        </w:rPr>
        <w:t>Prohibition on Contesting Liens</w:t>
      </w:r>
      <w:r>
        <w:rPr>
          <w:sz w:val="20"/>
          <w:szCs w:val="20"/>
          <w:color w:val="auto"/>
        </w:rPr>
        <w:tab/>
      </w:r>
      <w:r>
        <w:rPr>
          <w:rFonts w:ascii="Arial" w:cs="Arial" w:eastAsia="Arial" w:hAnsi="Arial"/>
          <w:sz w:val="16"/>
          <w:szCs w:val="16"/>
          <w:color w:val="auto"/>
        </w:rPr>
        <w:t>The Junior Lien Agent and the Junior Lien Secured</w:t>
      </w:r>
    </w:p>
    <w:p>
      <w:pPr>
        <w:spacing w:after="0" w:line="10" w:lineRule="exact"/>
        <w:rPr>
          <w:sz w:val="20"/>
          <w:szCs w:val="20"/>
          <w:color w:val="auto"/>
        </w:rPr>
      </w:pPr>
    </w:p>
    <w:p>
      <w:pPr>
        <w:jc w:val="both"/>
        <w:ind w:left="4000" w:right="20"/>
        <w:spacing w:after="0" w:line="239" w:lineRule="auto"/>
        <w:rPr>
          <w:sz w:val="20"/>
          <w:szCs w:val="20"/>
          <w:color w:val="auto"/>
        </w:rPr>
      </w:pPr>
      <w:r>
        <w:rPr>
          <w:rFonts w:ascii="Arial" w:cs="Arial" w:eastAsia="Arial" w:hAnsi="Arial"/>
          <w:sz w:val="18"/>
          <w:szCs w:val="18"/>
          <w:color w:val="auto"/>
        </w:rPr>
        <w:t>Parties will not contest, or support any other person in contesting, the priority, validity, enforceability, perfection or protection of a lien on Collateral held by or on behalf of any of the Secured Parties.</w:t>
      </w:r>
    </w:p>
    <w:p>
      <w:pPr>
        <w:spacing w:after="0" w:line="193" w:lineRule="exact"/>
        <w:rPr>
          <w:sz w:val="20"/>
          <w:szCs w:val="20"/>
          <w:color w:val="auto"/>
        </w:rPr>
      </w:pPr>
    </w:p>
    <w:p>
      <w:pPr>
        <w:jc w:val="both"/>
        <w:ind w:left="1300" w:right="20" w:hanging="4001"/>
        <w:spacing w:after="0"/>
        <w:tabs>
          <w:tab w:leader="none" w:pos="1280" w:val="left"/>
        </w:tabs>
        <w:rPr>
          <w:sz w:val="20"/>
          <w:szCs w:val="20"/>
          <w:color w:val="auto"/>
        </w:rPr>
      </w:pPr>
      <w:r>
        <w:rPr>
          <w:rFonts w:ascii="Arial" w:cs="Arial" w:eastAsia="Arial" w:hAnsi="Arial"/>
          <w:sz w:val="18"/>
          <w:szCs w:val="18"/>
          <w:b w:val="1"/>
          <w:bCs w:val="1"/>
          <w:i w:val="1"/>
          <w:iCs w:val="1"/>
          <w:color w:val="auto"/>
        </w:rPr>
        <w:t>No New Liens</w:t>
      </w:r>
      <w:r>
        <w:rPr>
          <w:sz w:val="20"/>
          <w:szCs w:val="20"/>
          <w:color w:val="auto"/>
        </w:rPr>
        <w:tab/>
      </w:r>
      <w:r>
        <w:rPr>
          <w:rFonts w:ascii="Arial" w:cs="Arial" w:eastAsia="Arial" w:hAnsi="Arial"/>
          <w:sz w:val="18"/>
          <w:szCs w:val="18"/>
          <w:color w:val="auto"/>
        </w:rPr>
        <w:t>The liens with respect to the Collateral securing the Obligations and the Junior Lien Obligations shall be granted pursuant to two separate sets of security documents that shall be substantially identical in form and substance. So long as any of the Obligations are outstanding, no Loan Party shall</w:t>
      </w:r>
    </w:p>
    <w:p>
      <w:pPr>
        <w:spacing w:after="0" w:line="198" w:lineRule="exact"/>
        <w:rPr>
          <w:sz w:val="20"/>
          <w:szCs w:val="20"/>
          <w:color w:val="auto"/>
        </w:rPr>
      </w:pPr>
    </w:p>
    <w:p>
      <w:pPr>
        <w:jc w:val="both"/>
        <w:ind w:left="4000" w:right="20" w:firstLine="6"/>
        <w:spacing w:after="0" w:line="272" w:lineRule="auto"/>
        <w:tabs>
          <w:tab w:leader="none" w:pos="439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grant or permit any additional liens on any asset or property to secure the Junior Lien Obligations unless it has granted a senior lien on such assets or property to secure the Obligations or (ii) grant or permit any additional liens on any asset or property to secure the Obligations unless it has granted a junior lien on such assets or property to secure the Junior Lien Obligations.</w:t>
      </w:r>
    </w:p>
    <w:p>
      <w:pPr>
        <w:spacing w:after="0" w:line="183" w:lineRule="exact"/>
        <w:rPr>
          <w:sz w:val="20"/>
          <w:szCs w:val="20"/>
          <w:color w:val="auto"/>
        </w:rPr>
      </w:pPr>
    </w:p>
    <w:p>
      <w:pPr>
        <w:jc w:val="both"/>
        <w:ind w:left="1480" w:right="20" w:hanging="4001"/>
        <w:spacing w:after="0"/>
        <w:tabs>
          <w:tab w:leader="none" w:pos="1460" w:val="left"/>
        </w:tabs>
        <w:rPr>
          <w:sz w:val="20"/>
          <w:szCs w:val="20"/>
          <w:color w:val="auto"/>
        </w:rPr>
      </w:pPr>
      <w:r>
        <w:rPr>
          <w:rFonts w:ascii="Arial" w:cs="Arial" w:eastAsia="Arial" w:hAnsi="Arial"/>
          <w:sz w:val="18"/>
          <w:szCs w:val="18"/>
          <w:b w:val="1"/>
          <w:bCs w:val="1"/>
          <w:i w:val="1"/>
          <w:iCs w:val="1"/>
          <w:color w:val="auto"/>
        </w:rPr>
        <w:t>Standstill Period</w:t>
      </w:r>
      <w:r>
        <w:rPr>
          <w:sz w:val="20"/>
          <w:szCs w:val="20"/>
          <w:color w:val="auto"/>
        </w:rPr>
        <w:tab/>
      </w:r>
      <w:r>
        <w:rPr>
          <w:rFonts w:ascii="Arial" w:cs="Arial" w:eastAsia="Arial" w:hAnsi="Arial"/>
          <w:sz w:val="18"/>
          <w:szCs w:val="18"/>
          <w:color w:val="auto"/>
        </w:rPr>
        <w:t>So long as any of the Obligations remain outstanding, whether or not any insolvency or liquidation proceeding has been commenced against the Borrowers or any Subsidiary Guarantor, upon the occurrence of an event of default under the Junior Lien Debt Documents, none of the Junior Lien Agent nor any other Junior Lien Secured Party may exercise any of their rights or remedies (including setoff) with respect to the Collateral until after the passage of a period of 180 days from the date of delivery of notice by the Junior Lien Agent to the Collateral Agent that such an event of default has occurred and is continuing and the Junior Lien Obligations have been accelerated (such 180 day period, the “</w:t>
      </w:r>
      <w:r>
        <w:rPr>
          <w:rFonts w:ascii="Arial" w:cs="Arial" w:eastAsia="Arial" w:hAnsi="Arial"/>
          <w:sz w:val="18"/>
          <w:szCs w:val="18"/>
          <w:u w:val="single" w:color="auto"/>
          <w:color w:val="auto"/>
        </w:rPr>
        <w:t>Standstill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Standstill Period shall continue (a) at any time at which the Administrative Agent or any other Secured Party has commenced and is pursuing any remedy or enforcement action with respect to the Collateral</w:t>
      </w:r>
    </w:p>
    <w:p>
      <w:pPr>
        <w:sectPr>
          <w:pgSz w:w="11900" w:h="16838" w:orient="portrait"/>
          <w:cols w:equalWidth="0" w:num="1">
            <w:col w:w="9760"/>
          </w:cols>
          <w:pgMar w:left="1320" w:top="724" w:right="819" w:bottom="1440" w:gutter="0" w:footer="0" w:header="0"/>
        </w:sectPr>
      </w:pPr>
    </w:p>
    <w:bookmarkStart w:id="343" w:name="page344"/>
    <w:bookmarkEnd w:id="343"/>
    <w:p>
      <w:pPr>
        <w:ind w:left="8700"/>
        <w:spacing w:after="0"/>
        <w:rPr>
          <w:sz w:val="20"/>
          <w:szCs w:val="20"/>
          <w:color w:val="auto"/>
        </w:rPr>
      </w:pPr>
      <w:r>
        <w:rPr>
          <w:rFonts w:ascii="Arial" w:cs="Arial" w:eastAsia="Arial" w:hAnsi="Arial"/>
          <w:sz w:val="18"/>
          <w:szCs w:val="18"/>
          <w:color w:val="auto"/>
        </w:rPr>
        <w:t>EXHIBIT C-2</w:t>
      </w:r>
    </w:p>
    <w:p>
      <w:pPr>
        <w:spacing w:after="0" w:line="200" w:lineRule="exact"/>
        <w:rPr>
          <w:sz w:val="20"/>
          <w:szCs w:val="20"/>
          <w:color w:val="auto"/>
        </w:rPr>
      </w:pPr>
    </w:p>
    <w:p>
      <w:pPr>
        <w:spacing w:after="0" w:line="245" w:lineRule="exact"/>
        <w:rPr>
          <w:sz w:val="20"/>
          <w:szCs w:val="20"/>
          <w:color w:val="auto"/>
        </w:rPr>
      </w:pPr>
    </w:p>
    <w:p>
      <w:pPr>
        <w:ind w:left="4000" w:right="20"/>
        <w:spacing w:after="0" w:line="263" w:lineRule="auto"/>
        <w:rPr>
          <w:sz w:val="20"/>
          <w:szCs w:val="20"/>
          <w:color w:val="auto"/>
        </w:rPr>
      </w:pPr>
      <w:r>
        <w:rPr>
          <w:rFonts w:ascii="Arial" w:cs="Arial" w:eastAsia="Arial" w:hAnsi="Arial"/>
          <w:sz w:val="18"/>
          <w:szCs w:val="18"/>
          <w:color w:val="auto"/>
        </w:rPr>
        <w:t>and (b) at any time at which any Loan Party is subject to any bankruptcy or insolvency proceeding.</w:t>
      </w:r>
    </w:p>
    <w:p>
      <w:pPr>
        <w:spacing w:after="0" w:line="186" w:lineRule="exact"/>
        <w:rPr>
          <w:sz w:val="20"/>
          <w:szCs w:val="20"/>
          <w:color w:val="auto"/>
        </w:rPr>
      </w:pPr>
    </w:p>
    <w:p>
      <w:pPr>
        <w:jc w:val="both"/>
        <w:ind w:left="1200" w:hanging="4001"/>
        <w:spacing w:after="0"/>
        <w:tabs>
          <w:tab w:leader="none" w:pos="1180" w:val="left"/>
        </w:tabs>
        <w:rPr>
          <w:sz w:val="20"/>
          <w:szCs w:val="20"/>
          <w:color w:val="auto"/>
        </w:rPr>
      </w:pPr>
      <w:r>
        <w:rPr>
          <w:rFonts w:ascii="Arial" w:cs="Arial" w:eastAsia="Arial" w:hAnsi="Arial"/>
          <w:sz w:val="18"/>
          <w:szCs w:val="18"/>
          <w:b w:val="1"/>
          <w:bCs w:val="1"/>
          <w:i w:val="1"/>
          <w:iCs w:val="1"/>
          <w:color w:val="auto"/>
        </w:rPr>
        <w:t>Enforcement</w:t>
      </w:r>
      <w:r>
        <w:rPr>
          <w:sz w:val="20"/>
          <w:szCs w:val="20"/>
          <w:color w:val="auto"/>
        </w:rPr>
        <w:tab/>
      </w:r>
      <w:r>
        <w:rPr>
          <w:rFonts w:ascii="Arial" w:cs="Arial" w:eastAsia="Arial" w:hAnsi="Arial"/>
          <w:sz w:val="18"/>
          <w:szCs w:val="18"/>
          <w:color w:val="auto"/>
        </w:rPr>
        <w:t>So long as any of the Obligations remain outstanding, whether or not any insolvency or liquidation proceeding has been commenced against any Loan Party, the Collateral Agent shall have the exclusive right to enforce rights and exercise remedies (including setoff and the right to credit bid) with respect to the Collateral without any consultation with, or the consent of, the Junior Lien Agent or any other Junior Lien Secured Party, as though the Junior Lien Obligations did not exist.</w:t>
      </w:r>
    </w:p>
    <w:p>
      <w:pPr>
        <w:spacing w:after="0" w:line="200" w:lineRule="exact"/>
        <w:rPr>
          <w:sz w:val="20"/>
          <w:szCs w:val="20"/>
          <w:color w:val="auto"/>
        </w:rPr>
      </w:pPr>
    </w:p>
    <w:p>
      <w:pPr>
        <w:spacing w:after="0" w:line="207" w:lineRule="exact"/>
        <w:rPr>
          <w:sz w:val="20"/>
          <w:szCs w:val="20"/>
          <w:color w:val="auto"/>
        </w:rPr>
      </w:pPr>
    </w:p>
    <w:p>
      <w:pPr>
        <w:jc w:val="both"/>
        <w:ind w:left="4000" w:right="20"/>
        <w:spacing w:after="0" w:line="238" w:lineRule="auto"/>
        <w:rPr>
          <w:sz w:val="20"/>
          <w:szCs w:val="20"/>
          <w:color w:val="auto"/>
        </w:rPr>
      </w:pPr>
      <w:r>
        <w:rPr>
          <w:rFonts w:ascii="Arial" w:cs="Arial" w:eastAsia="Arial" w:hAnsi="Arial"/>
          <w:sz w:val="18"/>
          <w:szCs w:val="18"/>
          <w:color w:val="auto"/>
        </w:rPr>
        <w:t>In addition, the Junior Lien Agent and the Junior Lien Secured Parties will not (i) contest, protest or object to the exercise by the Collateral Agent of any rights or remedies with respect to the Collateral or (ii) object to the forbearance by the Collateral Agent from exercising its rights or remedies relating to the Collateral, in each case so long as the interests of the Junior Lien Agent attach to the proceeds thereof subject to the priorities described above.</w:t>
      </w:r>
    </w:p>
    <w:p>
      <w:pPr>
        <w:spacing w:after="0" w:line="193" w:lineRule="exact"/>
        <w:rPr>
          <w:sz w:val="20"/>
          <w:szCs w:val="20"/>
          <w:color w:val="auto"/>
        </w:rPr>
      </w:pPr>
    </w:p>
    <w:p>
      <w:pPr>
        <w:jc w:val="both"/>
        <w:ind w:left="4000" w:right="20"/>
        <w:spacing w:after="0" w:line="242" w:lineRule="auto"/>
        <w:rPr>
          <w:sz w:val="20"/>
          <w:szCs w:val="20"/>
          <w:color w:val="auto"/>
        </w:rPr>
      </w:pPr>
      <w:r>
        <w:rPr>
          <w:rFonts w:ascii="Arial" w:cs="Arial" w:eastAsia="Arial" w:hAnsi="Arial"/>
          <w:sz w:val="18"/>
          <w:szCs w:val="18"/>
          <w:color w:val="auto"/>
        </w:rPr>
        <w:t>So long as any of the Obligations remain outstanding, the Junior Lien Agent shall not take or receive any Collateral or any proceeds with respect to any Collateral in connection with the exercise of any right or remedy with respect to any Collateral.</w:t>
      </w:r>
    </w:p>
    <w:p>
      <w:pPr>
        <w:spacing w:after="0" w:line="206" w:lineRule="exact"/>
        <w:rPr>
          <w:sz w:val="20"/>
          <w:szCs w:val="20"/>
          <w:color w:val="auto"/>
        </w:rPr>
      </w:pPr>
    </w:p>
    <w:p>
      <w:pPr>
        <w:jc w:val="both"/>
        <w:ind w:left="1860" w:right="20" w:hanging="4001"/>
        <w:spacing w:after="0"/>
        <w:tabs>
          <w:tab w:leader="none" w:pos="1840" w:val="left"/>
        </w:tabs>
        <w:rPr>
          <w:sz w:val="20"/>
          <w:szCs w:val="20"/>
          <w:color w:val="auto"/>
        </w:rPr>
      </w:pPr>
      <w:r>
        <w:rPr>
          <w:rFonts w:ascii="Arial" w:cs="Arial" w:eastAsia="Arial" w:hAnsi="Arial"/>
          <w:sz w:val="18"/>
          <w:szCs w:val="18"/>
          <w:b w:val="1"/>
          <w:bCs w:val="1"/>
          <w:i w:val="1"/>
          <w:iCs w:val="1"/>
          <w:color w:val="auto"/>
        </w:rPr>
        <w:t>Turnover of Proceeds</w:t>
      </w:r>
      <w:r>
        <w:rPr>
          <w:sz w:val="20"/>
          <w:szCs w:val="20"/>
          <w:color w:val="auto"/>
        </w:rPr>
        <w:tab/>
      </w:r>
      <w:r>
        <w:rPr>
          <w:rFonts w:ascii="Arial" w:cs="Arial" w:eastAsia="Arial" w:hAnsi="Arial"/>
          <w:sz w:val="18"/>
          <w:szCs w:val="18"/>
          <w:color w:val="auto"/>
        </w:rPr>
        <w:t>So long as any of the Obligations remain outstanding, any Collateral and the proceeds thereof received by the Junior Lien Agent or any other Junior Lien Secured Party in connection with the exercise of any right or remedy relating to the Collateral in contravention of the Intercreditor Agreement shall be segregated and held in trust and shall be paid over to the Collateral Agent in the same form as received.</w:t>
      </w:r>
    </w:p>
    <w:p>
      <w:pPr>
        <w:spacing w:after="0" w:line="200" w:lineRule="exact"/>
        <w:rPr>
          <w:sz w:val="20"/>
          <w:szCs w:val="20"/>
          <w:color w:val="auto"/>
        </w:rPr>
      </w:pPr>
    </w:p>
    <w:p>
      <w:pPr>
        <w:spacing w:after="0" w:line="20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i w:val="1"/>
          <w:iCs w:val="1"/>
          <w:color w:val="auto"/>
        </w:rPr>
        <w:t>Release of Collateral</w:t>
      </w:r>
      <w:r>
        <w:rPr>
          <w:sz w:val="20"/>
          <w:szCs w:val="20"/>
          <w:color w:val="auto"/>
        </w:rPr>
        <w:tab/>
      </w:r>
      <w:r>
        <w:rPr>
          <w:rFonts w:ascii="Arial" w:cs="Arial" w:eastAsia="Arial" w:hAnsi="Arial"/>
          <w:sz w:val="16"/>
          <w:szCs w:val="16"/>
          <w:color w:val="auto"/>
        </w:rPr>
        <w:t>In the event that the Collateral Agent releases</w:t>
      </w:r>
    </w:p>
    <w:p>
      <w:pPr>
        <w:spacing w:after="0" w:line="3" w:lineRule="exact"/>
        <w:rPr>
          <w:sz w:val="20"/>
          <w:szCs w:val="20"/>
          <w:color w:val="auto"/>
        </w:rPr>
      </w:pPr>
    </w:p>
    <w:p>
      <w:pPr>
        <w:ind w:left="4240" w:hanging="235"/>
        <w:spacing w:after="0"/>
        <w:tabs>
          <w:tab w:leader="none" w:pos="42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its lien on all or any portion of Collateral or</w:t>
      </w:r>
    </w:p>
    <w:p>
      <w:pPr>
        <w:ind w:left="4000" w:right="20" w:firstLine="6"/>
        <w:spacing w:after="0" w:line="232" w:lineRule="auto"/>
        <w:tabs>
          <w:tab w:leader="none" w:pos="440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 guarantor from its obligations under its guaranty of the Obligations, in connection with</w:t>
      </w:r>
    </w:p>
    <w:p>
      <w:pPr>
        <w:spacing w:after="0" w:line="1" w:lineRule="exact"/>
        <w:rPr>
          <w:rFonts w:ascii="Arial" w:cs="Arial" w:eastAsia="Arial" w:hAnsi="Arial"/>
          <w:sz w:val="18"/>
          <w:szCs w:val="18"/>
          <w:color w:val="auto"/>
        </w:rPr>
      </w:pPr>
    </w:p>
    <w:p>
      <w:pPr>
        <w:jc w:val="both"/>
        <w:ind w:left="4000" w:right="20" w:firstLine="6"/>
        <w:spacing w:after="0" w:line="237" w:lineRule="auto"/>
        <w:tabs>
          <w:tab w:leader="none" w:pos="439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enforcement of the Collateral Agent’s rights and remedies in respect of the Collateral or (ii) any sale or other disposition of any Collateral permitted under the Loan Documents and the Junior Lien Debt Documents, the comparable lien or guaranty</w:t>
      </w:r>
    </w:p>
    <w:p>
      <w:pPr>
        <w:sectPr>
          <w:pgSz w:w="11900" w:h="16838" w:orient="portrait"/>
          <w:cols w:equalWidth="0" w:num="1">
            <w:col w:w="9760"/>
          </w:cols>
          <w:pgMar w:left="1320" w:top="724" w:right="8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color w:val="auto"/>
        </w:rPr>
        <w:t>EXHIBIT C-2</w:t>
      </w:r>
    </w:p>
    <w:p>
      <w:pPr>
        <w:spacing w:after="0" w:line="200" w:lineRule="exact"/>
        <w:rPr>
          <w:sz w:val="20"/>
          <w:szCs w:val="20"/>
          <w:color w:val="auto"/>
        </w:rPr>
      </w:pPr>
    </w:p>
    <w:p>
      <w:pPr>
        <w:spacing w:after="0" w:line="24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respect of the Junior Lien Obligations shall be automatically released.</w:t>
      </w:r>
    </w:p>
    <w:p>
      <w:pPr>
        <w:spacing w:after="0" w:line="232"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i w:val="1"/>
          <w:iCs w:val="1"/>
          <w:color w:val="auto"/>
        </w:rPr>
        <w:t>Amendment of Loan Documents</w:t>
      </w:r>
      <w:r>
        <w:rPr>
          <w:sz w:val="20"/>
          <w:szCs w:val="20"/>
          <w:color w:val="auto"/>
        </w:rPr>
        <w:tab/>
      </w:r>
      <w:r>
        <w:rPr>
          <w:rFonts w:ascii="Arial" w:cs="Arial" w:eastAsia="Arial" w:hAnsi="Arial"/>
          <w:sz w:val="16"/>
          <w:szCs w:val="16"/>
          <w:color w:val="auto"/>
        </w:rPr>
        <w:t>Other than the Intercreditor Agreement, the Loan</w:t>
      </w:r>
    </w:p>
    <w:p>
      <w:pPr>
        <w:spacing w:after="0" w:line="10" w:lineRule="exact"/>
        <w:rPr>
          <w:sz w:val="20"/>
          <w:szCs w:val="20"/>
          <w:color w:val="auto"/>
        </w:rPr>
      </w:pPr>
    </w:p>
    <w:p>
      <w:pPr>
        <w:jc w:val="both"/>
        <w:ind w:left="4000"/>
        <w:spacing w:after="0" w:line="237" w:lineRule="auto"/>
        <w:rPr>
          <w:sz w:val="20"/>
          <w:szCs w:val="20"/>
          <w:color w:val="auto"/>
        </w:rPr>
      </w:pPr>
      <w:r>
        <w:rPr>
          <w:rFonts w:ascii="Arial" w:cs="Arial" w:eastAsia="Arial" w:hAnsi="Arial"/>
          <w:sz w:val="18"/>
          <w:szCs w:val="18"/>
          <w:color w:val="auto"/>
        </w:rPr>
        <w:t>Documents may be amended, supplemented or otherwise modified in accordance with their respective terms and the Credit Agreement may be refinanced, in each case, without the consent of the Junior Lien Agent or any other Junior Lien Secured Party.</w:t>
      </w:r>
    </w:p>
    <w:p>
      <w:pPr>
        <w:spacing w:after="0" w:line="20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b w:val="1"/>
          <w:bCs w:val="1"/>
          <w:i w:val="1"/>
          <w:iCs w:val="1"/>
          <w:color w:val="auto"/>
        </w:rPr>
        <w:t>Amendment Of Junior Lien Debt Documents</w:t>
      </w:r>
      <w:r>
        <w:rPr>
          <w:sz w:val="20"/>
          <w:szCs w:val="20"/>
          <w:color w:val="auto"/>
        </w:rPr>
        <w:tab/>
      </w:r>
      <w:r>
        <w:rPr>
          <w:rFonts w:ascii="Arial" w:cs="Arial" w:eastAsia="Arial" w:hAnsi="Arial"/>
          <w:sz w:val="16"/>
          <w:szCs w:val="16"/>
          <w:color w:val="auto"/>
        </w:rPr>
        <w:t>The Junior Lien Debt Documents may not be</w:t>
      </w:r>
    </w:p>
    <w:p>
      <w:pPr>
        <w:spacing w:after="0" w:line="10" w:lineRule="exact"/>
        <w:rPr>
          <w:sz w:val="20"/>
          <w:szCs w:val="20"/>
          <w:color w:val="auto"/>
        </w:rPr>
      </w:pPr>
    </w:p>
    <w:p>
      <w:pPr>
        <w:jc w:val="both"/>
        <w:ind w:left="4000"/>
        <w:spacing w:after="0" w:line="273" w:lineRule="auto"/>
        <w:rPr>
          <w:sz w:val="20"/>
          <w:szCs w:val="20"/>
          <w:color w:val="auto"/>
        </w:rPr>
      </w:pPr>
      <w:r>
        <w:rPr>
          <w:rFonts w:ascii="Arial" w:cs="Arial" w:eastAsia="Arial" w:hAnsi="Arial"/>
          <w:sz w:val="17"/>
          <w:szCs w:val="17"/>
          <w:color w:val="auto"/>
        </w:rPr>
        <w:t>amended without the consent of the Administrative Agent to the extent such amendment would contravene the provisions of the Intercreditor Agreement.</w:t>
      </w:r>
    </w:p>
    <w:p>
      <w:pPr>
        <w:sectPr>
          <w:pgSz w:w="11900" w:h="16838" w:orient="portrait"/>
          <w:cols w:equalWidth="0" w:num="1">
            <w:col w:w="9740"/>
          </w:cols>
          <w:pgMar w:left="1320" w:top="724" w:right="83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07"/>
        </w:trPr>
        <w:tc>
          <w:tcPr>
            <w:tcW w:w="4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5"/>
              </w:rPr>
              <w:t>Amendments, Waivers under the Intercreditor Agreement</w:t>
            </w:r>
          </w:p>
        </w:tc>
        <w:tc>
          <w:tcPr>
            <w:tcW w:w="4980" w:type="dxa"/>
            <w:vAlign w:val="bottom"/>
          </w:tcPr>
          <w:p>
            <w:pPr>
              <w:ind w:left="360"/>
              <w:spacing w:after="0"/>
              <w:rPr>
                <w:sz w:val="20"/>
                <w:szCs w:val="20"/>
                <w:color w:val="auto"/>
              </w:rPr>
            </w:pPr>
            <w:r>
              <w:rPr>
                <w:rFonts w:ascii="Arial" w:cs="Arial" w:eastAsia="Arial" w:hAnsi="Arial"/>
                <w:sz w:val="18"/>
                <w:szCs w:val="18"/>
                <w:color w:val="auto"/>
                <w:w w:val="93"/>
              </w:rPr>
              <w:t>The Intercreditor Agreement may not be amended without the</w:t>
            </w:r>
          </w:p>
        </w:tc>
        <w:tc>
          <w:tcPr>
            <w:tcW w:w="0" w:type="dxa"/>
            <w:vAlign w:val="bottom"/>
          </w:tcPr>
          <w:p>
            <w:pPr>
              <w:spacing w:after="0"/>
              <w:rPr>
                <w:sz w:val="1"/>
                <w:szCs w:val="1"/>
                <w:color w:val="auto"/>
              </w:rPr>
            </w:pPr>
          </w:p>
        </w:tc>
      </w:tr>
      <w:tr>
        <w:trPr>
          <w:trHeight w:val="108"/>
        </w:trPr>
        <w:tc>
          <w:tcPr>
            <w:tcW w:w="4720" w:type="dxa"/>
            <w:vAlign w:val="bottom"/>
            <w:vMerge w:val="continue"/>
          </w:tcPr>
          <w:p>
            <w:pPr>
              <w:spacing w:after="0"/>
              <w:rPr>
                <w:sz w:val="9"/>
                <w:szCs w:val="9"/>
                <w:color w:val="auto"/>
              </w:rPr>
            </w:pPr>
          </w:p>
        </w:tc>
        <w:tc>
          <w:tcPr>
            <w:tcW w:w="4980" w:type="dxa"/>
            <w:vAlign w:val="bottom"/>
            <w:vMerge w:val="restart"/>
          </w:tcPr>
          <w:p>
            <w:pPr>
              <w:ind w:left="360"/>
              <w:spacing w:after="0" w:line="201" w:lineRule="exact"/>
              <w:rPr>
                <w:sz w:val="20"/>
                <w:szCs w:val="20"/>
                <w:color w:val="auto"/>
              </w:rPr>
            </w:pPr>
            <w:r>
              <w:rPr>
                <w:rFonts w:ascii="Arial" w:cs="Arial" w:eastAsia="Arial" w:hAnsi="Arial"/>
                <w:sz w:val="18"/>
                <w:szCs w:val="18"/>
                <w:color w:val="auto"/>
                <w:w w:val="99"/>
              </w:rPr>
              <w:t>written consent of the Administrative Agent and the Junior</w:t>
            </w:r>
          </w:p>
        </w:tc>
        <w:tc>
          <w:tcPr>
            <w:tcW w:w="0" w:type="dxa"/>
            <w:vAlign w:val="bottom"/>
          </w:tcPr>
          <w:p>
            <w:pPr>
              <w:spacing w:after="0"/>
              <w:rPr>
                <w:sz w:val="1"/>
                <w:szCs w:val="1"/>
                <w:color w:val="auto"/>
              </w:rPr>
            </w:pPr>
          </w:p>
        </w:tc>
      </w:tr>
      <w:tr>
        <w:trPr>
          <w:trHeight w:val="92"/>
        </w:trPr>
        <w:tc>
          <w:tcPr>
            <w:tcW w:w="472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Lien Agent.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i w:val="1"/>
          <w:iCs w:val="1"/>
          <w:color w:val="auto"/>
        </w:rPr>
        <w:t>Bankruptcy</w:t>
      </w:r>
      <w:r>
        <w:rPr>
          <w:sz w:val="20"/>
          <w:szCs w:val="20"/>
          <w:color w:val="auto"/>
        </w:rPr>
        <w:tab/>
      </w:r>
      <w:r>
        <w:rPr>
          <w:rFonts w:ascii="Arial" w:cs="Arial" w:eastAsia="Arial" w:hAnsi="Arial"/>
          <w:sz w:val="18"/>
          <w:szCs w:val="18"/>
          <w:color w:val="auto"/>
        </w:rPr>
        <w:t>In connection with any insolvency proceeding of any Loan Party:</w:t>
      </w:r>
    </w:p>
    <w:p>
      <w:pPr>
        <w:spacing w:after="0" w:line="94" w:lineRule="exact"/>
        <w:rPr>
          <w:sz w:val="20"/>
          <w:szCs w:val="20"/>
          <w:color w:val="auto"/>
        </w:rPr>
      </w:pPr>
    </w:p>
    <w:p>
      <w:pPr>
        <w:jc w:val="both"/>
        <w:ind w:left="4220" w:right="20" w:hanging="215"/>
        <w:spacing w:after="0" w:line="234" w:lineRule="auto"/>
        <w:tabs>
          <w:tab w:leader="none" w:pos="4514"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 xml:space="preserve">Use of Cash Collateral and DIP Financing: </w:t>
      </w:r>
      <w:r>
        <w:rPr>
          <w:rFonts w:ascii="Arial" w:cs="Arial" w:eastAsia="Arial" w:hAnsi="Arial"/>
          <w:sz w:val="18"/>
          <w:szCs w:val="18"/>
          <w:color w:val="auto"/>
        </w:rPr>
        <w:t>If the Collateral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the use of cash collateral on which the Collateral Agent has a lien or permits the Borrower or any other Loan Party to obtain debtor-in-possession financing (a “</w:t>
      </w:r>
      <w:r>
        <w:rPr>
          <w:rFonts w:ascii="Arial" w:cs="Arial" w:eastAsia="Arial" w:hAnsi="Arial"/>
          <w:sz w:val="18"/>
          <w:szCs w:val="18"/>
          <w:u w:val="single" w:color="auto"/>
          <w:color w:val="auto"/>
        </w:rPr>
        <w:t>DIP Financing</w:t>
      </w:r>
      <w:r>
        <w:rPr>
          <w:rFonts w:ascii="Arial" w:cs="Arial" w:eastAsia="Arial" w:hAnsi="Arial"/>
          <w:sz w:val="18"/>
          <w:szCs w:val="18"/>
          <w:color w:val="auto"/>
        </w:rPr>
        <w:t xml:space="preserve">”), none of the Junior Lien Secured Parties will contest, and each Junior Lien Secured Party will be deemed to have consented to, (i) any use, sale or lease of cash collateral and (ii) the Borrower or any other Loan Party obtaining such DIP Financing up to an amount to be agreed;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 w:lineRule="exact"/>
        <w:rPr>
          <w:rFonts w:ascii="Arial" w:cs="Arial" w:eastAsia="Arial" w:hAnsi="Arial"/>
          <w:sz w:val="18"/>
          <w:szCs w:val="18"/>
          <w:color w:val="auto"/>
        </w:rPr>
      </w:pPr>
    </w:p>
    <w:p>
      <w:pPr>
        <w:jc w:val="both"/>
        <w:ind w:left="4220" w:firstLine="86"/>
        <w:spacing w:after="0" w:line="250" w:lineRule="auto"/>
        <w:tabs>
          <w:tab w:leader="none" w:pos="5009" w:val="left"/>
        </w:tabs>
        <w:numPr>
          <w:ilvl w:val="1"/>
          <w:numId w:val="359"/>
        </w:numPr>
        <w:rPr>
          <w:rFonts w:ascii="Arial" w:cs="Arial" w:eastAsia="Arial" w:hAnsi="Arial"/>
          <w:sz w:val="17"/>
          <w:szCs w:val="17"/>
          <w:color w:val="auto"/>
        </w:rPr>
      </w:pPr>
      <w:r>
        <w:rPr>
          <w:rFonts w:ascii="Arial" w:cs="Arial" w:eastAsia="Arial" w:hAnsi="Arial"/>
          <w:sz w:val="17"/>
          <w:szCs w:val="17"/>
          <w:color w:val="auto"/>
        </w:rPr>
        <w:t>such DIP Financing shall not result in the voiding of the lien of the Junior Lien Agent on the Collateral securing the Junior Lien Obligations; (b) all liens on Collateral securing any such DIP Financing shall be senior to or pari passu with the liens of the Collateral Agent on the Collateral securing the Obligations; and (c) if the Collateral Agent receives an adequate protection lien on post-petition assets of the debtor to secure the Obligations, the Junior Lien Agent also receives an adequate protection lien (appropriately subordinated) on such assets.</w:t>
      </w:r>
    </w:p>
    <w:p>
      <w:pPr>
        <w:spacing w:after="0" w:line="60" w:lineRule="exact"/>
        <w:rPr>
          <w:rFonts w:ascii="Arial" w:cs="Arial" w:eastAsia="Arial" w:hAnsi="Arial"/>
          <w:sz w:val="17"/>
          <w:szCs w:val="17"/>
          <w:color w:val="auto"/>
        </w:rPr>
      </w:pPr>
    </w:p>
    <w:p>
      <w:pPr>
        <w:jc w:val="both"/>
        <w:ind w:left="4220" w:right="20" w:hanging="215"/>
        <w:spacing w:after="0" w:line="248" w:lineRule="auto"/>
        <w:tabs>
          <w:tab w:leader="none" w:pos="4715"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Adequate Protection; No Contest</w:t>
      </w:r>
      <w:r>
        <w:rPr>
          <w:rFonts w:ascii="Arial" w:cs="Arial" w:eastAsia="Arial" w:hAnsi="Arial"/>
          <w:sz w:val="18"/>
          <w:szCs w:val="18"/>
          <w:color w:val="auto"/>
        </w:rPr>
        <w:t>: Until the discharge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neither the Junior Lien Agent nor any other Junior Lien Secured</w:t>
      </w:r>
    </w:p>
    <w:p>
      <w:pPr>
        <w:sectPr>
          <w:pgSz w:w="11900" w:h="16838" w:orient="portrait"/>
          <w:cols w:equalWidth="0" w:num="1">
            <w:col w:w="9760"/>
          </w:cols>
          <w:pgMar w:left="1320" w:top="968" w:right="819" w:bottom="1440" w:gutter="0" w:footer="0" w:header="0"/>
        </w:sectPr>
      </w:pPr>
    </w:p>
    <w:bookmarkStart w:id="346" w:name="page347"/>
    <w:bookmarkEnd w:id="346"/>
    <w:p>
      <w:pPr>
        <w:ind w:left="8700"/>
        <w:spacing w:after="0"/>
        <w:rPr>
          <w:sz w:val="20"/>
          <w:szCs w:val="20"/>
          <w:color w:val="auto"/>
        </w:rPr>
      </w:pPr>
      <w:r>
        <w:rPr>
          <w:rFonts w:ascii="Arial" w:cs="Arial" w:eastAsia="Arial" w:hAnsi="Arial"/>
          <w:sz w:val="18"/>
          <w:szCs w:val="18"/>
          <w:color w:val="auto"/>
        </w:rPr>
        <w:t>EXHIBIT C-2</w:t>
      </w:r>
    </w:p>
    <w:p>
      <w:pPr>
        <w:spacing w:after="0" w:line="200" w:lineRule="exact"/>
        <w:rPr>
          <w:sz w:val="20"/>
          <w:szCs w:val="20"/>
          <w:color w:val="auto"/>
        </w:rPr>
      </w:pPr>
    </w:p>
    <w:p>
      <w:pPr>
        <w:spacing w:after="0" w:line="245" w:lineRule="exact"/>
        <w:rPr>
          <w:sz w:val="20"/>
          <w:szCs w:val="20"/>
          <w:color w:val="auto"/>
        </w:rPr>
      </w:pPr>
    </w:p>
    <w:p>
      <w:pPr>
        <w:jc w:val="both"/>
        <w:ind w:left="4220"/>
        <w:spacing w:after="0" w:line="250" w:lineRule="auto"/>
        <w:rPr>
          <w:sz w:val="20"/>
          <w:szCs w:val="20"/>
          <w:color w:val="auto"/>
        </w:rPr>
      </w:pPr>
      <w:r>
        <w:rPr>
          <w:rFonts w:ascii="Arial" w:cs="Arial" w:eastAsia="Arial" w:hAnsi="Arial"/>
          <w:sz w:val="17"/>
          <w:szCs w:val="17"/>
          <w:color w:val="auto"/>
        </w:rPr>
        <w:t>Party will contest (or support any other Person contesting) (a) any request by the Collateral Agent for adequate protection of its interest in the Collateral or (b) any objection by the Collateral Agent to any motion, relief, action or proceeding based on a claim by the Collateral Agent that its interests in the Collateral are not adequately protected, so long as, in each case, any liens granted to the Collateral Agent as adequate protection of its interests are subject to the terms of the Intercreditor Agreement. No Junior Lien Secured Party may seek or request adequate protection until and unless the Secured Parties are granted adequate protection in the form of additional or replacement liens on the Collateral and any such adequate protection of such Junior Lien Secured Party shall be limited to such liens on the Collateral and shall be appropriately subordinated to the adequate protection of the Secured Parties.</w:t>
      </w:r>
    </w:p>
    <w:p>
      <w:pPr>
        <w:spacing w:after="0" w:line="61" w:lineRule="exact"/>
        <w:rPr>
          <w:sz w:val="20"/>
          <w:szCs w:val="20"/>
          <w:color w:val="auto"/>
        </w:rPr>
      </w:pPr>
    </w:p>
    <w:p>
      <w:pPr>
        <w:jc w:val="both"/>
        <w:ind w:left="4220" w:hanging="215"/>
        <w:spacing w:after="0" w:line="237" w:lineRule="auto"/>
        <w:tabs>
          <w:tab w:leader="none" w:pos="4489"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Post-petition Interest</w:t>
      </w:r>
      <w:r>
        <w:rPr>
          <w:rFonts w:ascii="Arial" w:cs="Arial" w:eastAsia="Arial" w:hAnsi="Arial"/>
          <w:sz w:val="18"/>
          <w:szCs w:val="18"/>
          <w:color w:val="auto"/>
        </w:rPr>
        <w:t>: No Junior Lien Secured Party will oppose any</w:t>
      </w:r>
      <w:r>
        <w:rPr>
          <w:rFonts w:ascii="Arial" w:cs="Arial" w:eastAsia="Arial" w:hAnsi="Arial"/>
          <w:sz w:val="18"/>
          <w:szCs w:val="18"/>
          <w:i w:val="1"/>
          <w:iCs w:val="1"/>
          <w:color w:val="auto"/>
        </w:rPr>
        <w:t xml:space="preserve"> </w:t>
      </w:r>
      <w:r>
        <w:rPr>
          <w:rFonts w:ascii="Arial" w:cs="Arial" w:eastAsia="Arial" w:hAnsi="Arial"/>
          <w:sz w:val="18"/>
          <w:szCs w:val="18"/>
          <w:color w:val="auto"/>
        </w:rPr>
        <w:t>claim by the Secured Parties for post-petition interest, fees or expenses to the extent of the value of the Collateral (which value shall be determined without regard to the existence of the liens of the Junior Lien Secured Parties). No Secured Party will oppose or seek to challenge any claim by a Junior Lien Secured Party for post-petition interest, fees or expenses to the extent of the value of the Collateral (taking into account the liens of the Secured Parties).</w:t>
      </w:r>
    </w:p>
    <w:p>
      <w:pPr>
        <w:spacing w:after="0" w:line="70" w:lineRule="exact"/>
        <w:rPr>
          <w:rFonts w:ascii="Arial" w:cs="Arial" w:eastAsia="Arial" w:hAnsi="Arial"/>
          <w:sz w:val="18"/>
          <w:szCs w:val="18"/>
          <w:color w:val="auto"/>
        </w:rPr>
      </w:pPr>
    </w:p>
    <w:p>
      <w:pPr>
        <w:jc w:val="both"/>
        <w:ind w:left="4220" w:right="20" w:hanging="215"/>
        <w:spacing w:after="0"/>
        <w:tabs>
          <w:tab w:leader="none" w:pos="4514"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Relief from Stay</w:t>
      </w:r>
      <w:r>
        <w:rPr>
          <w:rFonts w:ascii="Arial" w:cs="Arial" w:eastAsia="Arial" w:hAnsi="Arial"/>
          <w:sz w:val="18"/>
          <w:szCs w:val="18"/>
          <w:color w:val="auto"/>
        </w:rPr>
        <w:t>: Until the discharge of the Obligations,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Lien Agent nor any other Junior Lien Secured Party will seek relief from the automatic stay or any other stay in any insolvency proceeding in respect of any portion of the Collateral without the Collateral Agent’s prior written consent.</w:t>
      </w:r>
    </w:p>
    <w:p>
      <w:pPr>
        <w:spacing w:after="0" w:line="68" w:lineRule="exact"/>
        <w:rPr>
          <w:rFonts w:ascii="Arial" w:cs="Arial" w:eastAsia="Arial" w:hAnsi="Arial"/>
          <w:sz w:val="18"/>
          <w:szCs w:val="18"/>
          <w:color w:val="auto"/>
        </w:rPr>
      </w:pPr>
    </w:p>
    <w:p>
      <w:pPr>
        <w:jc w:val="both"/>
        <w:ind w:left="4220" w:right="20" w:hanging="215"/>
        <w:spacing w:after="0" w:line="239" w:lineRule="auto"/>
        <w:tabs>
          <w:tab w:leader="none" w:pos="4426"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 xml:space="preserve">Asset Sales: </w:t>
      </w:r>
      <w:r>
        <w:rPr>
          <w:rFonts w:ascii="Arial" w:cs="Arial" w:eastAsia="Arial" w:hAnsi="Arial"/>
          <w:sz w:val="18"/>
          <w:szCs w:val="18"/>
          <w:color w:val="auto"/>
        </w:rPr>
        <w:t>The Junior Lien Agent and each Junior Lien Secured Party</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consent to any sale consented to by the Collateral Agent of any Collateral pursuant to Section 363(f) of the Bankruptcy Code (or any applicable insolvency law) as long as their liens attach to the proceeds of such sale and such proceeds are applied in accordance with the terms of the Intercreditor Agreement.</w:t>
      </w:r>
    </w:p>
    <w:p>
      <w:pPr>
        <w:spacing w:after="0" w:line="6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i w:val="1"/>
          <w:iCs w:val="1"/>
          <w:color w:val="auto"/>
        </w:rPr>
        <w:t>Governing Law</w:t>
      </w:r>
      <w:r>
        <w:rPr>
          <w:sz w:val="20"/>
          <w:szCs w:val="20"/>
          <w:color w:val="auto"/>
        </w:rPr>
        <w:tab/>
      </w:r>
      <w:r>
        <w:rPr>
          <w:rFonts w:ascii="Arial" w:cs="Arial" w:eastAsia="Arial" w:hAnsi="Arial"/>
          <w:sz w:val="16"/>
          <w:szCs w:val="16"/>
          <w:color w:val="auto"/>
        </w:rPr>
        <w:t>The State of New York.</w:t>
      </w:r>
    </w:p>
    <w:p>
      <w:pPr>
        <w:sectPr>
          <w:pgSz w:w="11900" w:h="16838" w:orient="portrait"/>
          <w:cols w:equalWidth="0" w:num="1">
            <w:col w:w="9760"/>
          </w:cols>
          <w:pgMar w:left="1320" w:top="724" w:right="819" w:bottom="1440" w:gutter="0" w:footer="0" w:header="0"/>
        </w:sectPr>
      </w:pPr>
    </w:p>
    <w:bookmarkStart w:id="347" w:name="page348"/>
    <w:bookmarkEnd w:id="347"/>
    <w:p>
      <w:pPr>
        <w:ind w:left="9660"/>
        <w:spacing w:after="0"/>
        <w:rPr>
          <w:sz w:val="20"/>
          <w:szCs w:val="20"/>
          <w:color w:val="auto"/>
        </w:rPr>
      </w:pPr>
      <w:r>
        <w:rPr>
          <w:rFonts w:ascii="Arial" w:cs="Arial" w:eastAsia="Arial" w:hAnsi="Arial"/>
          <w:sz w:val="18"/>
          <w:szCs w:val="18"/>
          <w:color w:val="auto"/>
        </w:rPr>
        <w:t>EXHIBIT C-3</w:t>
      </w:r>
    </w:p>
    <w:p>
      <w:pPr>
        <w:spacing w:after="0" w:line="200" w:lineRule="exact"/>
        <w:rPr>
          <w:sz w:val="20"/>
          <w:szCs w:val="20"/>
          <w:color w:val="auto"/>
        </w:rPr>
      </w:pPr>
    </w:p>
    <w:p>
      <w:pPr>
        <w:spacing w:after="0" w:line="245" w:lineRule="exact"/>
        <w:rPr>
          <w:sz w:val="20"/>
          <w:szCs w:val="20"/>
          <w:color w:val="auto"/>
        </w:rPr>
      </w:pPr>
    </w:p>
    <w:p>
      <w:pPr>
        <w:ind w:left="3060"/>
        <w:spacing w:after="0"/>
        <w:rPr>
          <w:sz w:val="20"/>
          <w:szCs w:val="20"/>
          <w:color w:val="auto"/>
        </w:rPr>
      </w:pPr>
      <w:r>
        <w:rPr>
          <w:rFonts w:ascii="Arial" w:cs="Arial" w:eastAsia="Arial" w:hAnsi="Arial"/>
          <w:sz w:val="18"/>
          <w:szCs w:val="18"/>
          <w:u w:val="single" w:color="auto"/>
          <w:color w:val="auto"/>
        </w:rPr>
        <w:t>FORM OF GLOBAL INTERCOMPANY NOTE</w:t>
      </w:r>
    </w:p>
    <w:p>
      <w:pPr>
        <w:spacing w:after="0" w:line="295"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[DATE]</w:t>
      </w:r>
    </w:p>
    <w:p>
      <w:pPr>
        <w:spacing w:after="0" w:line="232" w:lineRule="exact"/>
        <w:rPr>
          <w:sz w:val="20"/>
          <w:szCs w:val="20"/>
          <w:color w:val="auto"/>
        </w:rPr>
      </w:pPr>
    </w:p>
    <w:p>
      <w:pPr>
        <w:jc w:val="both"/>
        <w:ind w:left="960" w:firstLine="1204"/>
        <w:spacing w:after="0" w:line="255" w:lineRule="auto"/>
        <w:rPr>
          <w:sz w:val="20"/>
          <w:szCs w:val="20"/>
          <w:color w:val="auto"/>
        </w:rPr>
      </w:pPr>
      <w:r>
        <w:rPr>
          <w:rFonts w:ascii="Arial" w:cs="Arial" w:eastAsia="Arial" w:hAnsi="Arial"/>
          <w:sz w:val="17"/>
          <w:szCs w:val="17"/>
          <w:color w:val="auto"/>
        </w:rPr>
        <w:t>For value received, each of the undersigned (together with their respective successors and assigns, each a “</w:t>
      </w:r>
      <w:r>
        <w:rPr>
          <w:rFonts w:ascii="Arial" w:cs="Arial" w:eastAsia="Arial" w:hAnsi="Arial"/>
          <w:sz w:val="17"/>
          <w:szCs w:val="17"/>
          <w:u w:val="single" w:color="auto"/>
          <w:color w:val="auto"/>
        </w:rPr>
        <w:t>Payor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Payors</w:t>
      </w:r>
      <w:r>
        <w:rPr>
          <w:rFonts w:ascii="Arial" w:cs="Arial" w:eastAsia="Arial" w:hAnsi="Arial"/>
          <w:sz w:val="17"/>
          <w:szCs w:val="17"/>
          <w:color w:val="auto"/>
        </w:rPr>
        <w:t>”), hereby promises to pay on demand to each of the undersigned (together with its successors and assigns, each a “</w:t>
      </w:r>
      <w:r>
        <w:rPr>
          <w:rFonts w:ascii="Arial" w:cs="Arial" w:eastAsia="Arial" w:hAnsi="Arial"/>
          <w:sz w:val="17"/>
          <w:szCs w:val="17"/>
          <w:u w:val="single" w:color="auto"/>
          <w:color w:val="auto"/>
        </w:rPr>
        <w:t>Payee</w:t>
      </w:r>
      <w:r>
        <w:rPr>
          <w:rFonts w:ascii="Arial" w:cs="Arial" w:eastAsia="Arial" w:hAnsi="Arial"/>
          <w:sz w:val="17"/>
          <w:szCs w:val="17"/>
          <w:color w:val="auto"/>
        </w:rPr>
        <w:t>”), the unpaid principal amount of all loans and advances made by the Payee to each Payor. Each Payor promises to pay interest on the unpaid principal amount hereof from the date hereof until paid at such rate per annum as shall be agreed upon from time to time by such Payor and the Payee. Capitalized terms used but not defined herein shall have the meanings given to them in the Credit Agreements identified below (unless otherwise indicated).</w:t>
      </w:r>
    </w:p>
    <w:p>
      <w:pPr>
        <w:spacing w:after="0" w:line="196" w:lineRule="exact"/>
        <w:rPr>
          <w:sz w:val="20"/>
          <w:szCs w:val="20"/>
          <w:color w:val="auto"/>
        </w:rPr>
      </w:pPr>
    </w:p>
    <w:p>
      <w:pPr>
        <w:jc w:val="both"/>
        <w:ind w:left="960" w:right="20" w:firstLine="1204"/>
        <w:spacing w:after="0"/>
        <w:rPr>
          <w:sz w:val="20"/>
          <w:szCs w:val="20"/>
          <w:color w:val="auto"/>
        </w:rPr>
      </w:pPr>
      <w:r>
        <w:rPr>
          <w:rFonts w:ascii="Arial" w:cs="Arial" w:eastAsia="Arial" w:hAnsi="Arial"/>
          <w:sz w:val="18"/>
          <w:szCs w:val="18"/>
          <w:color w:val="auto"/>
        </w:rPr>
        <w:t>Upon the commencement by or against any Payor of any case or other proceeding seeking liquidation, reorganization or other relief with respect to such Payor or its debts under any bankruptcy, insolvency or other similar law now or hereafter in effect or seeking the appointment of a trustee, receiver, liquidator, custodian or other similar official of it or any substantial part of its property, the unpaid principal amount hereof shall become immediately due and payable without presentment, demand, protest or notice of any kind, all of which are hereby waived by such Payor.</w:t>
      </w:r>
    </w:p>
    <w:p>
      <w:pPr>
        <w:spacing w:after="0" w:line="206" w:lineRule="exact"/>
        <w:rPr>
          <w:sz w:val="20"/>
          <w:szCs w:val="20"/>
          <w:color w:val="auto"/>
        </w:rPr>
      </w:pPr>
    </w:p>
    <w:p>
      <w:pPr>
        <w:jc w:val="both"/>
        <w:ind w:left="960" w:right="20" w:firstLine="1204"/>
        <w:spacing w:after="0" w:line="262" w:lineRule="auto"/>
        <w:rPr>
          <w:sz w:val="20"/>
          <w:szCs w:val="20"/>
          <w:color w:val="auto"/>
        </w:rPr>
      </w:pPr>
      <w:r>
        <w:rPr>
          <w:rFonts w:ascii="Arial" w:cs="Arial" w:eastAsia="Arial" w:hAnsi="Arial"/>
          <w:sz w:val="17"/>
          <w:szCs w:val="17"/>
          <w:color w:val="auto"/>
        </w:rPr>
        <w:t>The Payee is hereby authorized (but not required) to record all loans and advances made by it to each Payor (all of which shall be evidenced by this Intercompany Note), and all repayments or prepayments thereof, in its books and records, such books and records constituting prima facie evidence of the accuracy of the information contained therein. The failure to show any such indebtedness or any error in showing such indebtedness shall not affect the obligations of any Payor hereunder.</w:t>
      </w:r>
    </w:p>
    <w:p>
      <w:pPr>
        <w:spacing w:after="0" w:line="175" w:lineRule="exact"/>
        <w:rPr>
          <w:sz w:val="20"/>
          <w:szCs w:val="20"/>
          <w:color w:val="auto"/>
        </w:rPr>
      </w:pPr>
    </w:p>
    <w:p>
      <w:pPr>
        <w:jc w:val="both"/>
        <w:ind w:left="960" w:right="20" w:firstLine="1204"/>
        <w:spacing w:after="0" w:line="252" w:lineRule="auto"/>
        <w:rPr>
          <w:sz w:val="20"/>
          <w:szCs w:val="20"/>
          <w:color w:val="auto"/>
        </w:rPr>
      </w:pPr>
      <w:r>
        <w:rPr>
          <w:rFonts w:ascii="Arial" w:cs="Arial" w:eastAsia="Arial" w:hAnsi="Arial"/>
          <w:sz w:val="17"/>
          <w:szCs w:val="17"/>
          <w:color w:val="auto"/>
        </w:rPr>
        <w:t>This Intercompany Note is the Intercompany Note referred to in each of (i) the First Lien Credit and Guaranty Agreement, dated as of the date hereof (as amended, amended and restated, extended, supplemented or otherwise modified from time to time, the “</w:t>
      </w:r>
      <w:r>
        <w:rPr>
          <w:rFonts w:ascii="Arial" w:cs="Arial" w:eastAsia="Arial" w:hAnsi="Arial"/>
          <w:sz w:val="17"/>
          <w:szCs w:val="17"/>
          <w:u w:val="single" w:color="auto"/>
          <w:color w:val="auto"/>
        </w:rPr>
        <w:t>First Lien Credit Agreement</w:t>
      </w:r>
      <w:r>
        <w:rPr>
          <w:rFonts w:ascii="Arial" w:cs="Arial" w:eastAsia="Arial" w:hAnsi="Arial"/>
          <w:sz w:val="17"/>
          <w:szCs w:val="17"/>
          <w:color w:val="auto"/>
        </w:rPr>
        <w:t>”), among LEGALZOOM.COM,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each lender from time to time party thereto and JPMorgan Chase Bank, N.A., as Administrative Agent and as Collateral Agent and (ii) the Second Lien Credit and Guaranty Agreement, dated as of the date hereof (as amended, amended and restated, extended, supplemented or otherwise modified from time to time, the “</w:t>
      </w:r>
      <w:r>
        <w:rPr>
          <w:rFonts w:ascii="Arial" w:cs="Arial" w:eastAsia="Arial" w:hAnsi="Arial"/>
          <w:sz w:val="17"/>
          <w:szCs w:val="17"/>
          <w:u w:val="single" w:color="auto"/>
          <w:color w:val="auto"/>
        </w:rPr>
        <w:t>Second Lien</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 together with the First Lien Credit Agreement, each a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among the Borrower, the subsidiary guarantors from time to time party thereto, each lender from time to time party thereto and Bank of America, N.A., as Administrative Agent and as Collateral Agent.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This Intercompany Note shall be pledged by each Payee that is a Loan Party pursuant to</w:t>
      </w:r>
    </w:p>
    <w:p>
      <w:pPr>
        <w:spacing w:after="0" w:line="10" w:lineRule="exact"/>
        <w:rPr>
          <w:sz w:val="20"/>
          <w:szCs w:val="20"/>
          <w:color w:val="auto"/>
        </w:rPr>
      </w:pPr>
    </w:p>
    <w:p>
      <w:pPr>
        <w:jc w:val="both"/>
        <w:ind w:left="960" w:firstLine="3"/>
        <w:spacing w:after="0" w:line="239" w:lineRule="auto"/>
        <w:tabs>
          <w:tab w:leader="none" w:pos="115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First Lien Pledge and Security Agreement (the “</w:t>
      </w:r>
      <w:r>
        <w:rPr>
          <w:rFonts w:ascii="Arial" w:cs="Arial" w:eastAsia="Arial" w:hAnsi="Arial"/>
          <w:sz w:val="18"/>
          <w:szCs w:val="18"/>
          <w:u w:val="single" w:color="auto"/>
          <w:color w:val="auto"/>
        </w:rPr>
        <w:t>First Lien Security Agreement</w:t>
      </w:r>
      <w:r>
        <w:rPr>
          <w:rFonts w:ascii="Arial" w:cs="Arial" w:eastAsia="Arial" w:hAnsi="Arial"/>
          <w:sz w:val="18"/>
          <w:szCs w:val="18"/>
          <w:color w:val="auto"/>
        </w:rPr>
        <w:t>”) among the Borrower, the other Grantors (as defined therein) from time to time party thereto, and JPMorgan Chase Bank, N.A., as collateral agent (in such capacity,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Lien Collateral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340360</wp:posOffset>
            </wp:positionV>
            <wp:extent cx="621030" cy="294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9920"/>
        <w:spacing w:after="0"/>
        <w:rPr>
          <w:sz w:val="20"/>
          <w:szCs w:val="20"/>
          <w:color w:val="auto"/>
        </w:rPr>
      </w:pPr>
      <w:r>
        <w:rPr>
          <w:rFonts w:ascii="Arial" w:cs="Arial" w:eastAsia="Arial" w:hAnsi="Arial"/>
          <w:sz w:val="16"/>
          <w:szCs w:val="16"/>
          <w:color w:val="auto"/>
        </w:rPr>
        <w:t>Exhibit C-3</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4" w:right="819" w:bottom="1440" w:gutter="0" w:footer="0" w:header="0"/>
        </w:sectPr>
      </w:pPr>
    </w:p>
    <w:bookmarkStart w:id="348" w:name="page349"/>
    <w:bookmarkEnd w:id="348"/>
    <w:p>
      <w:pPr>
        <w:jc w:val="both"/>
        <w:ind w:left="960"/>
        <w:spacing w:after="0" w:line="251" w:lineRule="auto"/>
        <w:rPr>
          <w:sz w:val="20"/>
          <w:szCs w:val="20"/>
          <w:color w:val="auto"/>
        </w:rPr>
      </w:pPr>
      <w:r>
        <w:rPr>
          <w:rFonts w:ascii="Arial" w:cs="Arial" w:eastAsia="Arial" w:hAnsi="Arial"/>
          <w:sz w:val="17"/>
          <w:szCs w:val="17"/>
          <w:color w:val="auto"/>
        </w:rPr>
        <w:t>and (ii) the Second Lien Pledge and Security Agreement (the “</w:t>
      </w:r>
      <w:r>
        <w:rPr>
          <w:rFonts w:ascii="Arial" w:cs="Arial" w:eastAsia="Arial" w:hAnsi="Arial"/>
          <w:sz w:val="17"/>
          <w:szCs w:val="17"/>
          <w:u w:val="single" w:color="auto"/>
          <w:color w:val="auto"/>
        </w:rPr>
        <w:t>Second Lien Security Agreement</w:t>
      </w:r>
      <w:r>
        <w:rPr>
          <w:rFonts w:ascii="Arial" w:cs="Arial" w:eastAsia="Arial" w:hAnsi="Arial"/>
          <w:sz w:val="17"/>
          <w:szCs w:val="17"/>
          <w:color w:val="auto"/>
        </w:rPr>
        <w:t>” and, together with the First Lien Security Agreement, the “</w:t>
      </w:r>
      <w:r>
        <w:rPr>
          <w:rFonts w:ascii="Arial" w:cs="Arial" w:eastAsia="Arial" w:hAnsi="Arial"/>
          <w:sz w:val="17"/>
          <w:szCs w:val="17"/>
          <w:u w:val="single" w:color="auto"/>
          <w:color w:val="auto"/>
        </w:rPr>
        <w:t>Security Agreements</w:t>
      </w:r>
      <w:r>
        <w:rPr>
          <w:rFonts w:ascii="Arial" w:cs="Arial" w:eastAsia="Arial" w:hAnsi="Arial"/>
          <w:sz w:val="17"/>
          <w:szCs w:val="17"/>
          <w:color w:val="auto"/>
        </w:rPr>
        <w:t>”) among the Borrower, the other Grantors (as defined therein) from time to time party thereto, and Bank of America, N.A., as collateral agent (in such capacity, the “</w:t>
      </w:r>
      <w:r>
        <w:rPr>
          <w:rFonts w:ascii="Arial" w:cs="Arial" w:eastAsia="Arial" w:hAnsi="Arial"/>
          <w:sz w:val="17"/>
          <w:szCs w:val="17"/>
          <w:u w:val="single" w:color="auto"/>
          <w:color w:val="auto"/>
        </w:rPr>
        <w:t>Second Lien Collateral Agent</w:t>
      </w:r>
      <w:r>
        <w:rPr>
          <w:rFonts w:ascii="Arial" w:cs="Arial" w:eastAsia="Arial" w:hAnsi="Arial"/>
          <w:sz w:val="17"/>
          <w:szCs w:val="17"/>
          <w:color w:val="auto"/>
        </w:rPr>
        <w:t>” and, together with the First Lien Collateral Agent, each a “</w:t>
      </w:r>
      <w:r>
        <w:rPr>
          <w:rFonts w:ascii="Arial" w:cs="Arial" w:eastAsia="Arial" w:hAnsi="Arial"/>
          <w:sz w:val="17"/>
          <w:szCs w:val="17"/>
          <w:u w:val="single" w:color="auto"/>
          <w:color w:val="auto"/>
        </w:rPr>
        <w:t>Collateral Agent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Collateral Agents</w:t>
      </w:r>
      <w:r>
        <w:rPr>
          <w:rFonts w:ascii="Arial" w:cs="Arial" w:eastAsia="Arial" w:hAnsi="Arial"/>
          <w:sz w:val="17"/>
          <w:szCs w:val="17"/>
          <w:color w:val="auto"/>
        </w:rPr>
        <w:t>”). By its entry into this Intercompany Note, each Payor is deemed to have notice of the fact that, and each Payor hereby acknowledges and accepts that, this Intercompany Note has been pledged by the Payee (or is subject to an equivalent or similar security interest in any other relevant jurisdiction) in favor of each Collateral Agent and each Secured Party. Each Payor and each Payee acknowledges and agrees that after the occurrence and during the continuation of an Event of Default, each Collateral Agent and the other Secured Parties may (without limiting any rights available to such parties pursuant to each Security Agreement) exercise all the rights of each Payee that is a Loan Party under this Intercompany Note and will not be subject to any abatement, reduction, recoupment, defense, setoff or counterclaim available to such Payor.</w:t>
      </w:r>
    </w:p>
    <w:p>
      <w:pPr>
        <w:spacing w:after="0" w:line="196" w:lineRule="exact"/>
        <w:rPr>
          <w:sz w:val="20"/>
          <w:szCs w:val="20"/>
          <w:color w:val="auto"/>
        </w:rPr>
      </w:pPr>
    </w:p>
    <w:p>
      <w:pPr>
        <w:jc w:val="both"/>
        <w:ind w:left="960"/>
        <w:spacing w:after="0" w:line="248" w:lineRule="auto"/>
        <w:rPr>
          <w:sz w:val="20"/>
          <w:szCs w:val="20"/>
          <w:color w:val="auto"/>
        </w:rPr>
      </w:pPr>
      <w:r>
        <w:rPr>
          <w:rFonts w:ascii="Arial" w:cs="Arial" w:eastAsia="Arial" w:hAnsi="Arial"/>
          <w:sz w:val="17"/>
          <w:szCs w:val="17"/>
          <w:color w:val="auto"/>
        </w:rPr>
        <w:t>Each Payee agrees that any and all claims of such Payee against any Payor that is a Loan Party or any endorser of the obligations of any Payor that is a Loan Party under this Intercompany Note, or against any of their respective properties, shall be subordinate and subject in right of payment to the Obligations (as defined in each Credit Agreement, the “</w:t>
      </w:r>
      <w:r>
        <w:rPr>
          <w:rFonts w:ascii="Arial" w:cs="Arial" w:eastAsia="Arial" w:hAnsi="Arial"/>
          <w:sz w:val="17"/>
          <w:szCs w:val="17"/>
          <w:u w:val="single" w:color="auto"/>
          <w:color w:val="auto"/>
        </w:rPr>
        <w:t>Senior Debt</w:t>
      </w:r>
      <w:r>
        <w:rPr>
          <w:rFonts w:ascii="Arial" w:cs="Arial" w:eastAsia="Arial" w:hAnsi="Arial"/>
          <w:sz w:val="17"/>
          <w:szCs w:val="17"/>
          <w:color w:val="auto"/>
        </w:rPr>
        <w:t>”) until the termination of the Commitments (as defined in each Credit Agreement) and payment in full of all Obligations (other than (A) contingent indemnification obligations for which no claim has been made and (B) the expiration or termination of all Letters of Credit (as defined in the First Lien Credit Agreement) (other than Letters of Credit as to which other arrangements satisfactory to the Administrative Agent (as defined in the First Lien Credit Agreement) and the applicable Issuing Lender (as defined in the First Lien Credit Agreement) shall have been made (“</w:t>
      </w:r>
      <w:r>
        <w:rPr>
          <w:rFonts w:ascii="Arial" w:cs="Arial" w:eastAsia="Arial" w:hAnsi="Arial"/>
          <w:sz w:val="17"/>
          <w:szCs w:val="17"/>
          <w:u w:val="single" w:color="auto"/>
          <w:color w:val="auto"/>
        </w:rPr>
        <w:t>Payment in Full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Payor may make payments to the applicable Payee so long as no Event of Default under any Credit Agreement shall have occurred and be continuing; and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in each case, upon the waiver, remedy or cure of each such Event of Default, so long as no other Event of Default under any Credit Agreement shall have occurred and be then continuing, such payments shall be permitted, including any payment to bring any missed payments during the period of such Event of Default current. Notwithstanding any right of any Payee to ask, demand, sue for, take or receive any payment from any Payor, all rights, Liens and security interests of such Payee, whether now or hereafter arising and howsoever existing, in any assets of any Payor that is a Loan Party (whether constituting part of the Collateral given to the Collateral Agents or any other Secured Party under the Credit Agreements to secure payment of all or any part of the Obligations (as defined in each Credit Agreement) under each Credit Agreement, shall be and hereby are subordinated to the rights of the Collateral Agents and the other Secured Parties under each Credit Agreement in such assets. Except as expressly permitted by each Credit Agreement or the other Loan Documents (as defined in each Credit Agreement), the Payees shall have no right to possession of any such asset or to foreclose upon, or exercise any other remedy in respect of, any such asset, whether by judicial action or otherwise, unless and until Payment in Full shall have occurred.</w:t>
      </w:r>
    </w:p>
    <w:p>
      <w:pPr>
        <w:spacing w:after="0" w:line="198" w:lineRule="exact"/>
        <w:rPr>
          <w:sz w:val="20"/>
          <w:szCs w:val="20"/>
          <w:color w:val="auto"/>
        </w:rPr>
      </w:pPr>
    </w:p>
    <w:p>
      <w:pPr>
        <w:jc w:val="both"/>
        <w:ind w:left="960" w:firstLine="1204"/>
        <w:spacing w:after="0" w:line="252" w:lineRule="auto"/>
        <w:rPr>
          <w:sz w:val="20"/>
          <w:szCs w:val="20"/>
          <w:color w:val="auto"/>
        </w:rPr>
      </w:pPr>
      <w:r>
        <w:rPr>
          <w:rFonts w:ascii="Arial" w:cs="Arial" w:eastAsia="Arial" w:hAnsi="Arial"/>
          <w:sz w:val="17"/>
          <w:szCs w:val="17"/>
          <w:color w:val="auto"/>
        </w:rPr>
        <w:t>After the occurrence of and during the continuation of an Event of Default (as defined in each Credit Agreement), if all or any part of the assets of any Payor, or the proceeds thereof, are subject to any distribution, division or application to the creditors of any Payor, whether partial or complete, voluntary or involuntary, and whether by reason of liquidation, bankruptcy, arrangement, receivership, assignment for the benefit of creditors or any other action or proceeding, or if the business of any Payor is dissolved or if (except as expressly permitted by the Loan Documents (as defined in each Credit Agreement)) all or substantially all of the assets of any Payor are sold, then, and in any such event, any payment or distribution of any kind or character, whether in cash, securities or other investment property, or otherwise, which shall be payable or deliverable upon or with respect to any indebtedness of such Payor to any Payee (“</w:t>
      </w:r>
      <w:r>
        <w:rPr>
          <w:rFonts w:ascii="Arial" w:cs="Arial" w:eastAsia="Arial" w:hAnsi="Arial"/>
          <w:sz w:val="17"/>
          <w:szCs w:val="17"/>
          <w:u w:val="single" w:color="auto"/>
          <w:color w:val="auto"/>
        </w:rPr>
        <w:t>Payor Indebtedness</w:t>
      </w:r>
      <w:r>
        <w:rPr>
          <w:rFonts w:ascii="Arial" w:cs="Arial" w:eastAsia="Arial" w:hAnsi="Arial"/>
          <w:sz w:val="17"/>
          <w:szCs w:val="17"/>
          <w:color w:val="auto"/>
        </w:rPr>
        <w:t>”) shall be paid or delivered directly to the applicable Collateral Agent (as required by the Closing Date Intercreditor Agreement) for application to any of the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342265</wp:posOffset>
            </wp:positionV>
            <wp:extent cx="621030" cy="294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9900"/>
        <w:spacing w:after="0"/>
        <w:rPr>
          <w:sz w:val="20"/>
          <w:szCs w:val="20"/>
          <w:color w:val="auto"/>
        </w:rPr>
      </w:pPr>
      <w:r>
        <w:rPr>
          <w:rFonts w:ascii="Arial" w:cs="Arial" w:eastAsia="Arial" w:hAnsi="Arial"/>
          <w:sz w:val="16"/>
          <w:szCs w:val="16"/>
          <w:color w:val="auto"/>
        </w:rPr>
        <w:t>Exhibit C-3</w:t>
      </w:r>
    </w:p>
    <w:p>
      <w:pPr>
        <w:spacing w:after="0" w:line="18" w:lineRule="exact"/>
        <w:rPr>
          <w:sz w:val="20"/>
          <w:szCs w:val="20"/>
          <w:color w:val="auto"/>
        </w:rPr>
      </w:pPr>
    </w:p>
    <w:p>
      <w:pPr>
        <w:jc w:val="center"/>
        <w:ind w:right="992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700"/>
          </w:cols>
          <w:pgMar w:left="360" w:top="1326" w:right="839" w:bottom="1440" w:gutter="0" w:footer="0" w:header="0"/>
        </w:sectPr>
      </w:pPr>
    </w:p>
    <w:bookmarkStart w:id="349" w:name="page350"/>
    <w:bookmarkEnd w:id="349"/>
    <w:p>
      <w:pPr>
        <w:jc w:val="both"/>
        <w:ind w:left="960"/>
        <w:spacing w:after="0" w:line="263" w:lineRule="auto"/>
        <w:rPr>
          <w:sz w:val="20"/>
          <w:szCs w:val="20"/>
          <w:color w:val="auto"/>
        </w:rPr>
      </w:pPr>
      <w:r>
        <w:rPr>
          <w:rFonts w:ascii="Arial" w:cs="Arial" w:eastAsia="Arial" w:hAnsi="Arial"/>
          <w:sz w:val="16"/>
          <w:szCs w:val="16"/>
          <w:color w:val="auto"/>
        </w:rPr>
        <w:t>Debt, due or to become due, until Payment in Full has occurred. After the occurrence of and during the continuation of an Event of Default, each Payee that is a Loan Party irrevocably authorizes, empowers and appoints the applicable Collateral Agent (as required by the Closing Date Intercreditor Agreement) as such Payee’s attorney-in-fact (which appointment is coupled with an interest and is irrevocable) to demand, sue for, collect and receive every payment or distribution hereunder and give acquittance therefor and to make and present for and on behalf of such Payee such proofs of claim and take such other action, in such Collateral Agent’s own name or in the name of such Payee or otherwise, as such Collateral Agent may deem necessary or advisable for the enforcement of this Intercompany Note. After the occurrence of and during the continuation of an Event of Default, each Payee that is a Loan Party also agrees to execute, verify, deliver and file any such proofs of claim in respect of the Payor Indebtedness requested by any Collateral Agent. After the occurrence of and during the continuation of an Event of Default, the Collateral Agents may vote such proofs of claim in any such proceeding (and the applicable Payee shall not be entitled to withdraw such vote), receive and collect any and all dividends or other payments or disbursements made on Payor Indebtedness in whatever form the same may be paid or issued and apply the same on account of any of the Senior Debt in accordance with each Credit Agreement. Upon the occurrence and during the continuation of any Event of Default, should any payment, distribution, security or other investment property or instrument or any proceeds thereof be received by any Payee that is a Loan Party upon or with respect to Payor Indebtedness owing to such Payee prior to Payment in Full, such Payee that is a Loan Party shall receive and hold the same for the benefit of the Secured Parties, and shall forthwith deliver the same to the applicable Collateral Agent (as required by the Closing Date Intercreditor Agreement), for the benefit of the Secured Parties, in precisely the form received (except for the endorsement or assignment of such Payee where necessary or advisable in such Collateral Agent’s judgment), for application to any of the Senior Debt in accordance with each Credit Agreement, due or not due, and, until so delivered, the same shall be segregated from the other assets of such Payee for the benefit of the Secured Parties. Upon the occurrence and during the continuance of an Event of Default, if such Payee fails to make any such endorsement or assignment to the Collateral Agents, the applicable Collateral Agent or any of its officers, employees or representatives are hereby irrevocably authorized to make the same. After the occurrence and during the continuation of an Event of Default, each Payee that is a Loan Party agrees that until Payment in Full has occurred, such Payee will not (i) assign or transfer, or agree to assign or transfer, to any Person (other than (x) to the Borrower or any of their respective Restricted Subsidiaries which are Loan Parties, (y) in favor of the Collateral Agent for the benefit of the Secured Parties pursuant to the Security Agreements or otherwise or (z) a collateral assignment to the holders of Other Applicable Indebtedness (as defined in each Credit Agreement) or Refinancing Indebtedness (as defined in each Credit Agreement), in each case to the extent permitted by each Credit Agreement and subject to the Closing Date Intercreditor Agreement and any other then applicable Intercreditor Agreement) any claim such Payee has or may have against any Payor, or (ii) otherwise amend, modify, supplement, waive or fail to enforce any subordination provision of this Intercompany Note or the provisions relating to the pledge of this Intercompany Note in favor of the Collateral Agents for the benefit of the Secured Parties.</w:t>
      </w:r>
    </w:p>
    <w:p>
      <w:pPr>
        <w:spacing w:after="0" w:line="200" w:lineRule="exact"/>
        <w:rPr>
          <w:sz w:val="20"/>
          <w:szCs w:val="20"/>
          <w:color w:val="auto"/>
        </w:rPr>
      </w:pPr>
    </w:p>
    <w:p>
      <w:pPr>
        <w:spacing w:after="0" w:line="209" w:lineRule="exact"/>
        <w:rPr>
          <w:sz w:val="20"/>
          <w:szCs w:val="20"/>
          <w:color w:val="auto"/>
        </w:rPr>
      </w:pPr>
    </w:p>
    <w:p>
      <w:pPr>
        <w:jc w:val="both"/>
        <w:ind w:left="960" w:right="20" w:firstLine="1204"/>
        <w:spacing w:after="0" w:line="293" w:lineRule="auto"/>
        <w:rPr>
          <w:sz w:val="20"/>
          <w:szCs w:val="20"/>
          <w:color w:val="auto"/>
        </w:rPr>
      </w:pPr>
      <w:r>
        <w:rPr>
          <w:rFonts w:ascii="Arial" w:cs="Arial" w:eastAsia="Arial" w:hAnsi="Arial"/>
          <w:sz w:val="17"/>
          <w:szCs w:val="17"/>
          <w:color w:val="auto"/>
        </w:rPr>
        <w:t>The Secured Parties shall be third party beneficiaries hereof and shall be entitled to enforce the subordination and other provisions hereof and such provisions may not be amended without the Collateral Agents’ consent.</w:t>
      </w:r>
    </w:p>
    <w:p>
      <w:pPr>
        <w:spacing w:after="0" w:line="150" w:lineRule="exact"/>
        <w:rPr>
          <w:sz w:val="20"/>
          <w:szCs w:val="20"/>
          <w:color w:val="auto"/>
        </w:rPr>
      </w:pPr>
    </w:p>
    <w:p>
      <w:pPr>
        <w:jc w:val="both"/>
        <w:ind w:left="960" w:right="20" w:firstLine="1204"/>
        <w:spacing w:after="0" w:line="248" w:lineRule="auto"/>
        <w:rPr>
          <w:sz w:val="20"/>
          <w:szCs w:val="20"/>
          <w:color w:val="auto"/>
        </w:rPr>
      </w:pPr>
      <w:r>
        <w:rPr>
          <w:rFonts w:ascii="Arial" w:cs="Arial" w:eastAsia="Arial" w:hAnsi="Arial"/>
          <w:sz w:val="18"/>
          <w:szCs w:val="18"/>
          <w:color w:val="auto"/>
        </w:rPr>
        <w:t>This Intercompany Note and any claims, controversy, dispute or cause of action (whether in contract or tort or otherwise) based upon, arising out of or relating to this Intercompany Note and the transactions contemplated hereby shall be governed by, and construed in accordance with, the laws of the State of New York.</w:t>
      </w:r>
    </w:p>
    <w:p>
      <w:pPr>
        <w:spacing w:after="0" w:line="198" w:lineRule="exact"/>
        <w:rPr>
          <w:sz w:val="20"/>
          <w:szCs w:val="20"/>
          <w:color w:val="auto"/>
        </w:rPr>
      </w:pPr>
    </w:p>
    <w:p>
      <w:pPr>
        <w:jc w:val="both"/>
        <w:ind w:left="960" w:right="20" w:firstLine="1204"/>
        <w:spacing w:after="0" w:line="263" w:lineRule="auto"/>
        <w:rPr>
          <w:sz w:val="20"/>
          <w:szCs w:val="20"/>
          <w:color w:val="auto"/>
        </w:rPr>
      </w:pPr>
      <w:r>
        <w:rPr>
          <w:rFonts w:ascii="Arial" w:cs="Arial" w:eastAsia="Arial" w:hAnsi="Arial"/>
          <w:sz w:val="18"/>
          <w:szCs w:val="18"/>
          <w:color w:val="auto"/>
        </w:rPr>
        <w:t>This Intercompany Note is a continuing agreement and shall (i) remain in full force and effect until Payment in Full, (ii) be binding upon the Payee, the Payor and their respective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327660</wp:posOffset>
            </wp:positionV>
            <wp:extent cx="621030" cy="294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9920"/>
        <w:spacing w:after="0"/>
        <w:rPr>
          <w:sz w:val="20"/>
          <w:szCs w:val="20"/>
          <w:color w:val="auto"/>
        </w:rPr>
      </w:pPr>
      <w:r>
        <w:rPr>
          <w:rFonts w:ascii="Arial" w:cs="Arial" w:eastAsia="Arial" w:hAnsi="Arial"/>
          <w:sz w:val="16"/>
          <w:szCs w:val="16"/>
          <w:color w:val="auto"/>
        </w:rPr>
        <w:t>Exhibit C-3</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0720"/>
          </w:cols>
          <w:pgMar w:left="360" w:top="1326" w:right="819" w:bottom="1440" w:gutter="0" w:footer="0" w:header="0"/>
        </w:sectPr>
      </w:pPr>
    </w:p>
    <w:bookmarkStart w:id="350" w:name="page351"/>
    <w:bookmarkEnd w:id="350"/>
    <w:p>
      <w:pPr>
        <w:ind w:left="960"/>
        <w:spacing w:after="0" w:line="263" w:lineRule="auto"/>
        <w:rPr>
          <w:sz w:val="20"/>
          <w:szCs w:val="20"/>
          <w:color w:val="auto"/>
        </w:rPr>
      </w:pPr>
      <w:r>
        <w:rPr>
          <w:rFonts w:ascii="Arial" w:cs="Arial" w:eastAsia="Arial" w:hAnsi="Arial"/>
          <w:sz w:val="18"/>
          <w:szCs w:val="18"/>
          <w:color w:val="auto"/>
        </w:rPr>
        <w:t>assigns, (iii) inure to the benefit of, and be enforceable by, the Collateral Agent and its respective successors, transferees and permitted assigns.</w:t>
      </w:r>
    </w:p>
    <w:p>
      <w:pPr>
        <w:spacing w:after="0" w:line="186" w:lineRule="exact"/>
        <w:rPr>
          <w:sz w:val="20"/>
          <w:szCs w:val="20"/>
          <w:color w:val="auto"/>
        </w:rPr>
      </w:pPr>
    </w:p>
    <w:p>
      <w:pPr>
        <w:jc w:val="both"/>
        <w:ind w:left="960" w:right="180" w:firstLine="1204"/>
        <w:spacing w:after="0" w:line="254" w:lineRule="auto"/>
        <w:rPr>
          <w:sz w:val="20"/>
          <w:szCs w:val="20"/>
          <w:color w:val="auto"/>
        </w:rPr>
      </w:pPr>
      <w:r>
        <w:rPr>
          <w:rFonts w:ascii="Arial" w:cs="Arial" w:eastAsia="Arial" w:hAnsi="Arial"/>
          <w:sz w:val="17"/>
          <w:szCs w:val="17"/>
          <w:color w:val="auto"/>
        </w:rPr>
        <w:t>From time to time after the date hereof, additional Subsidiaries of the Borrower may become parties hereto by executing a counterpart signature page to this Intercompany Note (each additional Subsidiary, an “</w:t>
      </w:r>
      <w:r>
        <w:rPr>
          <w:rFonts w:ascii="Arial" w:cs="Arial" w:eastAsia="Arial" w:hAnsi="Arial"/>
          <w:sz w:val="17"/>
          <w:szCs w:val="17"/>
          <w:u w:val="single" w:color="auto"/>
          <w:color w:val="auto"/>
        </w:rPr>
        <w:t>Additional Payor</w:t>
      </w:r>
      <w:r>
        <w:rPr>
          <w:rFonts w:ascii="Arial" w:cs="Arial" w:eastAsia="Arial" w:hAnsi="Arial"/>
          <w:sz w:val="17"/>
          <w:szCs w:val="17"/>
          <w:color w:val="auto"/>
        </w:rPr>
        <w:t>”). Upon delivery of such counterpart signature page to the Payees, notice of which is hereby waived by the other Payors, each Additional Payor shall be a Payor and shall be as fully a party hereto as if such Additional Payor were an original signatory hereof. Each Payor expressly agrees that its obligations arising hereunder shall not be affected or diminished by the addition or release of any other Payor hereunder. This Intercompany Note shall be fully effective as to any Payor that is or becomes a party hereto regardless of whether any other Person becomes or fails to become or ceases to be a Payor hereunder.</w:t>
      </w:r>
    </w:p>
    <w:p>
      <w:pPr>
        <w:spacing w:after="0" w:line="182" w:lineRule="exact"/>
        <w:rPr>
          <w:sz w:val="20"/>
          <w:szCs w:val="20"/>
          <w:color w:val="auto"/>
        </w:rPr>
      </w:pPr>
    </w:p>
    <w:p>
      <w:pPr>
        <w:jc w:val="both"/>
        <w:ind w:left="960" w:right="180" w:firstLine="1204"/>
        <w:spacing w:after="0" w:line="248" w:lineRule="auto"/>
        <w:rPr>
          <w:sz w:val="20"/>
          <w:szCs w:val="20"/>
          <w:color w:val="auto"/>
        </w:rPr>
      </w:pPr>
      <w:r>
        <w:rPr>
          <w:rFonts w:ascii="Arial" w:cs="Arial" w:eastAsia="Arial" w:hAnsi="Arial"/>
          <w:sz w:val="18"/>
          <w:szCs w:val="18"/>
          <w:color w:val="auto"/>
        </w:rPr>
        <w:t>This Intercompany Note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19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356870</wp:posOffset>
            </wp:positionV>
            <wp:extent cx="621030" cy="294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0080"/>
        <w:spacing w:after="0"/>
        <w:rPr>
          <w:sz w:val="20"/>
          <w:szCs w:val="20"/>
          <w:color w:val="auto"/>
        </w:rPr>
      </w:pPr>
      <w:r>
        <w:rPr>
          <w:rFonts w:ascii="Arial" w:cs="Arial" w:eastAsia="Arial" w:hAnsi="Arial"/>
          <w:sz w:val="16"/>
          <w:szCs w:val="16"/>
          <w:color w:val="auto"/>
        </w:rPr>
        <w:t>Exhibit C-3</w:t>
      </w:r>
    </w:p>
    <w:p>
      <w:pPr>
        <w:spacing w:after="0" w:line="18" w:lineRule="exact"/>
        <w:rPr>
          <w:sz w:val="20"/>
          <w:szCs w:val="20"/>
          <w:color w:val="auto"/>
        </w:rPr>
      </w:pPr>
    </w:p>
    <w:p>
      <w:pPr>
        <w:jc w:val="center"/>
        <w:ind w:right="10100"/>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0880"/>
          </w:cols>
          <w:pgMar w:left="360" w:top="1326" w:right="659" w:bottom="1440" w:gutter="0" w:footer="0" w:header="0"/>
        </w:sectPr>
      </w:pPr>
    </w:p>
    <w:bookmarkStart w:id="351" w:name="page352"/>
    <w:bookmarkEnd w:id="351"/>
    <w:p>
      <w:pPr>
        <w:ind w:left="960"/>
        <w:spacing w:after="0"/>
        <w:rPr>
          <w:sz w:val="20"/>
          <w:szCs w:val="20"/>
          <w:color w:val="auto"/>
        </w:rPr>
      </w:pPr>
      <w:r>
        <w:rPr>
          <w:rFonts w:ascii="Arial" w:cs="Arial" w:eastAsia="Arial" w:hAnsi="Arial"/>
          <w:sz w:val="18"/>
          <w:szCs w:val="18"/>
          <w:b w:val="1"/>
          <w:bCs w:val="1"/>
          <w:color w:val="auto"/>
        </w:rPr>
        <w:t>PAYORS:</w:t>
      </w:r>
    </w:p>
    <w:p>
      <w:pPr>
        <w:spacing w:after="0" w:line="299"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[SUBSIDIARY A NAME]</w:t>
      </w:r>
    </w:p>
    <w:p>
      <w:pPr>
        <w:spacing w:after="0" w:line="200" w:lineRule="exact"/>
        <w:rPr>
          <w:sz w:val="20"/>
          <w:szCs w:val="20"/>
          <w:color w:val="auto"/>
        </w:rPr>
      </w:pPr>
    </w:p>
    <w:p>
      <w:pPr>
        <w:spacing w:after="0" w:line="245" w:lineRule="exact"/>
        <w:rPr>
          <w:sz w:val="20"/>
          <w:szCs w:val="20"/>
          <w:color w:val="auto"/>
        </w:rPr>
      </w:pPr>
    </w:p>
    <w:p>
      <w:pPr>
        <w:jc w:val="center"/>
        <w:ind w:right="-104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68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[SUBSIDIARY B NAME]</w:t>
      </w:r>
    </w:p>
    <w:p>
      <w:pPr>
        <w:spacing w:after="0" w:line="219" w:lineRule="exact"/>
        <w:rPr>
          <w:sz w:val="20"/>
          <w:szCs w:val="20"/>
          <w:color w:val="auto"/>
        </w:rPr>
      </w:pPr>
    </w:p>
    <w:p>
      <w:pPr>
        <w:jc w:val="center"/>
        <w:ind w:right="-104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68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[SUBSIDIARY C NAME]</w:t>
      </w:r>
    </w:p>
    <w:p>
      <w:pPr>
        <w:spacing w:after="0" w:line="200" w:lineRule="exact"/>
        <w:rPr>
          <w:sz w:val="20"/>
          <w:szCs w:val="20"/>
          <w:color w:val="auto"/>
        </w:rPr>
      </w:pPr>
    </w:p>
    <w:p>
      <w:pPr>
        <w:spacing w:after="0" w:line="258" w:lineRule="exact"/>
        <w:rPr>
          <w:sz w:val="20"/>
          <w:szCs w:val="20"/>
          <w:color w:val="auto"/>
        </w:rPr>
      </w:pPr>
    </w:p>
    <w:p>
      <w:pPr>
        <w:jc w:val="center"/>
        <w:ind w:right="-104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68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346710</wp:posOffset>
            </wp:positionV>
            <wp:extent cx="621030" cy="294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9299"/>
        <w:spacing w:after="0"/>
        <w:rPr>
          <w:sz w:val="20"/>
          <w:szCs w:val="20"/>
          <w:color w:val="auto"/>
        </w:rPr>
      </w:pPr>
      <w:r>
        <w:rPr>
          <w:rFonts w:ascii="Arial" w:cs="Arial" w:eastAsia="Arial" w:hAnsi="Arial"/>
          <w:sz w:val="16"/>
          <w:szCs w:val="16"/>
          <w:color w:val="auto"/>
        </w:rPr>
        <w:t>Exhibit C-3</w:t>
      </w:r>
    </w:p>
    <w:p>
      <w:pPr>
        <w:spacing w:after="0" w:line="18" w:lineRule="exact"/>
        <w:rPr>
          <w:sz w:val="20"/>
          <w:szCs w:val="20"/>
          <w:color w:val="auto"/>
        </w:rPr>
      </w:pPr>
    </w:p>
    <w:p>
      <w:pPr>
        <w:jc w:val="center"/>
        <w:ind w:right="9319"/>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0099"/>
          </w:cols>
          <w:pgMar w:left="360" w:top="1322" w:right="1440" w:bottom="1440" w:gutter="0" w:footer="0" w:header="0"/>
        </w:sectPr>
      </w:pPr>
    </w:p>
    <w:bookmarkStart w:id="352" w:name="page353"/>
    <w:bookmarkEnd w:id="352"/>
    <w:p>
      <w:pPr>
        <w:ind w:left="960"/>
        <w:spacing w:after="0"/>
        <w:rPr>
          <w:sz w:val="20"/>
          <w:szCs w:val="20"/>
          <w:color w:val="auto"/>
        </w:rPr>
      </w:pPr>
      <w:r>
        <w:rPr>
          <w:rFonts w:ascii="Arial" w:cs="Arial" w:eastAsia="Arial" w:hAnsi="Arial"/>
          <w:sz w:val="18"/>
          <w:szCs w:val="18"/>
          <w:b w:val="1"/>
          <w:bCs w:val="1"/>
          <w:color w:val="auto"/>
        </w:rPr>
        <w:t>Pay to the following PAYEES:</w:t>
      </w:r>
    </w:p>
    <w:p>
      <w:pPr>
        <w:spacing w:after="0" w:line="299"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[SUBSIDIARY A NAME]</w:t>
      </w:r>
    </w:p>
    <w:p>
      <w:pPr>
        <w:spacing w:after="0" w:line="200" w:lineRule="exact"/>
        <w:rPr>
          <w:sz w:val="20"/>
          <w:szCs w:val="20"/>
          <w:color w:val="auto"/>
        </w:rPr>
      </w:pPr>
    </w:p>
    <w:p>
      <w:pPr>
        <w:spacing w:after="0" w:line="245" w:lineRule="exact"/>
        <w:rPr>
          <w:sz w:val="20"/>
          <w:szCs w:val="20"/>
          <w:color w:val="auto"/>
        </w:rPr>
      </w:pPr>
    </w:p>
    <w:p>
      <w:pPr>
        <w:jc w:val="center"/>
        <w:ind w:right="-104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68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[SUBSIDIARY B NAME]</w:t>
      </w:r>
    </w:p>
    <w:p>
      <w:pPr>
        <w:spacing w:after="0" w:line="219" w:lineRule="exact"/>
        <w:rPr>
          <w:sz w:val="20"/>
          <w:szCs w:val="20"/>
          <w:color w:val="auto"/>
        </w:rPr>
      </w:pPr>
    </w:p>
    <w:p>
      <w:pPr>
        <w:jc w:val="center"/>
        <w:ind w:right="-104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68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[SUBSIDIARY C NAME]</w:t>
      </w:r>
    </w:p>
    <w:p>
      <w:pPr>
        <w:spacing w:after="0" w:line="200" w:lineRule="exact"/>
        <w:rPr>
          <w:sz w:val="20"/>
          <w:szCs w:val="20"/>
          <w:color w:val="auto"/>
        </w:rPr>
      </w:pPr>
    </w:p>
    <w:p>
      <w:pPr>
        <w:spacing w:after="0" w:line="258" w:lineRule="exact"/>
        <w:rPr>
          <w:sz w:val="20"/>
          <w:szCs w:val="20"/>
          <w:color w:val="auto"/>
        </w:rPr>
      </w:pPr>
    </w:p>
    <w:p>
      <w:pPr>
        <w:jc w:val="center"/>
        <w:ind w:right="-1040"/>
        <w:spacing w:after="0"/>
        <w:tabs>
          <w:tab w:leader="none" w:pos="22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1168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346710</wp:posOffset>
            </wp:positionV>
            <wp:extent cx="621030" cy="294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9299"/>
        <w:spacing w:after="0"/>
        <w:rPr>
          <w:sz w:val="20"/>
          <w:szCs w:val="20"/>
          <w:color w:val="auto"/>
        </w:rPr>
      </w:pPr>
      <w:r>
        <w:rPr>
          <w:rFonts w:ascii="Arial" w:cs="Arial" w:eastAsia="Arial" w:hAnsi="Arial"/>
          <w:sz w:val="16"/>
          <w:szCs w:val="16"/>
          <w:color w:val="auto"/>
        </w:rPr>
        <w:t>Exhibit C-3</w:t>
      </w:r>
    </w:p>
    <w:p>
      <w:pPr>
        <w:spacing w:after="0" w:line="18" w:lineRule="exact"/>
        <w:rPr>
          <w:sz w:val="20"/>
          <w:szCs w:val="20"/>
          <w:color w:val="auto"/>
        </w:rPr>
      </w:pPr>
    </w:p>
    <w:p>
      <w:pPr>
        <w:jc w:val="center"/>
        <w:ind w:right="9319"/>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0099"/>
          </w:cols>
          <w:pgMar w:left="360" w:top="1322" w:right="1440" w:bottom="1440" w:gutter="0" w:footer="0" w:header="0"/>
        </w:sectPr>
      </w:pPr>
    </w:p>
    <w:bookmarkStart w:id="353" w:name="page354"/>
    <w:bookmarkEnd w:id="353"/>
    <w:p>
      <w:pPr>
        <w:ind w:left="3780"/>
        <w:spacing w:after="0"/>
        <w:rPr>
          <w:sz w:val="20"/>
          <w:szCs w:val="20"/>
          <w:color w:val="auto"/>
        </w:rPr>
      </w:pPr>
      <w:r>
        <w:rPr>
          <w:rFonts w:ascii="Arial" w:cs="Arial" w:eastAsia="Arial" w:hAnsi="Arial"/>
          <w:sz w:val="18"/>
          <w:szCs w:val="18"/>
          <w:b w:val="1"/>
          <w:bCs w:val="1"/>
          <w:color w:val="auto"/>
        </w:rPr>
        <w:t>ENDORSEMENT</w:t>
      </w:r>
    </w:p>
    <w:p>
      <w:pPr>
        <w:spacing w:after="0" w:line="236" w:lineRule="exact"/>
        <w:rPr>
          <w:sz w:val="20"/>
          <w:szCs w:val="20"/>
          <w:color w:val="auto"/>
        </w:rPr>
      </w:pPr>
    </w:p>
    <w:p>
      <w:pPr>
        <w:ind w:left="480" w:right="20" w:firstLine="1203"/>
        <w:spacing w:after="0" w:line="263" w:lineRule="auto"/>
        <w:rPr>
          <w:sz w:val="20"/>
          <w:szCs w:val="20"/>
          <w:color w:val="auto"/>
        </w:rPr>
      </w:pPr>
      <w:r>
        <w:rPr>
          <w:rFonts w:ascii="Arial" w:cs="Arial" w:eastAsia="Arial" w:hAnsi="Arial"/>
          <w:sz w:val="18"/>
          <w:szCs w:val="18"/>
          <w:color w:val="auto"/>
        </w:rPr>
        <w:t>For value received, each Payee hereby endorses to all of its right, title and interest in and to the Intercompany Note, dated November 21, 2017, of each Payor (as defined therein), payable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-165100</wp:posOffset>
            </wp:positionV>
            <wp:extent cx="2120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212090" cy="8255"/>
                    </a:xfrm>
                    <a:prstGeom prst="rect">
                      <a:avLst/>
                    </a:prstGeom>
                    <a:noFill/>
                  </pic:spPr>
                </pic:pic>
              </a:graphicData>
            </a:graphic>
          </wp:anchor>
        </w:drawing>
      </w:r>
    </w:p>
    <w:p>
      <w:pPr>
        <w:spacing w:after="0" w:line="153" w:lineRule="exact"/>
        <w:rPr>
          <w:sz w:val="20"/>
          <w:szCs w:val="20"/>
          <w:color w:val="auto"/>
        </w:rPr>
      </w:pPr>
    </w:p>
    <w:p>
      <w:pPr>
        <w:jc w:val="both"/>
        <w:ind w:left="480" w:firstLine="602"/>
        <w:spacing w:after="0" w:line="250" w:lineRule="auto"/>
        <w:rPr>
          <w:sz w:val="20"/>
          <w:szCs w:val="20"/>
          <w:color w:val="auto"/>
        </w:rPr>
      </w:pPr>
      <w:r>
        <w:rPr>
          <w:rFonts w:ascii="Arial" w:cs="Arial" w:eastAsia="Arial" w:hAnsi="Arial"/>
          <w:sz w:val="17"/>
          <w:szCs w:val="17"/>
          <w:color w:val="auto"/>
        </w:rPr>
        <w:t>The initial undersigned shall be the Payees (as defined in the Intercompany Note) party to the Credit Agreement (as defined in the Intercompany Note) on the date of the Intercompany Note. From time to time after the date thereof, additional Subsidiaries of the Borrower (as defined in the Intercompany Note) shall become parties to the Intercompany Note (each, an “</w:t>
      </w:r>
      <w:r>
        <w:rPr>
          <w:rFonts w:ascii="Arial" w:cs="Arial" w:eastAsia="Arial" w:hAnsi="Arial"/>
          <w:sz w:val="17"/>
          <w:szCs w:val="17"/>
          <w:u w:val="single" w:color="auto"/>
          <w:color w:val="auto"/>
        </w:rPr>
        <w:t>Additional Payee</w:t>
      </w:r>
      <w:r>
        <w:rPr>
          <w:rFonts w:ascii="Arial" w:cs="Arial" w:eastAsia="Arial" w:hAnsi="Arial"/>
          <w:sz w:val="17"/>
          <w:szCs w:val="17"/>
          <w:color w:val="auto"/>
        </w:rPr>
        <w:t>”) and a signatory to this endorsement by executing a counterpart signature page to the Intercompany Note and to this endorsement. Upon delivery of such counterpart signature page to the Payors, notice of which is hereby waived by the other Payees, each Additional Payee shall be a Payee and shall be as fully a Payee under the Intercompany Note and a signatory to this endorsement as if such Additional Payee were an original Payee under the Intercompany Note and an original signatory hereof. Each Payee expressly agrees that its obligations arising under the Intercompany Note and hereunder shall not be affected or diminished by the addition or release of any other Payee under the Intercompany Note or hereunder. This endorsement shall be fully effective as to any Payee that is or becomes a signatory hereto regardless of whether any other Person becomes or fails to become or ceases to be a Payee to the Intercompany Note or hereunder.</w:t>
      </w:r>
    </w:p>
    <w:p>
      <w:pPr>
        <w:spacing w:after="0" w:line="200" w:lineRule="exact"/>
        <w:rPr>
          <w:sz w:val="20"/>
          <w:szCs w:val="20"/>
          <w:color w:val="auto"/>
        </w:rPr>
      </w:pPr>
    </w:p>
    <w:p>
      <w:pPr>
        <w:spacing w:after="0" w:line="36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9640"/>
          </w:cols>
          <w:pgMar w:left="1440" w:top="1322" w:right="819" w:bottom="1440" w:gutter="0" w:footer="0" w:header="0"/>
        </w:sectPr>
      </w:pPr>
    </w:p>
    <w:bookmarkStart w:id="354" w:name="page355"/>
    <w:bookmarkEnd w:id="354"/>
    <w:p>
      <w:pPr>
        <w:ind w:left="4100"/>
        <w:spacing w:after="0"/>
        <w:rPr>
          <w:sz w:val="20"/>
          <w:szCs w:val="20"/>
          <w:color w:val="auto"/>
        </w:rPr>
      </w:pPr>
      <w:r>
        <w:rPr>
          <w:rFonts w:ascii="Arial" w:cs="Arial" w:eastAsia="Arial" w:hAnsi="Arial"/>
          <w:sz w:val="18"/>
          <w:szCs w:val="18"/>
          <w:color w:val="auto"/>
        </w:rPr>
        <w:t>[SUBSIDIARY A NAME]</w:t>
      </w:r>
    </w:p>
    <w:p>
      <w:pPr>
        <w:spacing w:after="0" w:line="200" w:lineRule="exact"/>
        <w:rPr>
          <w:sz w:val="20"/>
          <w:szCs w:val="20"/>
          <w:color w:val="auto"/>
        </w:rPr>
      </w:pPr>
    </w:p>
    <w:p>
      <w:pPr>
        <w:spacing w:after="0" w:line="258"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-8890</wp:posOffset>
            </wp:positionV>
            <wp:extent cx="1168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[SUBSIDIARY B NAME]</w:t>
      </w:r>
    </w:p>
    <w:p>
      <w:pPr>
        <w:spacing w:after="0" w:line="219"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-8890</wp:posOffset>
            </wp:positionV>
            <wp:extent cx="1168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[SUBSIDIARY C NAME]</w:t>
      </w:r>
    </w:p>
    <w:p>
      <w:pPr>
        <w:spacing w:after="0" w:line="200" w:lineRule="exact"/>
        <w:rPr>
          <w:sz w:val="20"/>
          <w:szCs w:val="20"/>
          <w:color w:val="auto"/>
        </w:rPr>
      </w:pPr>
    </w:p>
    <w:p>
      <w:pPr>
        <w:spacing w:after="0" w:line="258"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8"/>
          <w:szCs w:val="18"/>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-8890</wp:posOffset>
            </wp:positionV>
            <wp:extent cx="1168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26" w:right="1440" w:bottom="1440" w:gutter="0" w:footer="0" w:header="0"/>
        </w:sectPr>
      </w:pPr>
    </w:p>
    <w:bookmarkStart w:id="355" w:name="page356"/>
    <w:bookmarkEnd w:id="355"/>
    <w:p>
      <w:pPr>
        <w:ind w:left="9720"/>
        <w:spacing w:after="0"/>
        <w:rPr>
          <w:sz w:val="20"/>
          <w:szCs w:val="20"/>
          <w:color w:val="auto"/>
        </w:rPr>
      </w:pPr>
      <w:r>
        <w:rPr>
          <w:rFonts w:ascii="Arial" w:cs="Arial" w:eastAsia="Arial" w:hAnsi="Arial"/>
          <w:sz w:val="20"/>
          <w:szCs w:val="20"/>
          <w:color w:val="auto"/>
        </w:rPr>
        <w:t>EXHIBIT D</w:t>
      </w:r>
    </w:p>
    <w:p>
      <w:pPr>
        <w:spacing w:after="0" w:line="200" w:lineRule="exact"/>
        <w:rPr>
          <w:sz w:val="20"/>
          <w:szCs w:val="20"/>
          <w:color w:val="auto"/>
        </w:rPr>
      </w:pPr>
    </w:p>
    <w:p>
      <w:pPr>
        <w:spacing w:after="0" w:line="201" w:lineRule="exact"/>
        <w:rPr>
          <w:sz w:val="20"/>
          <w:szCs w:val="20"/>
          <w:color w:val="auto"/>
        </w:rPr>
      </w:pPr>
    </w:p>
    <w:p>
      <w:pPr>
        <w:ind w:left="2880"/>
        <w:spacing w:after="0"/>
        <w:rPr>
          <w:sz w:val="20"/>
          <w:szCs w:val="20"/>
          <w:color w:val="auto"/>
        </w:rPr>
      </w:pPr>
      <w:r>
        <w:rPr>
          <w:rFonts w:ascii="Arial" w:cs="Arial" w:eastAsia="Arial" w:hAnsi="Arial"/>
          <w:sz w:val="18"/>
          <w:szCs w:val="18"/>
          <w:u w:val="single" w:color="auto"/>
          <w:color w:val="auto"/>
        </w:rPr>
        <w:t>FORM OF GUARANTOR JOINDER AGREEMENT</w:t>
      </w:r>
    </w:p>
    <w:p>
      <w:pPr>
        <w:spacing w:after="0" w:line="295" w:lineRule="exact"/>
        <w:rPr>
          <w:sz w:val="20"/>
          <w:szCs w:val="20"/>
          <w:color w:val="auto"/>
        </w:rPr>
      </w:pPr>
    </w:p>
    <w:p>
      <w:pPr>
        <w:jc w:val="both"/>
        <w:ind w:left="960" w:right="20" w:firstLine="1204"/>
        <w:spacing w:after="0"/>
        <w:rPr>
          <w:sz w:val="20"/>
          <w:szCs w:val="20"/>
          <w:color w:val="auto"/>
        </w:rPr>
      </w:pPr>
      <w:r>
        <w:rPr>
          <w:rFonts w:ascii="Arial" w:cs="Arial" w:eastAsia="Arial" w:hAnsi="Arial"/>
          <w:sz w:val="18"/>
          <w:szCs w:val="18"/>
          <w:color w:val="auto"/>
        </w:rPr>
        <w:t>THIS GUARANTOR JOINDER AGREEMENT (this “</w:t>
      </w:r>
      <w:r>
        <w:rPr>
          <w:rFonts w:ascii="Arial" w:cs="Arial" w:eastAsia="Arial" w:hAnsi="Arial"/>
          <w:sz w:val="18"/>
          <w:szCs w:val="18"/>
          <w:u w:val="single" w:color="auto"/>
          <w:color w:val="auto"/>
        </w:rPr>
        <w:t>Joinder</w:t>
      </w:r>
      <w:r>
        <w:rPr>
          <w:rFonts w:ascii="Arial" w:cs="Arial" w:eastAsia="Arial" w:hAnsi="Arial"/>
          <w:sz w:val="18"/>
          <w:szCs w:val="18"/>
          <w:color w:val="auto"/>
        </w:rPr>
        <w:t>”) is executed as of [DATE] by [NAME OF ADDITIONAL GUARANTOR], a [corporation][limited liability company][partnership] (the “</w:t>
      </w:r>
      <w:r>
        <w:rPr>
          <w:rFonts w:ascii="Arial" w:cs="Arial" w:eastAsia="Arial" w:hAnsi="Arial"/>
          <w:sz w:val="18"/>
          <w:szCs w:val="18"/>
          <w:u w:val="single" w:color="auto"/>
          <w:color w:val="auto"/>
        </w:rPr>
        <w:t>Joining Party</w:t>
      </w:r>
      <w:r>
        <w:rPr>
          <w:rFonts w:ascii="Arial" w:cs="Arial" w:eastAsia="Arial" w:hAnsi="Arial"/>
          <w:sz w:val="18"/>
          <w:szCs w:val="18"/>
          <w:color w:val="auto"/>
        </w:rPr>
        <w:t>”), and delivered to JPMorgan Chase Bank, N.A., as Administrative Agent and as Collateral Agent for the benefit of the Secured Parties and their respective successors and assigns under the Credit Agreement (as defined below). Except as otherwise defined herein, all capitalized terms used herein and defined in the Credit Agreement shall be used herein as therein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-407035</wp:posOffset>
            </wp:positionV>
            <wp:extent cx="1562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156210" cy="8255"/>
                    </a:xfrm>
                    <a:prstGeom prst="rect">
                      <a:avLst/>
                    </a:prstGeom>
                    <a:noFill/>
                  </pic:spPr>
                </pic:pic>
              </a:graphicData>
            </a:graphic>
          </wp:anchor>
        </w:drawing>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95" w:lineRule="exact"/>
        <w:rPr>
          <w:sz w:val="20"/>
          <w:szCs w:val="20"/>
          <w:color w:val="auto"/>
        </w:rPr>
      </w:pPr>
    </w:p>
    <w:p>
      <w:pPr>
        <w:jc w:val="both"/>
        <w:ind w:left="960" w:firstLine="1204"/>
        <w:spacing w:after="0" w:line="255" w:lineRule="auto"/>
        <w:rPr>
          <w:sz w:val="20"/>
          <w:szCs w:val="20"/>
          <w:color w:val="auto"/>
        </w:rPr>
      </w:pPr>
      <w:r>
        <w:rPr>
          <w:rFonts w:ascii="Arial" w:cs="Arial" w:eastAsia="Arial" w:hAnsi="Arial"/>
          <w:sz w:val="17"/>
          <w:szCs w:val="17"/>
          <w:color w:val="auto"/>
        </w:rPr>
        <w:t>WHEREAS, LegalZoom.com,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have entered into an Amended and Restated Credit and Guaranty Agreement, dated as July 2, 2021 (as amended, modified, restated and/or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providing for the making of Loans to, and the issuance of, and participations in, Letters of Credit for the account of, the Borrower, all as contemplated therein;</w:t>
      </w:r>
    </w:p>
    <w:p>
      <w:pPr>
        <w:spacing w:after="0" w:line="196" w:lineRule="exact"/>
        <w:rPr>
          <w:sz w:val="20"/>
          <w:szCs w:val="20"/>
          <w:color w:val="auto"/>
        </w:rPr>
      </w:pPr>
    </w:p>
    <w:p>
      <w:pPr>
        <w:jc w:val="both"/>
        <w:ind w:left="960" w:right="20" w:firstLine="1204"/>
        <w:spacing w:after="0" w:line="269" w:lineRule="auto"/>
        <w:rPr>
          <w:sz w:val="20"/>
          <w:szCs w:val="20"/>
          <w:color w:val="auto"/>
        </w:rPr>
      </w:pPr>
      <w:r>
        <w:rPr>
          <w:rFonts w:ascii="Arial" w:cs="Arial" w:eastAsia="Arial" w:hAnsi="Arial"/>
          <w:sz w:val="17"/>
          <w:szCs w:val="17"/>
          <w:color w:val="auto"/>
        </w:rPr>
        <w:t>WHEREAS, the Borrower and/or one or more of its Restricted Subsidiaries may at any time and from time to time enter into one or more (i) Specified Swap Agreements with one or more Qualified Counterparties and/or (ii) Cash Management Obligations with a bank or other financial institution that is reasonably acceptable to the Administrative Agent;</w:t>
      </w:r>
    </w:p>
    <w:p>
      <w:pPr>
        <w:spacing w:after="0" w:line="170" w:lineRule="exact"/>
        <w:rPr>
          <w:sz w:val="20"/>
          <w:szCs w:val="20"/>
          <w:color w:val="auto"/>
        </w:rPr>
      </w:pPr>
    </w:p>
    <w:p>
      <w:pPr>
        <w:jc w:val="both"/>
        <w:ind w:left="960" w:right="20" w:firstLine="1204"/>
        <w:spacing w:after="0" w:line="263" w:lineRule="auto"/>
        <w:rPr>
          <w:sz w:val="20"/>
          <w:szCs w:val="20"/>
          <w:color w:val="auto"/>
        </w:rPr>
      </w:pPr>
      <w:r>
        <w:rPr>
          <w:rFonts w:ascii="Arial" w:cs="Arial" w:eastAsia="Arial" w:hAnsi="Arial"/>
          <w:sz w:val="18"/>
          <w:szCs w:val="18"/>
          <w:color w:val="auto"/>
        </w:rPr>
        <w:t>WHEREAS, the Joining Party is a direct or indirect Subsidiary of the Borrower and desires, or is required pursuant to the provisions of the Credit Agreement, to become a Subsidiary Guarantor under the Credit Agreement; and</w:t>
      </w:r>
    </w:p>
    <w:p>
      <w:pPr>
        <w:spacing w:after="0" w:line="186" w:lineRule="exact"/>
        <w:rPr>
          <w:sz w:val="20"/>
          <w:szCs w:val="20"/>
          <w:color w:val="auto"/>
        </w:rPr>
      </w:pPr>
    </w:p>
    <w:p>
      <w:pPr>
        <w:jc w:val="both"/>
        <w:ind w:left="960" w:right="20" w:firstLine="1204"/>
        <w:spacing w:after="0" w:line="265" w:lineRule="auto"/>
        <w:rPr>
          <w:sz w:val="20"/>
          <w:szCs w:val="20"/>
          <w:color w:val="auto"/>
        </w:rPr>
      </w:pPr>
      <w:r>
        <w:rPr>
          <w:rFonts w:ascii="Arial" w:cs="Arial" w:eastAsia="Arial" w:hAnsi="Arial"/>
          <w:sz w:val="16"/>
          <w:szCs w:val="16"/>
          <w:color w:val="auto"/>
        </w:rPr>
        <w:t>WHEREAS, the Joining Party will obtain benefits from the incurrence of Loans by, and the issuance of, and participations in, Letters of Credit for the account of, the Borrower, in each case pursuant to the Credit Agreement and the entering into by the Borrower and/or one or more of the Borrower’s Restricted Subsidiaries of Specified Swap Agreements and the entering into by the Borrower and/or one or more of the Borrower’s Restricted Subsidiaries of Cash Management Obligations and, accordingly, desires to execute this Joinder in order to (i) satisfy the requirements described in the preceding recital and (ii) induce</w:t>
      </w:r>
    </w:p>
    <w:p>
      <w:pPr>
        <w:spacing w:after="0" w:line="3" w:lineRule="exact"/>
        <w:rPr>
          <w:sz w:val="20"/>
          <w:szCs w:val="20"/>
          <w:color w:val="auto"/>
        </w:rPr>
      </w:pPr>
    </w:p>
    <w:p>
      <w:pPr>
        <w:jc w:val="both"/>
        <w:ind w:left="960" w:right="20" w:firstLine="2"/>
        <w:spacing w:after="0" w:line="255" w:lineRule="auto"/>
        <w:tabs>
          <w:tab w:leader="none" w:pos="1236"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Lenders to continue to make Loans to the Borrower and the Issuing Lenders to continue to issue Letters of Credit for the account of the Borrower pursuant to the Credit Agreement, (y) the Qualified Counterparties to continue to enter into Specified Swap Agreements with the Borrower and/or one or more Restricted Subsidiaries thereof and (z) the bank or other financial institution reasonably acceptable to the Administrative Agent to continue to enter into Cash Management Obligations;</w:t>
      </w:r>
    </w:p>
    <w:p>
      <w:pPr>
        <w:spacing w:after="0" w:line="194" w:lineRule="exact"/>
        <w:rPr>
          <w:sz w:val="20"/>
          <w:szCs w:val="20"/>
          <w:color w:val="auto"/>
        </w:rPr>
      </w:pPr>
    </w:p>
    <w:p>
      <w:pPr>
        <w:jc w:val="both"/>
        <w:ind w:left="960" w:right="20" w:firstLine="1204"/>
        <w:spacing w:after="0" w:line="242" w:lineRule="auto"/>
        <w:rPr>
          <w:sz w:val="20"/>
          <w:szCs w:val="20"/>
          <w:color w:val="auto"/>
        </w:rPr>
      </w:pPr>
      <w:r>
        <w:rPr>
          <w:rFonts w:ascii="Arial" w:cs="Arial" w:eastAsia="Arial" w:hAnsi="Arial"/>
          <w:sz w:val="18"/>
          <w:szCs w:val="18"/>
          <w:color w:val="auto"/>
        </w:rPr>
        <w:t>NOW, THEREFORE, in consideration of the foregoing and the other benefits accruing to the Joining Party, the receipt and sufficiency of which are hereby acknowledged, the Joining Party hereby makes the following representations and warranties to the Administrative Agent for the benefit of the Secured Parties and hereby covenants and agrees with the Administrative Agent for the benefit of the Secured Parties as follows:</w:t>
      </w:r>
    </w:p>
    <w:p>
      <w:pPr>
        <w:spacing w:after="0" w:line="193"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1. By this Joinder, the Joining Party becomes a Subsidiary Guarantor for all purposes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379730</wp:posOffset>
            </wp:positionV>
            <wp:extent cx="533400" cy="294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60"/>
        <w:spacing w:after="0"/>
        <w:rPr>
          <w:sz w:val="20"/>
          <w:szCs w:val="20"/>
          <w:color w:val="auto"/>
        </w:rPr>
      </w:pPr>
      <w:r>
        <w:rPr>
          <w:rFonts w:ascii="Arial" w:cs="Arial" w:eastAsia="Arial" w:hAnsi="Arial"/>
          <w:sz w:val="16"/>
          <w:szCs w:val="16"/>
          <w:color w:val="auto"/>
        </w:rPr>
        <w:t>Exhibit D</w:t>
      </w:r>
    </w:p>
    <w:p>
      <w:pPr>
        <w:spacing w:after="0" w:line="18" w:lineRule="exact"/>
        <w:rPr>
          <w:sz w:val="20"/>
          <w:szCs w:val="20"/>
          <w:color w:val="auto"/>
        </w:rPr>
      </w:pPr>
    </w:p>
    <w:p>
      <w:pPr>
        <w:jc w:val="center"/>
        <w:ind w:right="1006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0" w:right="819" w:bottom="1440" w:gutter="0" w:footer="0" w:header="0"/>
        </w:sectPr>
      </w:pPr>
    </w:p>
    <w:bookmarkStart w:id="356" w:name="page357"/>
    <w:bookmarkEnd w:id="356"/>
    <w:p>
      <w:pPr>
        <w:jc w:val="both"/>
        <w:ind w:left="960" w:firstLine="1206"/>
        <w:spacing w:after="0" w:line="239" w:lineRule="auto"/>
        <w:tabs>
          <w:tab w:leader="none" w:pos="236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Joining Party agrees that, upon its execution hereof, it will become a Subsidiary Guarantor under the Credit Agreement with respect to all Guaranteed Obligations, and will be bound by all terms, conditions and duties applicable to a Subsidiary Guarantor under the Credit Agreement and the other Loan Documents. Without limitation of the foregoing, and in furtherance thereof, the Joining Party unconditionally, absolutely and irrevocably guarantees on a joint and several basis the due and punctual payment and performance of all Guaranteed Obligations (on the same basis as the other Subsidiary Guarantors under the Credit Agreement).</w:t>
      </w:r>
    </w:p>
    <w:p>
      <w:pPr>
        <w:spacing w:after="0" w:line="205" w:lineRule="exact"/>
        <w:rPr>
          <w:rFonts w:ascii="Arial" w:cs="Arial" w:eastAsia="Arial" w:hAnsi="Arial"/>
          <w:sz w:val="18"/>
          <w:szCs w:val="18"/>
          <w:color w:val="auto"/>
        </w:rPr>
      </w:pPr>
    </w:p>
    <w:p>
      <w:pPr>
        <w:jc w:val="both"/>
        <w:ind w:left="960" w:firstLine="1206"/>
        <w:spacing w:after="0" w:line="242" w:lineRule="auto"/>
        <w:tabs>
          <w:tab w:leader="none" w:pos="236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Without limiting the foregoing, the Joining Party hereby makes and undertakes, as the case may be, each covenant, representation and warranty made by each Subsidiary Guarantor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Credit Agreement and agrees to be bound by all covenants, agreements and obligations of a Subsidiary Guarantor pursuant to the Credit Agreement and all other Loan Documents to which it is or becomes a party.</w:t>
      </w:r>
    </w:p>
    <w:p>
      <w:pPr>
        <w:spacing w:after="0" w:line="193" w:lineRule="exact"/>
        <w:rPr>
          <w:rFonts w:ascii="Arial" w:cs="Arial" w:eastAsia="Arial" w:hAnsi="Arial"/>
          <w:sz w:val="18"/>
          <w:szCs w:val="18"/>
          <w:color w:val="auto"/>
        </w:rPr>
      </w:pPr>
    </w:p>
    <w:p>
      <w:pPr>
        <w:jc w:val="both"/>
        <w:ind w:left="960" w:firstLine="1207"/>
        <w:spacing w:after="0" w:line="252" w:lineRule="auto"/>
        <w:tabs>
          <w:tab w:leader="none" w:pos="2364"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This Joinder shall be binding upon the parties hereto and their respective successors and assigns and shall inure to the benefit of and be enforceable by each of the parties hereto and its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Joining Party may not assign any of its rights, obligations or interest hereunder or under any other Loan Document, except as otherwise permitted by the Loan Documents. </w:t>
      </w:r>
      <w:r>
        <w:rPr>
          <w:rFonts w:ascii="Arial" w:cs="Arial" w:eastAsia="Arial" w:hAnsi="Arial"/>
          <w:sz w:val="17"/>
          <w:szCs w:val="17"/>
          <w:b w:val="1"/>
          <w:bCs w:val="1"/>
          <w:color w:val="auto"/>
        </w:rPr>
        <w:t>THIS JOINDER SHALL BE CONSTRUED AND ENFORCED IN ACCORDANCE WITH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GOVERNED BY THE LAW OF THE STATE OF NEW YORK. </w:t>
      </w:r>
      <w:r>
        <w:rPr>
          <w:rFonts w:ascii="Arial" w:cs="Arial" w:eastAsia="Arial" w:hAnsi="Arial"/>
          <w:sz w:val="17"/>
          <w:szCs w:val="17"/>
          <w:color w:val="auto"/>
        </w:rPr>
        <w:t>This Joinder may be executed in any number of 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by the different parties hereto on separate counterparts, each of which when so executed and delivered shall be an original, but all of which shall together constitute one and the same instrument. A set of counterparts executed by all the parties hereto shall be lodged with the Borrower and the Administrative Agent. Delivery of an executed counterpart by facsimile or electronic transmission shall be as effective as delivery of an original executed counterpart.</w:t>
      </w:r>
    </w:p>
    <w:p>
      <w:pPr>
        <w:spacing w:after="0" w:line="196" w:lineRule="exact"/>
        <w:rPr>
          <w:rFonts w:ascii="Arial" w:cs="Arial" w:eastAsia="Arial" w:hAnsi="Arial"/>
          <w:sz w:val="17"/>
          <w:szCs w:val="17"/>
          <w:color w:val="auto"/>
        </w:rPr>
      </w:pPr>
    </w:p>
    <w:p>
      <w:pPr>
        <w:ind w:left="960" w:firstLine="1207"/>
        <w:spacing w:after="0" w:line="263" w:lineRule="auto"/>
        <w:tabs>
          <w:tab w:leader="none" w:pos="236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From and after the execution and delivery hereof by the parties hereto, this Joinder shall constitute a “Loan Document” for all purposes of the Credit Agreement and the other Loan Documents.</w:t>
      </w:r>
    </w:p>
    <w:p>
      <w:pPr>
        <w:spacing w:after="0" w:line="286" w:lineRule="exact"/>
        <w:rPr>
          <w:rFonts w:ascii="Arial" w:cs="Arial" w:eastAsia="Arial" w:hAnsi="Arial"/>
          <w:sz w:val="18"/>
          <w:szCs w:val="18"/>
          <w:color w:val="auto"/>
        </w:rPr>
      </w:pPr>
    </w:p>
    <w:p>
      <w:pPr>
        <w:ind w:left="3100" w:right="2140" w:hanging="934"/>
        <w:spacing w:after="0" w:line="510" w:lineRule="auto"/>
        <w:tabs>
          <w:tab w:leader="none" w:pos="309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effective date of this Joinder is [DATE]. [</w:t>
      </w:r>
      <w:r>
        <w:rPr>
          <w:rFonts w:ascii="Arial" w:cs="Arial" w:eastAsia="Arial" w:hAnsi="Arial"/>
          <w:sz w:val="18"/>
          <w:szCs w:val="18"/>
          <w:i w:val="1"/>
          <w:iCs w:val="1"/>
          <w:color w:val="auto"/>
        </w:rPr>
        <w:t>Remainder of this page</w:t>
      </w:r>
      <w:r>
        <w:rPr>
          <w:rFonts w:ascii="Arial" w:cs="Arial" w:eastAsia="Arial" w:hAnsi="Arial"/>
          <w:sz w:val="18"/>
          <w:szCs w:val="18"/>
          <w:color w:val="auto"/>
        </w:rPr>
        <w:t xml:space="preserve"> </w:t>
      </w:r>
      <w:r>
        <w:rPr>
          <w:rFonts w:ascii="Arial" w:cs="Arial" w:eastAsia="Arial" w:hAnsi="Arial"/>
          <w:sz w:val="18"/>
          <w:szCs w:val="18"/>
          <w:i w:val="1"/>
          <w:iCs w:val="1"/>
          <w:color w:val="auto"/>
        </w:rPr>
        <w:t>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264160</wp:posOffset>
            </wp:positionV>
            <wp:extent cx="533400" cy="294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0040"/>
        <w:spacing w:after="0"/>
        <w:rPr>
          <w:sz w:val="20"/>
          <w:szCs w:val="20"/>
          <w:color w:val="auto"/>
        </w:rPr>
      </w:pPr>
      <w:r>
        <w:rPr>
          <w:rFonts w:ascii="Arial" w:cs="Arial" w:eastAsia="Arial" w:hAnsi="Arial"/>
          <w:sz w:val="16"/>
          <w:szCs w:val="16"/>
          <w:color w:val="auto"/>
        </w:rPr>
        <w:t>Exhibit D</w:t>
      </w:r>
    </w:p>
    <w:p>
      <w:pPr>
        <w:spacing w:after="0" w:line="18" w:lineRule="exact"/>
        <w:rPr>
          <w:sz w:val="20"/>
          <w:szCs w:val="20"/>
          <w:color w:val="auto"/>
        </w:rPr>
      </w:pPr>
    </w:p>
    <w:p>
      <w:pPr>
        <w:jc w:val="center"/>
        <w:ind w:right="1004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700"/>
          </w:cols>
          <w:pgMar w:left="360" w:top="1326" w:right="839" w:bottom="1440" w:gutter="0" w:footer="0" w:header="0"/>
        </w:sectPr>
      </w:pPr>
    </w:p>
    <w:bookmarkStart w:id="357" w:name="page358"/>
    <w:bookmarkEnd w:id="357"/>
    <w:p>
      <w:pPr>
        <w:ind w:left="180" w:right="399" w:firstLine="602"/>
        <w:spacing w:after="0" w:line="263" w:lineRule="auto"/>
        <w:rPr>
          <w:sz w:val="20"/>
          <w:szCs w:val="20"/>
          <w:color w:val="auto"/>
        </w:rPr>
      </w:pPr>
      <w:r>
        <w:rPr>
          <w:rFonts w:ascii="Arial" w:cs="Arial" w:eastAsia="Arial" w:hAnsi="Arial"/>
          <w:sz w:val="18"/>
          <w:szCs w:val="18"/>
          <w:color w:val="auto"/>
        </w:rPr>
        <w:t>IN WITNESS WHEREOF, the undersigned has caused this Joinder to be executed and delivered by a duly authorized officer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OF ADDITIONAL GUARANTOR]</w:t>
      </w:r>
    </w:p>
    <w:p>
      <w:pPr>
        <w:spacing w:after="0" w:line="382" w:lineRule="exact"/>
        <w:rPr>
          <w:sz w:val="20"/>
          <w:szCs w:val="20"/>
          <w:color w:val="auto"/>
        </w:rPr>
      </w:pPr>
    </w:p>
    <w:p>
      <w:pPr>
        <w:ind w:left="3800"/>
        <w:spacing w:after="0"/>
        <w:tabs>
          <w:tab w:leader="none" w:pos="4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-8890</wp:posOffset>
            </wp:positionV>
            <wp:extent cx="2336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18"/>
          <w:szCs w:val="18"/>
          <w:color w:val="auto"/>
        </w:rPr>
        <w:t>Title:</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149860</wp:posOffset>
            </wp:positionV>
            <wp:extent cx="38455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3845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Accepted as of the date first above written:</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JPMORGAN CHASE BANK, N.A.,</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Administrative Agent</w:t>
      </w:r>
    </w:p>
    <w:p>
      <w:pPr>
        <w:spacing w:after="0" w:line="366"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-8890</wp:posOffset>
            </wp:positionV>
            <wp:extent cx="2336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358" w:name="page359"/>
    <w:bookmarkEnd w:id="358"/>
    <w:p>
      <w:pPr>
        <w:ind w:left="6620"/>
        <w:spacing w:after="0"/>
        <w:rPr>
          <w:sz w:val="20"/>
          <w:szCs w:val="20"/>
          <w:color w:val="auto"/>
        </w:rPr>
      </w:pPr>
      <w:r>
        <w:rPr>
          <w:rFonts w:ascii="Arial" w:cs="Arial" w:eastAsia="Arial" w:hAnsi="Arial"/>
          <w:sz w:val="16"/>
          <w:szCs w:val="16"/>
          <w:color w:val="auto"/>
        </w:rPr>
        <w:t>Exhibit</w:t>
      </w:r>
    </w:p>
    <w:p>
      <w:pPr>
        <w:spacing w:after="0" w:line="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w:t>
      </w:r>
    </w:p>
    <w:p>
      <w:pPr>
        <w:ind w:left="6620"/>
        <w:spacing w:after="0" w:line="230" w:lineRule="auto"/>
        <w:rPr>
          <w:sz w:val="20"/>
          <w:szCs w:val="20"/>
          <w:color w:val="auto"/>
        </w:rPr>
      </w:pPr>
      <w:r>
        <w:rPr>
          <w:rFonts w:ascii="Arial" w:cs="Arial" w:eastAsia="Arial" w:hAnsi="Arial"/>
          <w:sz w:val="17"/>
          <w:szCs w:val="17"/>
          <w:color w:val="auto"/>
        </w:rPr>
        <w:t>Page</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979" w:right="1440" w:bottom="1440" w:gutter="0" w:footer="0" w:header="0"/>
        </w:sectPr>
      </w:pPr>
    </w:p>
    <w:bookmarkStart w:id="359" w:name="page360"/>
    <w:bookmarkEnd w:id="359"/>
    <w:p>
      <w:pPr>
        <w:jc w:val="right"/>
        <w:spacing w:after="0"/>
        <w:rPr>
          <w:sz w:val="20"/>
          <w:szCs w:val="20"/>
          <w:color w:val="auto"/>
        </w:rPr>
      </w:pPr>
      <w:r>
        <w:rPr>
          <w:rFonts w:ascii="Arial" w:cs="Arial" w:eastAsia="Arial" w:hAnsi="Arial"/>
          <w:sz w:val="20"/>
          <w:szCs w:val="20"/>
          <w:color w:val="auto"/>
        </w:rPr>
        <w:t>EXHIBIT E</w:t>
      </w:r>
    </w:p>
    <w:p>
      <w:pPr>
        <w:spacing w:after="0" w:line="200" w:lineRule="exact"/>
        <w:rPr>
          <w:sz w:val="20"/>
          <w:szCs w:val="20"/>
          <w:color w:val="auto"/>
        </w:rPr>
      </w:pPr>
    </w:p>
    <w:p>
      <w:pPr>
        <w:spacing w:after="0" w:line="201" w:lineRule="exact"/>
        <w:rPr>
          <w:sz w:val="20"/>
          <w:szCs w:val="20"/>
          <w:color w:val="auto"/>
        </w:rPr>
      </w:pPr>
    </w:p>
    <w:p>
      <w:pPr>
        <w:ind w:left="3460"/>
        <w:spacing w:after="0"/>
        <w:rPr>
          <w:sz w:val="20"/>
          <w:szCs w:val="20"/>
          <w:color w:val="auto"/>
        </w:rPr>
      </w:pPr>
      <w:r>
        <w:rPr>
          <w:rFonts w:ascii="Arial" w:cs="Arial" w:eastAsia="Arial" w:hAnsi="Arial"/>
          <w:sz w:val="18"/>
          <w:szCs w:val="18"/>
          <w:u w:val="single" w:color="auto"/>
          <w:color w:val="auto"/>
        </w:rPr>
        <w:t>SECURITY AGREEMENT</w:t>
      </w:r>
    </w:p>
    <w:p>
      <w:pPr>
        <w:spacing w:after="0" w:line="29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[Please See Attached]</w:t>
      </w:r>
    </w:p>
    <w:p>
      <w:pPr>
        <w:sectPr>
          <w:pgSz w:w="11900" w:h="16838" w:orient="portrait"/>
          <w:cols w:equalWidth="0" w:num="1">
            <w:col w:w="9620"/>
          </w:cols>
          <w:pgMar w:left="1440" w:top="720" w:right="839" w:bottom="1440" w:gutter="0" w:footer="0" w:header="0"/>
        </w:sectPr>
      </w:pPr>
    </w:p>
    <w:bookmarkStart w:id="360" w:name="page361"/>
    <w:bookmarkEnd w:id="360"/>
    <w:p>
      <w:pPr>
        <w:ind w:left="9740"/>
        <w:spacing w:after="0"/>
        <w:rPr>
          <w:sz w:val="20"/>
          <w:szCs w:val="20"/>
          <w:color w:val="auto"/>
        </w:rPr>
      </w:pPr>
      <w:r>
        <w:rPr>
          <w:rFonts w:ascii="Arial" w:cs="Arial" w:eastAsia="Arial" w:hAnsi="Arial"/>
          <w:sz w:val="20"/>
          <w:szCs w:val="20"/>
          <w:color w:val="auto"/>
        </w:rPr>
        <w:t>EXHIBIT F</w:t>
      </w:r>
    </w:p>
    <w:p>
      <w:pPr>
        <w:spacing w:after="0" w:line="200" w:lineRule="exact"/>
        <w:rPr>
          <w:sz w:val="20"/>
          <w:szCs w:val="20"/>
          <w:color w:val="auto"/>
        </w:rPr>
      </w:pPr>
    </w:p>
    <w:p>
      <w:pPr>
        <w:spacing w:after="0" w:line="201"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FORM OF NOTICE OF BORROWING</w:t>
      </w:r>
    </w:p>
    <w:p>
      <w:pPr>
        <w:spacing w:after="0" w:line="200" w:lineRule="exact"/>
        <w:rPr>
          <w:sz w:val="20"/>
          <w:szCs w:val="20"/>
          <w:color w:val="auto"/>
        </w:rPr>
      </w:pPr>
    </w:p>
    <w:p>
      <w:pPr>
        <w:spacing w:after="0" w:line="258" w:lineRule="exact"/>
        <w:rPr>
          <w:sz w:val="20"/>
          <w:szCs w:val="20"/>
          <w:color w:val="auto"/>
        </w:rPr>
      </w:pPr>
    </w:p>
    <w:p>
      <w:pPr>
        <w:ind w:left="10240"/>
        <w:spacing w:after="0"/>
        <w:rPr>
          <w:sz w:val="20"/>
          <w:szCs w:val="20"/>
          <w:color w:val="auto"/>
        </w:rPr>
      </w:pPr>
      <w:r>
        <w:rPr>
          <w:rFonts w:ascii="Arial" w:cs="Arial" w:eastAsia="Arial" w:hAnsi="Arial"/>
          <w:sz w:val="17"/>
          <w:szCs w:val="17"/>
          <w:color w:val="auto"/>
        </w:rPr>
        <w:t>[Date]</w:t>
      </w:r>
    </w:p>
    <w:p>
      <w:pPr>
        <w:spacing w:after="0" w:line="3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JPMorgan Chase Bank, N.A., as Administrative Agent (the</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party to the Credit</w:t>
      </w:r>
    </w:p>
    <w:p>
      <w:pPr>
        <w:ind w:left="960"/>
        <w:spacing w:after="0"/>
        <w:rPr>
          <w:sz w:val="20"/>
          <w:szCs w:val="20"/>
          <w:color w:val="auto"/>
        </w:rPr>
      </w:pPr>
      <w:r>
        <w:rPr>
          <w:rFonts w:ascii="Arial" w:cs="Arial" w:eastAsia="Arial" w:hAnsi="Arial"/>
          <w:sz w:val="18"/>
          <w:szCs w:val="18"/>
          <w:color w:val="auto"/>
        </w:rPr>
        <w:t>Agreement referred to below</w:t>
      </w:r>
    </w:p>
    <w:p>
      <w:pPr>
        <w:spacing w:after="0" w:line="20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9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jc w:val="both"/>
        <w:ind w:left="960" w:firstLine="1204"/>
        <w:spacing w:after="0" w:line="252" w:lineRule="auto"/>
        <w:rPr>
          <w:sz w:val="20"/>
          <w:szCs w:val="20"/>
          <w:color w:val="auto"/>
        </w:rPr>
      </w:pPr>
      <w:r>
        <w:rPr>
          <w:rFonts w:ascii="Arial" w:cs="Arial" w:eastAsia="Arial" w:hAnsi="Arial"/>
          <w:sz w:val="17"/>
          <w:szCs w:val="17"/>
          <w:color w:val="auto"/>
        </w:rPr>
        <w:t>The undersigned Borrower (as defined below) refers to the Amended and Restated Credit and Guaranty Agreement, dated as of July 2, 2021 (as amended, restated, amended and restated, modified, supplemented and/or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herein have the meanings attributed thereto in the Credit Agreement unless otherwise defined herein), among LegalZoom.com,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you, as Administrative Agent for such Lenders, and hereby gives you notice, irrevocably, pursuant to Section 2.3(a) of the Credit Agreement, that the undersigned hereby requests a Borrowing under the Credit Agreement, and in that connection sets forth below the information relating to such Borrowing (the “</w:t>
      </w:r>
      <w:r>
        <w:rPr>
          <w:rFonts w:ascii="Arial" w:cs="Arial" w:eastAsia="Arial" w:hAnsi="Arial"/>
          <w:sz w:val="17"/>
          <w:szCs w:val="17"/>
          <w:u w:val="single" w:color="auto"/>
          <w:color w:val="auto"/>
        </w:rPr>
        <w:t>Proposed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Borrowing</w:t>
      </w:r>
      <w:r>
        <w:rPr>
          <w:rFonts w:ascii="Arial" w:cs="Arial" w:eastAsia="Arial" w:hAnsi="Arial"/>
          <w:sz w:val="17"/>
          <w:szCs w:val="17"/>
          <w:color w:val="auto"/>
        </w:rPr>
        <w:t>”) as required by Section 2.3(a) of the Credit Agreement:</w:t>
      </w:r>
    </w:p>
    <w:p>
      <w:pPr>
        <w:spacing w:after="0" w:line="124" w:lineRule="exact"/>
        <w:rPr>
          <w:sz w:val="20"/>
          <w:szCs w:val="20"/>
          <w:color w:val="auto"/>
        </w:rPr>
      </w:pPr>
    </w:p>
    <w:tbl>
      <w:tblPr>
        <w:tblLayout w:type="fixed"/>
        <w:tblInd w:w="202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5220" w:type="dxa"/>
            <w:vAlign w:val="bottom"/>
            <w:gridSpan w:val="7"/>
          </w:tcPr>
          <w:p>
            <w:pPr>
              <w:ind w:left="260"/>
              <w:spacing w:after="0"/>
              <w:rPr>
                <w:sz w:val="20"/>
                <w:szCs w:val="20"/>
                <w:color w:val="auto"/>
              </w:rPr>
            </w:pPr>
            <w:r>
              <w:rPr>
                <w:rFonts w:ascii="Arial" w:cs="Arial" w:eastAsia="Arial" w:hAnsi="Arial"/>
                <w:sz w:val="18"/>
                <w:szCs w:val="18"/>
                <w:color w:val="auto"/>
              </w:rPr>
              <w:t>The Business Day of the Proposed Borrowing is  ,  .</w:t>
            </w:r>
            <w:r>
              <w:rPr>
                <w:rFonts w:ascii="Arial" w:cs="Arial" w:eastAsia="Arial" w:hAnsi="Arial"/>
                <w:sz w:val="23"/>
                <w:szCs w:val="23"/>
                <w:color w:val="auto"/>
                <w:vertAlign w:val="superscript"/>
              </w:rPr>
              <w:t>1</w:t>
            </w:r>
          </w:p>
        </w:tc>
      </w:tr>
      <w:tr>
        <w:trPr>
          <w:trHeight w:val="20"/>
        </w:trPr>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9"/>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5220" w:type="dxa"/>
            <w:vAlign w:val="bottom"/>
            <w:gridSpan w:val="7"/>
          </w:tcPr>
          <w:p>
            <w:pPr>
              <w:ind w:left="260"/>
              <w:spacing w:after="0"/>
              <w:rPr>
                <w:sz w:val="20"/>
                <w:szCs w:val="20"/>
                <w:color w:val="auto"/>
              </w:rPr>
            </w:pPr>
            <w:r>
              <w:rPr>
                <w:rFonts w:ascii="Arial" w:cs="Arial" w:eastAsia="Arial" w:hAnsi="Arial"/>
                <w:sz w:val="18"/>
                <w:szCs w:val="18"/>
                <w:color w:val="auto"/>
                <w:w w:val="94"/>
              </w:rPr>
              <w:t>The aggregate principal amount of the Proposed Borrowing is [  ].</w:t>
            </w:r>
          </w:p>
        </w:tc>
      </w:tr>
      <w:tr>
        <w:trPr>
          <w:trHeight w:val="20"/>
        </w:trPr>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2360" w:hanging="343"/>
        <w:spacing w:after="0"/>
        <w:tabs>
          <w:tab w:leader="none" w:pos="23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Loans to be made pursuant to the Proposed Borrowing shall consist of [Revolving Loans][</w:t>
      </w:r>
      <w:r>
        <w:rPr>
          <w:rFonts w:ascii="Arial" w:cs="Arial" w:eastAsia="Arial" w:hAnsi="Arial"/>
          <w:sz w:val="17"/>
          <w:szCs w:val="17"/>
          <w:i w:val="1"/>
          <w:iCs w:val="1"/>
          <w:color w:val="auto"/>
        </w:rPr>
        <w:t>specify other</w:t>
      </w:r>
    </w:p>
    <w:p>
      <w:pPr>
        <w:spacing w:after="0" w:line="21" w:lineRule="exact"/>
        <w:rPr>
          <w:rFonts w:ascii="Arial" w:cs="Arial" w:eastAsia="Arial" w:hAnsi="Arial"/>
          <w:sz w:val="17"/>
          <w:szCs w:val="17"/>
          <w:color w:val="auto"/>
        </w:rPr>
      </w:pPr>
    </w:p>
    <w:p>
      <w:pPr>
        <w:ind w:left="1340"/>
        <w:spacing w:after="0"/>
        <w:rPr>
          <w:rFonts w:ascii="Arial" w:cs="Arial" w:eastAsia="Arial" w:hAnsi="Arial"/>
          <w:sz w:val="17"/>
          <w:szCs w:val="17"/>
          <w:color w:val="auto"/>
        </w:rPr>
      </w:pPr>
      <w:r>
        <w:rPr>
          <w:rFonts w:ascii="Arial" w:cs="Arial" w:eastAsia="Arial" w:hAnsi="Arial"/>
          <w:sz w:val="18"/>
          <w:szCs w:val="18"/>
          <w:i w:val="1"/>
          <w:iCs w:val="1"/>
          <w:color w:val="auto"/>
        </w:rPr>
        <w:t>Tranche</w:t>
      </w:r>
      <w:r>
        <w:rPr>
          <w:rFonts w:ascii="Arial" w:cs="Arial" w:eastAsia="Arial" w:hAnsi="Arial"/>
          <w:sz w:val="18"/>
          <w:szCs w:val="18"/>
          <w:color w:val="auto"/>
        </w:rPr>
        <w:t>].</w:t>
      </w:r>
    </w:p>
    <w:p>
      <w:pPr>
        <w:spacing w:after="0" w:line="215" w:lineRule="exact"/>
        <w:rPr>
          <w:rFonts w:ascii="Arial" w:cs="Arial" w:eastAsia="Arial" w:hAnsi="Arial"/>
          <w:sz w:val="17"/>
          <w:szCs w:val="17"/>
          <w:color w:val="auto"/>
        </w:rPr>
      </w:pPr>
    </w:p>
    <w:p>
      <w:pPr>
        <w:ind w:left="2360" w:hanging="343"/>
        <w:spacing w:after="0"/>
        <w:tabs>
          <w:tab w:leader="none" w:pos="23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Proposed Borrowing shall be denominated in [Dollars] [Euros] [Pounds Sterling] [Alternate Currency]</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21"/>
          <w:szCs w:val="21"/>
          <w:color w:val="auto"/>
          <w:vertAlign w:val="superscript"/>
        </w:rPr>
        <w:t>3</w:t>
      </w:r>
    </w:p>
    <w:p>
      <w:pPr>
        <w:spacing w:after="0" w:line="185" w:lineRule="exact"/>
        <w:rPr>
          <w:rFonts w:ascii="Arial" w:cs="Arial" w:eastAsia="Arial" w:hAnsi="Arial"/>
          <w:sz w:val="17"/>
          <w:szCs w:val="17"/>
          <w:color w:val="auto"/>
        </w:rPr>
      </w:pPr>
    </w:p>
    <w:p>
      <w:pPr>
        <w:ind w:left="1340" w:right="240" w:firstLine="676"/>
        <w:spacing w:after="0" w:line="277" w:lineRule="auto"/>
        <w:tabs>
          <w:tab w:leader="none" w:pos="235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Loans to be made pursuant to the Proposed Borrowing shall be initially maintained as [Base Rate Loans]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[Fixed Rate Loans] [SONIA Rate Loans].</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213995</wp:posOffset>
            </wp:positionV>
            <wp:extent cx="15284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960" w:right="160"/>
        <w:spacing w:after="0" w:line="249" w:lineRule="auto"/>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Shall be the Business Day of such borrowing in the case of Base Rate Loans, at least five (5) Business Days in the case of Sterling</w:t>
      </w:r>
      <w:r>
        <w:rPr>
          <w:rFonts w:ascii="Arial" w:cs="Arial" w:eastAsia="Arial" w:hAnsi="Arial"/>
          <w:sz w:val="13"/>
          <w:szCs w:val="13"/>
          <w:color w:val="auto"/>
        </w:rPr>
        <w:t xml:space="preserve"> </w:t>
      </w:r>
      <w:r>
        <w:rPr>
          <w:rFonts w:ascii="Arial" w:cs="Arial" w:eastAsia="Arial" w:hAnsi="Arial"/>
          <w:sz w:val="16"/>
          <w:szCs w:val="16"/>
          <w:color w:val="auto"/>
        </w:rPr>
        <w:t xml:space="preserve">Denominated Loans, at least four (4) Business Days in the case of Fixed Rate Loans denominated in Euros and at least three (3) Business Days in the case of Fixed Rate Loans denominated in Dollars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shall be deemed to have been given on a certain day only if given before 11:00</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A.M. (New York City time) with respect to both Fixed Rate Loans and Base Rate Loans.</w:t>
      </w:r>
    </w:p>
    <w:p>
      <w:pPr>
        <w:spacing w:after="0" w:line="79" w:lineRule="exact"/>
        <w:rPr>
          <w:sz w:val="20"/>
          <w:szCs w:val="20"/>
          <w:color w:val="auto"/>
        </w:rPr>
      </w:pPr>
    </w:p>
    <w:p>
      <w:pPr>
        <w:ind w:left="960" w:right="80" w:firstLine="3"/>
        <w:spacing w:after="0" w:line="214" w:lineRule="auto"/>
        <w:tabs>
          <w:tab w:leader="none" w:pos="1055" w:val="left"/>
        </w:tabs>
        <w:numPr>
          <w:ilvl w:val="0"/>
          <w:numId w:val="365"/>
        </w:numPr>
        <w:rPr>
          <w:rFonts w:ascii="Arial" w:cs="Arial" w:eastAsia="Arial" w:hAnsi="Arial"/>
          <w:sz w:val="22"/>
          <w:szCs w:val="22"/>
          <w:color w:val="auto"/>
          <w:vertAlign w:val="superscript"/>
        </w:rPr>
      </w:pPr>
      <w:r>
        <w:rPr>
          <w:rFonts w:ascii="Arial" w:cs="Arial" w:eastAsia="Arial" w:hAnsi="Arial"/>
          <w:sz w:val="17"/>
          <w:szCs w:val="17"/>
          <w:color w:val="auto"/>
        </w:rPr>
        <w:t>Additional Alternate Currencies to be specified to the extent requested by the Borrower and reasonably acceptable to the Administrative Agent and the Revolving Lenders pursuant to the terms of the Credit Agreement.</w:t>
      </w:r>
    </w:p>
    <w:p>
      <w:pPr>
        <w:spacing w:after="0" w:line="37" w:lineRule="exact"/>
        <w:rPr>
          <w:sz w:val="20"/>
          <w:szCs w:val="20"/>
          <w:color w:val="auto"/>
        </w:rPr>
      </w:pPr>
    </w:p>
    <w:p>
      <w:pPr>
        <w:ind w:left="1060" w:hanging="97"/>
        <w:spacing w:after="0"/>
        <w:tabs>
          <w:tab w:leader="none" w:pos="1060" w:val="left"/>
        </w:tabs>
        <w:numPr>
          <w:ilvl w:val="0"/>
          <w:numId w:val="366"/>
        </w:numPr>
        <w:rPr>
          <w:rFonts w:ascii="Arial" w:cs="Arial" w:eastAsia="Arial" w:hAnsi="Arial"/>
          <w:sz w:val="22"/>
          <w:szCs w:val="22"/>
          <w:color w:val="auto"/>
          <w:vertAlign w:val="superscript"/>
        </w:rPr>
      </w:pPr>
      <w:r>
        <w:rPr>
          <w:rFonts w:ascii="Arial" w:cs="Arial" w:eastAsia="Arial" w:hAnsi="Arial"/>
          <w:sz w:val="17"/>
          <w:szCs w:val="17"/>
          <w:color w:val="auto"/>
        </w:rPr>
        <w:t>To be included for a Proposed Borrowing consisting of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350520</wp:posOffset>
            </wp:positionV>
            <wp:extent cx="501650" cy="294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501650" cy="2946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0060"/>
        <w:spacing w:after="0"/>
        <w:rPr>
          <w:sz w:val="20"/>
          <w:szCs w:val="20"/>
          <w:color w:val="auto"/>
        </w:rPr>
      </w:pPr>
      <w:r>
        <w:rPr>
          <w:rFonts w:ascii="Arial" w:cs="Arial" w:eastAsia="Arial" w:hAnsi="Arial"/>
          <w:sz w:val="16"/>
          <w:szCs w:val="16"/>
          <w:color w:val="auto"/>
        </w:rPr>
        <w:t>Exhibit F</w:t>
      </w:r>
    </w:p>
    <w:p>
      <w:pPr>
        <w:spacing w:after="0" w:line="18" w:lineRule="exact"/>
        <w:rPr>
          <w:sz w:val="20"/>
          <w:szCs w:val="20"/>
          <w:color w:val="auto"/>
        </w:rPr>
      </w:pPr>
    </w:p>
    <w:p>
      <w:pPr>
        <w:jc w:val="center"/>
        <w:ind w:right="1006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00"/>
          </w:cols>
          <w:pgMar w:left="360" w:top="720" w:right="839" w:bottom="1440" w:gutter="0" w:footer="0" w:header="0"/>
        </w:sectPr>
      </w:pPr>
    </w:p>
    <w:bookmarkStart w:id="361" w:name="page362"/>
    <w:bookmarkEnd w:id="361"/>
    <w:p>
      <w:pPr>
        <w:ind w:left="1340" w:right="380" w:firstLine="677"/>
        <w:spacing w:after="0" w:line="278" w:lineRule="auto"/>
        <w:rPr>
          <w:sz w:val="20"/>
          <w:szCs w:val="20"/>
          <w:color w:val="auto"/>
        </w:rPr>
      </w:pPr>
      <w:r>
        <w:rPr>
          <w:rFonts w:ascii="Arial" w:cs="Arial" w:eastAsia="Arial" w:hAnsi="Arial"/>
          <w:sz w:val="18"/>
          <w:szCs w:val="18"/>
          <w:color w:val="auto"/>
        </w:rPr>
        <w:t>[(vi) The initial Interest Period for the Proposed Borrowing is [one month] [three months] [six months] [twelve months]</w:t>
      </w:r>
      <w:r>
        <w:rPr>
          <w:rFonts w:ascii="Arial" w:cs="Arial" w:eastAsia="Arial" w:hAnsi="Arial"/>
          <w:sz w:val="23"/>
          <w:szCs w:val="23"/>
          <w:color w:val="auto"/>
          <w:vertAlign w:val="superscript"/>
        </w:rPr>
        <w:t>6</w:t>
      </w:r>
      <w:r>
        <w:rPr>
          <w:rFonts w:ascii="Arial" w:cs="Arial" w:eastAsia="Arial" w:hAnsi="Arial"/>
          <w:sz w:val="18"/>
          <w:szCs w:val="18"/>
          <w:color w:val="auto"/>
        </w:rPr>
        <w:t>.]</w:t>
      </w:r>
      <w:r>
        <w:rPr>
          <w:rFonts w:ascii="Arial" w:cs="Arial" w:eastAsia="Arial" w:hAnsi="Arial"/>
          <w:sz w:val="23"/>
          <w:szCs w:val="23"/>
          <w:color w:val="auto"/>
          <w:vertAlign w:val="superscript"/>
        </w:rPr>
        <w:t>7</w:t>
      </w:r>
    </w:p>
    <w:p>
      <w:pPr>
        <w:spacing w:after="0" w:line="93" w:lineRule="exact"/>
        <w:rPr>
          <w:sz w:val="20"/>
          <w:szCs w:val="20"/>
          <w:color w:val="auto"/>
        </w:rPr>
      </w:pPr>
    </w:p>
    <w:p>
      <w:pPr>
        <w:ind w:left="960" w:right="240" w:firstLine="1204"/>
        <w:spacing w:after="0" w:line="263"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Borrowing:</w:t>
      </w:r>
    </w:p>
    <w:p>
      <w:pPr>
        <w:spacing w:after="0" w:line="186" w:lineRule="exact"/>
        <w:rPr>
          <w:sz w:val="20"/>
          <w:szCs w:val="20"/>
          <w:color w:val="auto"/>
        </w:rPr>
      </w:pPr>
    </w:p>
    <w:p>
      <w:pPr>
        <w:jc w:val="both"/>
        <w:ind w:left="1560" w:firstLine="606"/>
        <w:spacing w:after="0" w:line="254" w:lineRule="auto"/>
        <w:tabs>
          <w:tab w:leader="none" w:pos="2956" w:val="left"/>
        </w:tabs>
        <w:numPr>
          <w:ilvl w:val="0"/>
          <w:numId w:val="367"/>
        </w:numPr>
        <w:rPr>
          <w:rFonts w:ascii="Arial" w:cs="Arial" w:eastAsia="Arial" w:hAnsi="Arial"/>
          <w:sz w:val="17"/>
          <w:szCs w:val="17"/>
          <w:color w:val="auto"/>
        </w:rPr>
      </w:pPr>
      <w:r>
        <w:rPr>
          <w:rFonts w:ascii="Arial" w:cs="Arial" w:eastAsia="Arial" w:hAnsi="Arial"/>
          <w:sz w:val="17"/>
          <w:szCs w:val="17"/>
          <w:color w:val="auto"/>
        </w:rPr>
        <w:t>each of the representations and warranties contained in the Credit Agreement and in the other Loan Documents are and will be true and correct in all material respects on and as of the date of the Proposed Borrowing as if made on and as of such date (except to the extent already qualified by materiality, in which case, such representations and warranties shall be true and correct in all respects), except to the extent such representations and warranties expressly relate to an earlier date, in which case such representations and warranties shall have been true and correct in all material respects as of such earlier date (except to the extent already qualified by materiality, in which case, such representations and warranties shall be true and correct in all respects); and</w:t>
      </w:r>
    </w:p>
    <w:p>
      <w:pPr>
        <w:spacing w:after="0" w:line="181" w:lineRule="exact"/>
        <w:rPr>
          <w:rFonts w:ascii="Arial" w:cs="Arial" w:eastAsia="Arial" w:hAnsi="Arial"/>
          <w:sz w:val="17"/>
          <w:szCs w:val="17"/>
          <w:color w:val="auto"/>
        </w:rPr>
      </w:pPr>
    </w:p>
    <w:p>
      <w:pPr>
        <w:ind w:left="1560" w:firstLine="606"/>
        <w:spacing w:after="0" w:line="263" w:lineRule="auto"/>
        <w:tabs>
          <w:tab w:leader="none" w:pos="295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(immediately prior to giving effect to such Proposed Borrowing) or would result after giving effect to such Proposed Borrowing.</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Very truly yours,</w:t>
      </w:r>
    </w:p>
    <w:p>
      <w:pPr>
        <w:spacing w:after="0" w:line="22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LEGALZOOM.COM, INC.</w:t>
      </w:r>
    </w:p>
    <w:p>
      <w:pPr>
        <w:spacing w:after="0" w:line="200" w:lineRule="exact"/>
        <w:rPr>
          <w:sz w:val="20"/>
          <w:szCs w:val="20"/>
          <w:color w:val="auto"/>
        </w:rPr>
      </w:pPr>
    </w:p>
    <w:p>
      <w:pPr>
        <w:spacing w:after="0" w:line="249"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-8890</wp:posOffset>
            </wp:positionV>
            <wp:extent cx="2336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2576195</wp:posOffset>
            </wp:positionV>
            <wp:extent cx="15284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60" w:hanging="97"/>
        <w:spacing w:after="0"/>
        <w:tabs>
          <w:tab w:leader="none" w:pos="1060" w:val="left"/>
        </w:tabs>
        <w:numPr>
          <w:ilvl w:val="0"/>
          <w:numId w:val="368"/>
        </w:numPr>
        <w:rPr>
          <w:rFonts w:ascii="Arial" w:cs="Arial" w:eastAsia="Arial" w:hAnsi="Arial"/>
          <w:sz w:val="22"/>
          <w:szCs w:val="22"/>
          <w:color w:val="auto"/>
          <w:vertAlign w:val="superscript"/>
        </w:rPr>
      </w:pPr>
      <w:r>
        <w:rPr>
          <w:rFonts w:ascii="Arial" w:cs="Arial" w:eastAsia="Arial" w:hAnsi="Arial"/>
          <w:sz w:val="17"/>
          <w:szCs w:val="17"/>
          <w:color w:val="auto"/>
        </w:rPr>
        <w:t>In the case of Dollar Denominated Loans only.</w:t>
      </w:r>
    </w:p>
    <w:p>
      <w:pPr>
        <w:spacing w:after="0" w:line="70" w:lineRule="exact"/>
        <w:rPr>
          <w:rFonts w:ascii="Arial" w:cs="Arial" w:eastAsia="Arial" w:hAnsi="Arial"/>
          <w:sz w:val="22"/>
          <w:szCs w:val="22"/>
          <w:color w:val="auto"/>
          <w:vertAlign w:val="superscript"/>
        </w:rPr>
      </w:pPr>
    </w:p>
    <w:p>
      <w:pPr>
        <w:ind w:left="96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5</w:t>
      </w:r>
      <w:r>
        <w:rPr>
          <w:rFonts w:ascii="Arial" w:cs="Arial" w:eastAsia="Arial" w:hAnsi="Arial"/>
          <w:sz w:val="17"/>
          <w:szCs w:val="17"/>
          <w:color w:val="auto"/>
        </w:rPr>
        <w:t xml:space="preserve"> Alternate Currency to be specified.</w:t>
      </w:r>
    </w:p>
    <w:p>
      <w:pPr>
        <w:spacing w:after="0" w:line="46" w:lineRule="exact"/>
        <w:rPr>
          <w:rFonts w:ascii="Arial" w:cs="Arial" w:eastAsia="Arial" w:hAnsi="Arial"/>
          <w:sz w:val="22"/>
          <w:szCs w:val="22"/>
          <w:color w:val="auto"/>
          <w:vertAlign w:val="superscript"/>
        </w:rPr>
      </w:pPr>
    </w:p>
    <w:p>
      <w:pPr>
        <w:ind w:left="960" w:right="4060"/>
        <w:spacing w:after="0" w:line="355" w:lineRule="auto"/>
        <w:rPr>
          <w:rFonts w:ascii="Arial" w:cs="Arial" w:eastAsia="Arial" w:hAnsi="Arial"/>
          <w:sz w:val="22"/>
          <w:szCs w:val="22"/>
          <w:color w:val="auto"/>
          <w:vertAlign w:val="superscript"/>
        </w:rPr>
      </w:pPr>
      <w:r>
        <w:rPr>
          <w:rFonts w:ascii="Arial" w:cs="Arial" w:eastAsia="Arial" w:hAnsi="Arial"/>
          <w:sz w:val="20"/>
          <w:szCs w:val="20"/>
          <w:color w:val="auto"/>
          <w:vertAlign w:val="superscript"/>
        </w:rPr>
        <w:t>6</w:t>
      </w:r>
      <w:r>
        <w:rPr>
          <w:rFonts w:ascii="Arial" w:cs="Arial" w:eastAsia="Arial" w:hAnsi="Arial"/>
          <w:sz w:val="16"/>
          <w:szCs w:val="16"/>
          <w:color w:val="auto"/>
        </w:rPr>
        <w:t xml:space="preserve"> Twelve month period requires approval by each Lender under the relevant Tranche. </w:t>
      </w:r>
      <w:r>
        <w:rPr>
          <w:rFonts w:ascii="Arial" w:cs="Arial" w:eastAsia="Arial" w:hAnsi="Arial"/>
          <w:sz w:val="20"/>
          <w:szCs w:val="20"/>
          <w:color w:val="auto"/>
          <w:vertAlign w:val="superscript"/>
        </w:rPr>
        <w:t>7</w:t>
      </w:r>
      <w:r>
        <w:rPr>
          <w:rFonts w:ascii="Arial" w:cs="Arial" w:eastAsia="Arial" w:hAnsi="Arial"/>
          <w:sz w:val="16"/>
          <w:szCs w:val="16"/>
          <w:color w:val="auto"/>
        </w:rPr>
        <w:t xml:space="preserve"> To be included for a Proposed Borrowing of Fixed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231775</wp:posOffset>
            </wp:positionV>
            <wp:extent cx="501650" cy="294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501650" cy="294640"/>
                    </a:xfrm>
                    <a:prstGeom prst="rect">
                      <a:avLst/>
                    </a:prstGeom>
                    <a:noFill/>
                  </pic:spPr>
                </pic:pic>
              </a:graphicData>
            </a:graphic>
          </wp:anchor>
        </w:drawing>
      </w:r>
    </w:p>
    <w:p>
      <w:pPr>
        <w:spacing w:after="0" w:line="383" w:lineRule="exact"/>
        <w:rPr>
          <w:sz w:val="20"/>
          <w:szCs w:val="20"/>
          <w:color w:val="auto"/>
        </w:rPr>
      </w:pPr>
    </w:p>
    <w:p>
      <w:pPr>
        <w:jc w:val="center"/>
        <w:ind w:right="10060"/>
        <w:spacing w:after="0"/>
        <w:rPr>
          <w:sz w:val="20"/>
          <w:szCs w:val="20"/>
          <w:color w:val="auto"/>
        </w:rPr>
      </w:pPr>
      <w:r>
        <w:rPr>
          <w:rFonts w:ascii="Arial" w:cs="Arial" w:eastAsia="Arial" w:hAnsi="Arial"/>
          <w:sz w:val="16"/>
          <w:szCs w:val="16"/>
          <w:color w:val="auto"/>
        </w:rPr>
        <w:t>Exhibit F</w:t>
      </w:r>
    </w:p>
    <w:p>
      <w:pPr>
        <w:spacing w:after="0" w:line="18" w:lineRule="exact"/>
        <w:rPr>
          <w:sz w:val="20"/>
          <w:szCs w:val="20"/>
          <w:color w:val="auto"/>
        </w:rPr>
      </w:pPr>
    </w:p>
    <w:p>
      <w:pPr>
        <w:jc w:val="center"/>
        <w:ind w:right="1006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700"/>
          </w:cols>
          <w:pgMar w:left="360" w:top="1351" w:right="8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color w:val="auto"/>
        </w:rPr>
        <w:t>EXHIBIT G</w:t>
      </w:r>
    </w:p>
    <w:p>
      <w:pPr>
        <w:spacing w:after="0" w:line="200" w:lineRule="exact"/>
        <w:rPr>
          <w:sz w:val="20"/>
          <w:szCs w:val="20"/>
          <w:color w:val="auto"/>
        </w:rPr>
      </w:pPr>
    </w:p>
    <w:p>
      <w:pPr>
        <w:spacing w:after="0" w:line="245"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533400" cy="294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0040"/>
        <w:spacing w:after="0"/>
        <w:rPr>
          <w:sz w:val="20"/>
          <w:szCs w:val="20"/>
          <w:color w:val="auto"/>
        </w:rPr>
      </w:pPr>
      <w:r>
        <w:rPr>
          <w:rFonts w:ascii="Arial" w:cs="Arial" w:eastAsia="Arial" w:hAnsi="Arial"/>
          <w:sz w:val="16"/>
          <w:szCs w:val="16"/>
          <w:color w:val="auto"/>
        </w:rPr>
        <w:t>Exhibit G</w:t>
      </w:r>
    </w:p>
    <w:p>
      <w:pPr>
        <w:spacing w:after="0" w:line="18" w:lineRule="exact"/>
        <w:rPr>
          <w:sz w:val="20"/>
          <w:szCs w:val="20"/>
          <w:color w:val="auto"/>
        </w:rPr>
      </w:pPr>
    </w:p>
    <w:p>
      <w:pPr>
        <w:jc w:val="center"/>
        <w:ind w:right="100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00"/>
          </w:cols>
          <w:pgMar w:left="360" w:top="724" w:right="839" w:bottom="1440" w:gutter="0" w:footer="0" w:header="0"/>
        </w:sectPr>
      </w:pPr>
    </w:p>
    <w:bookmarkStart w:id="363" w:name="page364"/>
    <w:bookmarkEnd w:id="363"/>
    <w:p>
      <w:pPr>
        <w:jc w:val="right"/>
        <w:spacing w:after="0"/>
        <w:rPr>
          <w:sz w:val="20"/>
          <w:szCs w:val="20"/>
          <w:color w:val="auto"/>
        </w:rPr>
      </w:pPr>
      <w:r>
        <w:rPr>
          <w:rFonts w:ascii="Arial" w:cs="Arial" w:eastAsia="Arial" w:hAnsi="Arial"/>
          <w:sz w:val="20"/>
          <w:szCs w:val="20"/>
          <w:color w:val="auto"/>
        </w:rPr>
        <w:t>EXHIBIT H</w:t>
      </w: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FORM OF REVOLVING NOTE</w:t>
      </w:r>
    </w:p>
    <w:p>
      <w:pPr>
        <w:spacing w:after="0" w:line="200" w:lineRule="exact"/>
        <w:rPr>
          <w:sz w:val="20"/>
          <w:szCs w:val="20"/>
          <w:color w:val="auto"/>
        </w:rPr>
      </w:pPr>
    </w:p>
    <w:p>
      <w:pPr>
        <w:spacing w:after="0" w:line="320" w:lineRule="exact"/>
        <w:rPr>
          <w:sz w:val="20"/>
          <w:szCs w:val="20"/>
          <w:color w:val="auto"/>
        </w:rPr>
      </w:pPr>
    </w:p>
    <w:p>
      <w:pPr>
        <w:ind w:left="8660"/>
        <w:spacing w:after="0"/>
        <w:tabs>
          <w:tab w:leader="none" w:pos="91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-1270</wp:posOffset>
            </wp:positionV>
            <wp:extent cx="1168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6508115</wp:posOffset>
            </wp:positionH>
            <wp:positionV relativeFrom="paragraph">
              <wp:posOffset>-19050</wp:posOffset>
            </wp:positionV>
            <wp:extent cx="2914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59" w:lineRule="exact"/>
        <w:rPr>
          <w:sz w:val="20"/>
          <w:szCs w:val="20"/>
          <w:color w:val="auto"/>
        </w:rPr>
      </w:pPr>
    </w:p>
    <w:p>
      <w:pPr>
        <w:jc w:val="both"/>
        <w:ind w:left="960" w:firstLine="1204"/>
        <w:spacing w:after="0"/>
        <w:rPr>
          <w:sz w:val="20"/>
          <w:szCs w:val="20"/>
          <w:color w:val="auto"/>
        </w:rPr>
      </w:pPr>
      <w:r>
        <w:rPr>
          <w:rFonts w:ascii="Arial" w:cs="Arial" w:eastAsia="Arial" w:hAnsi="Arial"/>
          <w:sz w:val="18"/>
          <w:szCs w:val="18"/>
          <w:color w:val="auto"/>
        </w:rPr>
        <w:t>FOR VALUE RECEIVED,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 ] or its registered assigns (the “</w:t>
      </w:r>
      <w:r>
        <w:rPr>
          <w:rFonts w:ascii="Arial" w:cs="Arial" w:eastAsia="Arial" w:hAnsi="Arial"/>
          <w:sz w:val="18"/>
          <w:szCs w:val="18"/>
          <w:u w:val="single" w:color="auto"/>
          <w:color w:val="auto"/>
        </w:rPr>
        <w:t>Lender</w:t>
      </w:r>
      <w:r>
        <w:rPr>
          <w:rFonts w:ascii="Arial" w:cs="Arial" w:eastAsia="Arial" w:hAnsi="Arial"/>
          <w:sz w:val="18"/>
          <w:szCs w:val="18"/>
          <w:color w:val="auto"/>
        </w:rPr>
        <w:t>”), in Dollars (or, in respect of Revolving Loans denominated in an Alternate Currency, in such Alternate Currency) in immediately available funds, at the Payment Office on the Revolving Loan Maturity Date the unpaid principal amount of all Revolving Loans made by the Lender pursuant to the Credit Agreement (as defined below), payable at such times and in such amounts as are specified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-407035</wp:posOffset>
            </wp:positionV>
            <wp:extent cx="1244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86" w:lineRule="exact"/>
        <w:rPr>
          <w:sz w:val="20"/>
          <w:szCs w:val="20"/>
          <w:color w:val="auto"/>
        </w:rPr>
      </w:pPr>
    </w:p>
    <w:p>
      <w:pPr>
        <w:jc w:val="both"/>
        <w:ind w:left="960" w:firstLine="1204"/>
        <w:spacing w:after="0" w:line="294" w:lineRule="auto"/>
        <w:rPr>
          <w:sz w:val="20"/>
          <w:szCs w:val="20"/>
          <w:color w:val="auto"/>
        </w:rPr>
      </w:pPr>
      <w:r>
        <w:rPr>
          <w:rFonts w:ascii="Arial" w:cs="Arial" w:eastAsia="Arial" w:hAnsi="Arial"/>
          <w:sz w:val="16"/>
          <w:szCs w:val="16"/>
          <w:color w:val="auto"/>
        </w:rPr>
        <w:t xml:space="preserve">The Borrower also promises to pay interest on the unpaid principal amount of each Revolving Loan made by the Lender in Dollars (or, in respect of Revolving Loans denominated in an Alternate Currency, in such Alternate Currency) at said office from the date hereof until paid at the rates and at the times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the Credit Agreement.</w:t>
      </w:r>
    </w:p>
    <w:p>
      <w:pPr>
        <w:spacing w:after="0" w:line="227" w:lineRule="exact"/>
        <w:rPr>
          <w:sz w:val="20"/>
          <w:szCs w:val="20"/>
          <w:color w:val="auto"/>
        </w:rPr>
      </w:pPr>
    </w:p>
    <w:p>
      <w:pPr>
        <w:jc w:val="both"/>
        <w:ind w:left="960" w:firstLine="1204"/>
        <w:spacing w:after="0" w:line="236" w:lineRule="auto"/>
        <w:rPr>
          <w:sz w:val="20"/>
          <w:szCs w:val="20"/>
          <w:color w:val="auto"/>
        </w:rPr>
      </w:pPr>
      <w:r>
        <w:rPr>
          <w:rFonts w:ascii="Arial" w:cs="Arial" w:eastAsia="Arial" w:hAnsi="Arial"/>
          <w:sz w:val="18"/>
          <w:szCs w:val="18"/>
          <w:color w:val="auto"/>
        </w:rPr>
        <w:t>This Revolving Note is one of the Revolving Notes referred to in the Amended and Restated Credit and Guaranty Agreement, dated as of July 2, 2021 (as amended, restated, amended and restated, modified, supplemented and/or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have the meanings attributed thereto in the Credit Agreement unless otherwise defined herein), among LegalZoom.com, Inc., a Delaware corporation, the Subsidiary Guarantors from time to time party thereto, the several banks, financial institutions, institutional investors and other entities from time to time party thereto as lenders, and JPMorgan Chase Bank, N.A., as Administrative Agent, and is entitled to the benefits thereof and of the other Loan Documents. This Revolving Note is secured by the Security Documents and is entitled to the benefits of the Guarantee. As provided in the Credit Agreement, this Revolving Note is subject to voluntary prepayment and mandatory repayment prior to the Revolving Loan Maturity Date, in whole or in part, and Revolving Loans may be converted from one Type into another Type to the extent provided in the Credit Agreement.</w:t>
      </w:r>
    </w:p>
    <w:p>
      <w:pPr>
        <w:spacing w:after="0" w:line="209" w:lineRule="exact"/>
        <w:rPr>
          <w:sz w:val="20"/>
          <w:szCs w:val="20"/>
          <w:color w:val="auto"/>
        </w:rPr>
      </w:pPr>
    </w:p>
    <w:p>
      <w:pPr>
        <w:jc w:val="both"/>
        <w:ind w:left="960" w:firstLine="1204"/>
        <w:spacing w:after="0" w:line="293" w:lineRule="auto"/>
        <w:rPr>
          <w:sz w:val="20"/>
          <w:szCs w:val="20"/>
          <w:color w:val="auto"/>
        </w:rPr>
      </w:pPr>
      <w:r>
        <w:rPr>
          <w:rFonts w:ascii="Arial" w:cs="Arial" w:eastAsia="Arial" w:hAnsi="Arial"/>
          <w:sz w:val="17"/>
          <w:szCs w:val="17"/>
          <w:color w:val="auto"/>
        </w:rPr>
        <w:t>In case an Event of Default shall occur and be continuing, the principal of and accrued interest on this Revolving Note may be declared to be due and payable in the manner and with the effect provided in the Credit Agreement.</w:t>
      </w:r>
    </w:p>
    <w:p>
      <w:pPr>
        <w:spacing w:after="0" w:line="150"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The Borrower hereby waives presentment, demand, protest or notice of any kind in connection with this Revolving</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Note.</w:t>
      </w:r>
    </w:p>
    <w:p>
      <w:pPr>
        <w:spacing w:after="0" w:line="212" w:lineRule="exact"/>
        <w:rPr>
          <w:sz w:val="20"/>
          <w:szCs w:val="20"/>
          <w:color w:val="auto"/>
        </w:rPr>
      </w:pPr>
    </w:p>
    <w:p>
      <w:pPr>
        <w:jc w:val="both"/>
        <w:ind w:left="960" w:firstLine="1204"/>
        <w:spacing w:after="0" w:line="268" w:lineRule="auto"/>
        <w:rPr>
          <w:sz w:val="20"/>
          <w:szCs w:val="20"/>
          <w:color w:val="auto"/>
        </w:rPr>
      </w:pPr>
      <w:r>
        <w:rPr>
          <w:rFonts w:ascii="Arial" w:cs="Arial" w:eastAsia="Arial" w:hAnsi="Arial"/>
          <w:sz w:val="18"/>
          <w:szCs w:val="18"/>
          <w:b w:val="1"/>
          <w:bCs w:val="1"/>
          <w:color w:val="auto"/>
        </w:rPr>
        <w:t>THIS NOTE SHALL BE CONSTRUED IN ACCORDANCE WITH AND BE GOVERNED BY THE LAW OF THE STATE OF NEW YORK</w:t>
      </w:r>
      <w:r>
        <w:rPr>
          <w:rFonts w:ascii="Arial" w:cs="Arial" w:eastAsia="Arial" w:hAnsi="Arial"/>
          <w:sz w:val="18"/>
          <w:szCs w:val="18"/>
          <w:color w:val="auto"/>
        </w:rPr>
        <w:t>.</w:t>
      </w:r>
    </w:p>
    <w:p>
      <w:pPr>
        <w:spacing w:after="0" w:line="18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356870</wp:posOffset>
            </wp:positionV>
            <wp:extent cx="533400" cy="294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0040"/>
        <w:spacing w:after="0"/>
        <w:rPr>
          <w:sz w:val="20"/>
          <w:szCs w:val="20"/>
          <w:color w:val="auto"/>
        </w:rPr>
      </w:pPr>
      <w:r>
        <w:rPr>
          <w:rFonts w:ascii="Arial" w:cs="Arial" w:eastAsia="Arial" w:hAnsi="Arial"/>
          <w:sz w:val="16"/>
          <w:szCs w:val="16"/>
          <w:color w:val="auto"/>
        </w:rPr>
        <w:t>Exhibit H</w:t>
      </w:r>
    </w:p>
    <w:p>
      <w:pPr>
        <w:spacing w:after="0" w:line="18" w:lineRule="exact"/>
        <w:rPr>
          <w:sz w:val="20"/>
          <w:szCs w:val="20"/>
          <w:color w:val="auto"/>
        </w:rPr>
      </w:pPr>
    </w:p>
    <w:p>
      <w:pPr>
        <w:jc w:val="center"/>
        <w:ind w:right="100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00"/>
          </w:cols>
          <w:pgMar w:left="360" w:top="719" w:right="839" w:bottom="1440" w:gutter="0" w:footer="0" w:header="0"/>
        </w:sectPr>
      </w:pPr>
    </w:p>
    <w:bookmarkStart w:id="364" w:name="page365"/>
    <w:bookmarkEnd w:id="364"/>
    <w:p>
      <w:pPr>
        <w:jc w:val="right"/>
        <w:ind w:right="3339"/>
        <w:spacing w:after="0"/>
        <w:rPr>
          <w:sz w:val="20"/>
          <w:szCs w:val="20"/>
          <w:color w:val="auto"/>
        </w:rPr>
      </w:pPr>
      <w:r>
        <w:rPr>
          <w:rFonts w:ascii="Arial" w:cs="Arial" w:eastAsia="Arial" w:hAnsi="Arial"/>
          <w:sz w:val="18"/>
          <w:szCs w:val="18"/>
          <w:b w:val="1"/>
          <w:bCs w:val="1"/>
          <w:color w:val="auto"/>
        </w:rPr>
        <w:t>LEGALZOOM.COM,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-8890</wp:posOffset>
            </wp:positionV>
            <wp:extent cx="2336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346710</wp:posOffset>
            </wp:positionV>
            <wp:extent cx="533400" cy="294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9439"/>
        <w:spacing w:after="0"/>
        <w:rPr>
          <w:sz w:val="20"/>
          <w:szCs w:val="20"/>
          <w:color w:val="auto"/>
        </w:rPr>
      </w:pPr>
      <w:r>
        <w:rPr>
          <w:rFonts w:ascii="Arial" w:cs="Arial" w:eastAsia="Arial" w:hAnsi="Arial"/>
          <w:sz w:val="16"/>
          <w:szCs w:val="16"/>
          <w:color w:val="auto"/>
        </w:rPr>
        <w:t>Exhibit H</w:t>
      </w:r>
    </w:p>
    <w:p>
      <w:pPr>
        <w:spacing w:after="0" w:line="18" w:lineRule="exact"/>
        <w:rPr>
          <w:sz w:val="20"/>
          <w:szCs w:val="20"/>
          <w:color w:val="auto"/>
        </w:rPr>
      </w:pPr>
    </w:p>
    <w:p>
      <w:pPr>
        <w:jc w:val="center"/>
        <w:ind w:right="943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099"/>
          </w:cols>
          <w:pgMar w:left="360" w:top="1347" w:right="1440" w:bottom="1440" w:gutter="0" w:footer="0" w:header="0"/>
        </w:sectPr>
      </w:pPr>
    </w:p>
    <w:bookmarkStart w:id="365" w:name="page366"/>
    <w:bookmarkEnd w:id="365"/>
    <w:p>
      <w:pPr>
        <w:ind w:left="8760"/>
        <w:spacing w:after="0"/>
        <w:rPr>
          <w:sz w:val="20"/>
          <w:szCs w:val="20"/>
          <w:color w:val="auto"/>
        </w:rPr>
      </w:pPr>
      <w:r>
        <w:rPr>
          <w:rFonts w:ascii="Arial" w:cs="Arial" w:eastAsia="Arial" w:hAnsi="Arial"/>
          <w:sz w:val="20"/>
          <w:szCs w:val="20"/>
          <w:color w:val="auto"/>
        </w:rPr>
        <w:t>EXHIBIT H</w:t>
      </w: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Arial" w:cs="Arial" w:eastAsia="Arial" w:hAnsi="Arial"/>
          <w:sz w:val="18"/>
          <w:szCs w:val="18"/>
          <w:u w:val="single" w:color="auto"/>
          <w:color w:val="auto"/>
        </w:rPr>
        <w:t>FORM OF SWINGLINE NOTE</w:t>
      </w:r>
    </w:p>
    <w:p>
      <w:pPr>
        <w:spacing w:after="0" w:line="200" w:lineRule="exact"/>
        <w:rPr>
          <w:sz w:val="20"/>
          <w:szCs w:val="20"/>
          <w:color w:val="auto"/>
        </w:rPr>
      </w:pPr>
    </w:p>
    <w:p>
      <w:pPr>
        <w:spacing w:after="0" w:line="320" w:lineRule="exact"/>
        <w:rPr>
          <w:sz w:val="20"/>
          <w:szCs w:val="20"/>
          <w:color w:val="auto"/>
        </w:rPr>
      </w:pPr>
    </w:p>
    <w:p>
      <w:pPr>
        <w:ind w:left="7700"/>
        <w:spacing w:after="0"/>
        <w:tabs>
          <w:tab w:leader="none" w:pos="8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-1270</wp:posOffset>
            </wp:positionV>
            <wp:extent cx="1168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-19050</wp:posOffset>
            </wp:positionV>
            <wp:extent cx="2914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59" w:lineRule="exact"/>
        <w:rPr>
          <w:sz w:val="20"/>
          <w:szCs w:val="20"/>
          <w:color w:val="auto"/>
        </w:rPr>
      </w:pPr>
    </w:p>
    <w:p>
      <w:pPr>
        <w:jc w:val="both"/>
        <w:ind w:firstLine="1204"/>
        <w:spacing w:after="0" w:line="242" w:lineRule="auto"/>
        <w:rPr>
          <w:sz w:val="20"/>
          <w:szCs w:val="20"/>
          <w:color w:val="auto"/>
        </w:rPr>
      </w:pPr>
      <w:r>
        <w:rPr>
          <w:rFonts w:ascii="Arial" w:cs="Arial" w:eastAsia="Arial" w:hAnsi="Arial"/>
          <w:sz w:val="18"/>
          <w:szCs w:val="18"/>
          <w:color w:val="auto"/>
        </w:rPr>
        <w:t>FOR VALUE RECEIVED,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 ] or its registered assigns (the “</w:t>
      </w:r>
      <w:r>
        <w:rPr>
          <w:rFonts w:ascii="Arial" w:cs="Arial" w:eastAsia="Arial" w:hAnsi="Arial"/>
          <w:sz w:val="18"/>
          <w:szCs w:val="18"/>
          <w:u w:val="single" w:color="auto"/>
          <w:color w:val="auto"/>
        </w:rPr>
        <w:t>Lender</w:t>
      </w:r>
      <w:r>
        <w:rPr>
          <w:rFonts w:ascii="Arial" w:cs="Arial" w:eastAsia="Arial" w:hAnsi="Arial"/>
          <w:sz w:val="18"/>
          <w:szCs w:val="18"/>
          <w:color w:val="auto"/>
        </w:rPr>
        <w:t>”), in Dollars in immediately available funds, at the Payment Office on the Swingline Expiry Date the unpaid principal amount of all Swingline Loans made by the Lender pursuant to the Credit Agreement (as defined below), payable at such times and in such amounts as are specified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-280035</wp:posOffset>
            </wp:positionV>
            <wp:extent cx="1403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140335" cy="8255"/>
                    </a:xfrm>
                    <a:prstGeom prst="rect">
                      <a:avLst/>
                    </a:prstGeom>
                    <a:noFill/>
                  </pic:spPr>
                </pic:pic>
              </a:graphicData>
            </a:graphic>
          </wp:anchor>
        </w:drawing>
      </w:r>
    </w:p>
    <w:p>
      <w:pPr>
        <w:spacing w:after="0" w:line="186" w:lineRule="exact"/>
        <w:rPr>
          <w:sz w:val="20"/>
          <w:szCs w:val="20"/>
          <w:color w:val="auto"/>
        </w:rPr>
      </w:pPr>
    </w:p>
    <w:p>
      <w:pPr>
        <w:jc w:val="both"/>
        <w:ind w:firstLine="1204"/>
        <w:spacing w:after="0" w:line="248" w:lineRule="auto"/>
        <w:rPr>
          <w:sz w:val="20"/>
          <w:szCs w:val="20"/>
          <w:color w:val="auto"/>
        </w:rPr>
      </w:pPr>
      <w:r>
        <w:rPr>
          <w:rFonts w:ascii="Arial" w:cs="Arial" w:eastAsia="Arial" w:hAnsi="Arial"/>
          <w:sz w:val="18"/>
          <w:szCs w:val="18"/>
          <w:color w:val="auto"/>
        </w:rPr>
        <w:t xml:space="preserve">The Borrower also promises to pay interest on the unpaid principal amount of each Swingline Loan made by the Lender in Dollars at said office from the date hereof until paid at the rates and at the times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Credit Agreement.</w:t>
      </w:r>
    </w:p>
    <w:p>
      <w:pPr>
        <w:spacing w:after="0" w:line="261" w:lineRule="exact"/>
        <w:rPr>
          <w:sz w:val="20"/>
          <w:szCs w:val="20"/>
          <w:color w:val="auto"/>
        </w:rPr>
      </w:pPr>
    </w:p>
    <w:p>
      <w:pPr>
        <w:jc w:val="both"/>
        <w:ind w:firstLine="1204"/>
        <w:spacing w:after="0" w:line="236" w:lineRule="auto"/>
        <w:rPr>
          <w:sz w:val="20"/>
          <w:szCs w:val="20"/>
          <w:color w:val="auto"/>
        </w:rPr>
      </w:pPr>
      <w:r>
        <w:rPr>
          <w:rFonts w:ascii="Arial" w:cs="Arial" w:eastAsia="Arial" w:hAnsi="Arial"/>
          <w:sz w:val="18"/>
          <w:szCs w:val="18"/>
          <w:color w:val="auto"/>
        </w:rPr>
        <w:t>This Swingline Note is one of the Swingline Notes referred to in the Amended and Restated Credit and Guaranty Agreement, dated as of July 2, 2021 (as amended, restated, amended and restated, modified, supplemented and/or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have the meanings attributed thereto in the Credit Agreement unless otherwise defined herein), among LegalZoom.com, Inc., a Delaware corporation, the Subsidiary Guarantors from time to time party thereto, the several banks, financial institutions, institutional investors and other entities from time to time party thereto as lenders, and JPMorgan Chase Bank, N.A., as Administrative Agent, and is entitled to the benefits thereof and of the other Loan Documents. This Swingline Note is secured by the Security Documents and is entitled to the benefits of the Guarantee. As provided in the Credit Agreement, this Swingline Note is subject to voluntary prepayment and mandatory repayment prior to the Swingline Expiry Date, in whole or in part.</w:t>
      </w:r>
    </w:p>
    <w:p>
      <w:pPr>
        <w:spacing w:after="0" w:line="212" w:lineRule="exact"/>
        <w:rPr>
          <w:sz w:val="20"/>
          <w:szCs w:val="20"/>
          <w:color w:val="auto"/>
        </w:rPr>
      </w:pPr>
    </w:p>
    <w:p>
      <w:pPr>
        <w:jc w:val="both"/>
        <w:ind w:firstLine="1204"/>
        <w:spacing w:after="0" w:line="293" w:lineRule="auto"/>
        <w:rPr>
          <w:sz w:val="20"/>
          <w:szCs w:val="20"/>
          <w:color w:val="auto"/>
        </w:rPr>
      </w:pPr>
      <w:r>
        <w:rPr>
          <w:rFonts w:ascii="Arial" w:cs="Arial" w:eastAsia="Arial" w:hAnsi="Arial"/>
          <w:sz w:val="17"/>
          <w:szCs w:val="17"/>
          <w:color w:val="auto"/>
        </w:rPr>
        <w:t>In case an Event of Default shall occur and be continuing, the principal of and accrued interest on this Swingline Note may be declared to be due and payable in the manner and with the effect provided in the Credit Agreement.</w:t>
      </w:r>
    </w:p>
    <w:p>
      <w:pPr>
        <w:spacing w:after="0" w:line="15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Borrower hereby waives presentment, demand, protest or notice of any kind in connection with this Swingline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12" w:lineRule="exact"/>
        <w:rPr>
          <w:sz w:val="20"/>
          <w:szCs w:val="20"/>
          <w:color w:val="auto"/>
        </w:rPr>
      </w:pPr>
    </w:p>
    <w:p>
      <w:pPr>
        <w:jc w:val="both"/>
        <w:ind w:firstLine="1204"/>
        <w:spacing w:after="0" w:line="268" w:lineRule="auto"/>
        <w:rPr>
          <w:sz w:val="20"/>
          <w:szCs w:val="20"/>
          <w:color w:val="auto"/>
        </w:rPr>
      </w:pPr>
      <w:r>
        <w:rPr>
          <w:rFonts w:ascii="Arial" w:cs="Arial" w:eastAsia="Arial" w:hAnsi="Arial"/>
          <w:sz w:val="18"/>
          <w:szCs w:val="18"/>
          <w:b w:val="1"/>
          <w:bCs w:val="1"/>
          <w:color w:val="auto"/>
        </w:rPr>
        <w:t>THIS NOTE SHALL BE CONSTRUED IN ACCORDANCE WITH AND BE GOVERNED BY THE LAW OF THE STATE OF NEW YORK</w:t>
      </w:r>
      <w:r>
        <w:rPr>
          <w:rFonts w:ascii="Arial" w:cs="Arial" w:eastAsia="Arial" w:hAnsi="Arial"/>
          <w:sz w:val="18"/>
          <w:szCs w:val="18"/>
          <w:color w:val="auto"/>
        </w:rPr>
        <w:t>.</w:t>
      </w:r>
    </w:p>
    <w:p>
      <w:pPr>
        <w:spacing w:after="0" w:line="18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Exhibit H Page 1</w:t>
      </w:r>
    </w:p>
    <w:p>
      <w:pPr>
        <w:sectPr>
          <w:pgSz w:w="11900" w:h="16838" w:orient="portrait"/>
          <w:cols w:equalWidth="0" w:num="1">
            <w:col w:w="9740"/>
          </w:cols>
          <w:pgMar w:left="1320" w:top="720" w:right="839" w:bottom="1440" w:gutter="0" w:footer="0" w:header="0"/>
        </w:sectPr>
      </w:pPr>
    </w:p>
    <w:bookmarkStart w:id="366" w:name="page367"/>
    <w:bookmarkEnd w:id="366"/>
    <w:p>
      <w:pPr>
        <w:jc w:val="right"/>
        <w:spacing w:after="0"/>
        <w:rPr>
          <w:sz w:val="20"/>
          <w:szCs w:val="20"/>
          <w:color w:val="auto"/>
        </w:rPr>
      </w:pPr>
      <w:r>
        <w:rPr>
          <w:rFonts w:ascii="Arial" w:cs="Arial" w:eastAsia="Arial" w:hAnsi="Arial"/>
          <w:sz w:val="20"/>
          <w:szCs w:val="20"/>
          <w:color w:val="auto"/>
        </w:rPr>
        <w:t>EXHIBIT I</w:t>
      </w:r>
    </w:p>
    <w:p>
      <w:pPr>
        <w:spacing w:after="0" w:line="39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LEGALZOOM.COM,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-8890</wp:posOffset>
            </wp:positionV>
            <wp:extent cx="2336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20"/>
          </w:cols>
          <w:pgMar w:left="1440" w:top="720" w:right="839" w:bottom="1440" w:gutter="0" w:footer="0" w:header="0"/>
        </w:sectPr>
      </w:pPr>
    </w:p>
    <w:bookmarkStart w:id="367" w:name="page368"/>
    <w:bookmarkEnd w:id="367"/>
    <w:p>
      <w:pPr>
        <w:ind w:left="9780"/>
        <w:spacing w:after="0"/>
        <w:rPr>
          <w:sz w:val="20"/>
          <w:szCs w:val="20"/>
          <w:color w:val="auto"/>
        </w:rPr>
      </w:pPr>
      <w:r>
        <w:rPr>
          <w:rFonts w:ascii="Arial" w:cs="Arial" w:eastAsia="Arial" w:hAnsi="Arial"/>
          <w:sz w:val="19"/>
          <w:szCs w:val="19"/>
          <w:color w:val="auto"/>
        </w:rPr>
        <w:t>EXHIBIT J</w:t>
      </w:r>
    </w:p>
    <w:p>
      <w:pPr>
        <w:spacing w:after="0" w:line="200" w:lineRule="exact"/>
        <w:rPr>
          <w:sz w:val="20"/>
          <w:szCs w:val="20"/>
          <w:color w:val="auto"/>
        </w:rPr>
      </w:pP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u w:val="single" w:color="auto"/>
          <w:color w:val="auto"/>
        </w:rPr>
        <w:t>FORM OF NOTICE OF CONVERSION/CONTINUATION</w:t>
      </w:r>
    </w:p>
    <w:p>
      <w:pPr>
        <w:spacing w:after="0" w:line="200" w:lineRule="exact"/>
        <w:rPr>
          <w:sz w:val="20"/>
          <w:szCs w:val="20"/>
          <w:color w:val="auto"/>
        </w:rPr>
      </w:pPr>
    </w:p>
    <w:p>
      <w:pPr>
        <w:spacing w:after="0" w:line="254"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Date</w:t>
      </w:r>
      <w:r>
        <w:rPr>
          <w:rFonts w:ascii="Arial" w:cs="Arial" w:eastAsia="Arial" w:hAnsi="Arial"/>
          <w:sz w:val="16"/>
          <w:szCs w:val="16"/>
          <w:b w:val="1"/>
          <w:bCs w:val="1"/>
          <w:color w:val="auto"/>
        </w:rPr>
        <w:t>]</w:t>
      </w:r>
    </w:p>
    <w:p>
      <w:pPr>
        <w:spacing w:after="0" w:line="334" w:lineRule="exact"/>
        <w:rPr>
          <w:sz w:val="20"/>
          <w:szCs w:val="20"/>
          <w:color w:val="auto"/>
        </w:rPr>
      </w:pPr>
    </w:p>
    <w:p>
      <w:pPr>
        <w:ind w:left="960" w:right="3900"/>
        <w:spacing w:after="0" w:line="293" w:lineRule="auto"/>
        <w:rPr>
          <w:sz w:val="20"/>
          <w:szCs w:val="20"/>
          <w:color w:val="auto"/>
        </w:rPr>
      </w:pPr>
      <w:r>
        <w:rPr>
          <w:rFonts w:ascii="Arial" w:cs="Arial" w:eastAsia="Arial" w:hAnsi="Arial"/>
          <w:sz w:val="17"/>
          <w:szCs w:val="17"/>
          <w:color w:val="auto"/>
        </w:rPr>
        <w:t>JPMorgan Chase Bank, N.A., as Administrative Agent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for the Lenders party to the Credit Agreement referred to below</w:t>
      </w:r>
    </w:p>
    <w:p>
      <w:pPr>
        <w:spacing w:after="0" w:line="150" w:lineRule="exact"/>
        <w:rPr>
          <w:sz w:val="20"/>
          <w:szCs w:val="20"/>
          <w:color w:val="auto"/>
        </w:rPr>
      </w:pPr>
    </w:p>
    <w:p>
      <w:pPr>
        <w:ind w:left="960"/>
        <w:spacing w:after="0"/>
        <w:tabs>
          <w:tab w:leader="none" w:pos="1180" w:val="left"/>
        </w:tabs>
        <w:rPr>
          <w:sz w:val="20"/>
          <w:szCs w:val="20"/>
          <w:color w:val="auto"/>
        </w:rPr>
      </w:pP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-8890</wp:posOffset>
            </wp:positionV>
            <wp:extent cx="1168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ind w:left="960"/>
        <w:spacing w:after="0"/>
        <w:tabs>
          <w:tab w:leader="none" w:pos="1980" w:val="left"/>
          <w:tab w:leader="none" w:pos="2660" w:val="left"/>
        </w:tabs>
        <w:rPr>
          <w:sz w:val="20"/>
          <w:szCs w:val="20"/>
          <w:color w:val="auto"/>
        </w:rPr>
      </w:pPr>
      <w:r>
        <w:rPr>
          <w:rFonts w:ascii="Arial" w:cs="Arial" w:eastAsia="Arial" w:hAnsi="Arial"/>
          <w:sz w:val="18"/>
          <w:szCs w:val="18"/>
          <w:color w:val="auto"/>
        </w:rPr>
        <w:t>Attention: [</w:t>
        <w:tab/>
        <w:t>] Tel: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-19050</wp:posOffset>
            </wp:positionV>
            <wp:extent cx="1168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-19050</wp:posOffset>
            </wp:positionV>
            <wp:extent cx="1168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Ladies and Gentlemen:</w:t>
      </w:r>
    </w:p>
    <w:p>
      <w:pPr>
        <w:spacing w:after="0" w:line="232" w:lineRule="exact"/>
        <w:rPr>
          <w:sz w:val="20"/>
          <w:szCs w:val="20"/>
          <w:color w:val="auto"/>
        </w:rPr>
      </w:pPr>
    </w:p>
    <w:p>
      <w:pPr>
        <w:jc w:val="both"/>
        <w:ind w:left="960" w:firstLine="1204"/>
        <w:spacing w:after="0" w:line="236" w:lineRule="auto"/>
        <w:rPr>
          <w:sz w:val="20"/>
          <w:szCs w:val="20"/>
          <w:color w:val="auto"/>
        </w:rPr>
      </w:pPr>
      <w:r>
        <w:rPr>
          <w:rFonts w:ascii="Arial" w:cs="Arial" w:eastAsia="Arial" w:hAnsi="Arial"/>
          <w:sz w:val="18"/>
          <w:szCs w:val="18"/>
          <w:color w:val="auto"/>
        </w:rPr>
        <w:t>The undersigned, Borrower (as defined below) refers to the Amended and Restated Credit and Guaranty Agreement, dated as of July 2, 2021 (as amended, restated, amended and restated, modified, supplemented and/or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have the meanings attributed thereto in the Credit Agreement unless otherwise defined herein), among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you, as Administrative Agent, and hereby give you notice, irrevocably, pursuant to Section 2.7 of the Credit Agreement, that the undersigned hereby requests to [convert] [continue] the Borrowing of [Revolving Loans][</w:t>
      </w:r>
      <w:r>
        <w:rPr>
          <w:rFonts w:ascii="Arial" w:cs="Arial" w:eastAsia="Arial" w:hAnsi="Arial"/>
          <w:sz w:val="18"/>
          <w:szCs w:val="18"/>
          <w:i w:val="1"/>
          <w:iCs w:val="1"/>
          <w:color w:val="auto"/>
        </w:rPr>
        <w:t>specify other Tranche</w:t>
      </w:r>
      <w:r>
        <w:rPr>
          <w:rFonts w:ascii="Arial" w:cs="Arial" w:eastAsia="Arial" w:hAnsi="Arial"/>
          <w:sz w:val="18"/>
          <w:szCs w:val="18"/>
          <w:color w:val="auto"/>
        </w:rPr>
        <w:t>] referred to below, and in that connection sets forth below the information relating to such [conversion] [continuation] (the “</w:t>
      </w:r>
      <w:r>
        <w:rPr>
          <w:rFonts w:ascii="Arial" w:cs="Arial" w:eastAsia="Arial" w:hAnsi="Arial"/>
          <w:sz w:val="18"/>
          <w:szCs w:val="18"/>
          <w:u w:val="single" w:color="auto"/>
          <w:color w:val="auto"/>
        </w:rPr>
        <w:t>Proposed [Conversion] [Continuation]</w:t>
      </w:r>
      <w:r>
        <w:rPr>
          <w:rFonts w:ascii="Arial" w:cs="Arial" w:eastAsia="Arial" w:hAnsi="Arial"/>
          <w:sz w:val="18"/>
          <w:szCs w:val="18"/>
          <w:color w:val="auto"/>
        </w:rPr>
        <w:t>”) as required by Section 2.7 of the Credit Agreement:</w:t>
      </w:r>
    </w:p>
    <w:p>
      <w:pPr>
        <w:spacing w:after="0" w:line="272"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(i) The Proposed [Conversion] [Continuation] relates to the Borrowing of [Revolving Loans][</w:t>
      </w:r>
      <w:r>
        <w:rPr>
          <w:rFonts w:ascii="Arial" w:cs="Arial" w:eastAsia="Arial" w:hAnsi="Arial"/>
          <w:sz w:val="17"/>
          <w:szCs w:val="17"/>
          <w:i w:val="1"/>
          <w:iCs w:val="1"/>
          <w:color w:val="auto"/>
        </w:rPr>
        <w:t>specify other Tranche</w:t>
      </w:r>
      <w:r>
        <w:rPr>
          <w:rFonts w:ascii="Arial" w:cs="Arial" w:eastAsia="Arial" w:hAnsi="Arial"/>
          <w:sz w:val="17"/>
          <w:szCs w:val="17"/>
          <w:color w:val="auto"/>
        </w:rPr>
        <w:t>]</w:t>
      </w:r>
    </w:p>
    <w:p>
      <w:pPr>
        <w:spacing w:after="0" w:line="3"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1460" w:type="dxa"/>
            <w:vAlign w:val="bottom"/>
            <w:gridSpan w:val="4"/>
          </w:tcPr>
          <w:p>
            <w:pPr>
              <w:spacing w:after="0"/>
              <w:rPr>
                <w:sz w:val="20"/>
                <w:szCs w:val="20"/>
                <w:color w:val="auto"/>
              </w:rPr>
            </w:pPr>
            <w:r>
              <w:rPr>
                <w:rFonts w:ascii="Arial" w:cs="Arial" w:eastAsia="Arial" w:hAnsi="Arial"/>
                <w:sz w:val="18"/>
                <w:szCs w:val="18"/>
                <w:color w:val="auto"/>
                <w:w w:val="98"/>
              </w:rPr>
              <w:t>originally made 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gridSpan w:val="10"/>
          </w:tcPr>
          <w:p>
            <w:pPr>
              <w:spacing w:after="0"/>
              <w:rPr>
                <w:sz w:val="20"/>
                <w:szCs w:val="20"/>
                <w:color w:val="auto"/>
              </w:rPr>
            </w:pPr>
            <w:r>
              <w:rPr>
                <w:rFonts w:ascii="Arial" w:cs="Arial" w:eastAsia="Arial" w:hAnsi="Arial"/>
                <w:sz w:val="18"/>
                <w:szCs w:val="18"/>
                <w:color w:val="auto"/>
              </w:rPr>
              <w:t>, 20 (the “Outstanding Borrowing”) in the principal amount of [$][€]</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w w:val="96"/>
              </w:rPr>
              <w:t>and currently maintained as a</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60" w:type="dxa"/>
            <w:vAlign w:val="bottom"/>
            <w:gridSpan w:val="12"/>
          </w:tcPr>
          <w:p>
            <w:pPr>
              <w:spacing w:after="0" w:line="193" w:lineRule="exact"/>
              <w:rPr>
                <w:sz w:val="20"/>
                <w:szCs w:val="20"/>
                <w:color w:val="auto"/>
              </w:rPr>
            </w:pPr>
            <w:r>
              <w:rPr>
                <w:rFonts w:ascii="Arial" w:cs="Arial" w:eastAsia="Arial" w:hAnsi="Arial"/>
                <w:sz w:val="18"/>
                <w:szCs w:val="18"/>
                <w:color w:val="auto"/>
                <w:w w:val="93"/>
              </w:rPr>
              <w:t>Borrowing of [Base Rate Loans]</w:t>
            </w:r>
            <w:r>
              <w:rPr>
                <w:rFonts w:ascii="Arial" w:cs="Arial" w:eastAsia="Arial" w:hAnsi="Arial"/>
                <w:sz w:val="22"/>
                <w:szCs w:val="22"/>
                <w:color w:val="auto"/>
                <w:w w:val="93"/>
                <w:vertAlign w:val="superscript"/>
              </w:rPr>
              <w:t>1</w:t>
            </w:r>
            <w:r>
              <w:rPr>
                <w:rFonts w:ascii="Arial" w:cs="Arial" w:eastAsia="Arial" w:hAnsi="Arial"/>
                <w:sz w:val="18"/>
                <w:szCs w:val="18"/>
                <w:color w:val="auto"/>
                <w:w w:val="93"/>
              </w:rPr>
              <w:t xml:space="preserve"> [Fixed Rate Loans with an Interest Period ending on</w:t>
            </w:r>
          </w:p>
        </w:tc>
        <w:tc>
          <w:tcPr>
            <w:tcW w:w="360" w:type="dxa"/>
            <w:vAlign w:val="bottom"/>
            <w:tcBorders>
              <w:bottom w:val="single" w:sz="8" w:color="auto"/>
            </w:tcBorders>
          </w:tcPr>
          <w:p>
            <w:pPr>
              <w:spacing w:after="0"/>
              <w:rPr>
                <w:sz w:val="16"/>
                <w:szCs w:val="16"/>
                <w:color w:val="auto"/>
              </w:rPr>
            </w:pPr>
          </w:p>
        </w:tc>
        <w:tc>
          <w:tcPr>
            <w:tcW w:w="400" w:type="dxa"/>
            <w:vAlign w:val="bottom"/>
            <w:gridSpan w:val="2"/>
          </w:tcPr>
          <w:p>
            <w:pPr>
              <w:jc w:val="right"/>
              <w:ind w:right="200"/>
              <w:spacing w:after="0" w:line="193" w:lineRule="exact"/>
              <w:rPr>
                <w:sz w:val="20"/>
                <w:szCs w:val="20"/>
                <w:color w:val="auto"/>
              </w:rPr>
            </w:pPr>
            <w:r>
              <w:rPr>
                <w:rFonts w:ascii="Arial" w:cs="Arial" w:eastAsia="Arial" w:hAnsi="Arial"/>
                <w:sz w:val="18"/>
                <w:szCs w:val="18"/>
                <w:color w:val="auto"/>
                <w:w w:val="89"/>
              </w:rPr>
              <w:t>,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40" w:type="dxa"/>
            <w:vAlign w:val="bottom"/>
            <w:gridSpan w:val="3"/>
            <w:vMerge w:val="restart"/>
          </w:tcPr>
          <w:p>
            <w:pPr>
              <w:ind w:left="180"/>
              <w:spacing w:after="0"/>
              <w:rPr>
                <w:sz w:val="20"/>
                <w:szCs w:val="20"/>
                <w:color w:val="auto"/>
              </w:rPr>
            </w:pPr>
            <w:r>
              <w:rPr>
                <w:rFonts w:ascii="Arial" w:cs="Arial" w:eastAsia="Arial" w:hAnsi="Arial"/>
                <w:sz w:val="36"/>
                <w:szCs w:val="36"/>
                <w:color w:val="auto"/>
                <w:vertAlign w:val="subscript"/>
              </w:rPr>
              <w:t>.</w:t>
            </w:r>
            <w:r>
              <w:rPr>
                <w:rFonts w:ascii="Arial" w:cs="Arial" w:eastAsia="Arial" w:hAnsi="Arial"/>
                <w:sz w:val="12"/>
                <w:szCs w:val="12"/>
                <w:color w:val="auto"/>
              </w:rPr>
              <w:t>2</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(ii)</w:t>
            </w:r>
          </w:p>
        </w:tc>
        <w:tc>
          <w:tcPr>
            <w:tcW w:w="120" w:type="dxa"/>
            <w:vAlign w:val="bottom"/>
          </w:tcPr>
          <w:p>
            <w:pPr>
              <w:spacing w:after="0"/>
              <w:rPr>
                <w:sz w:val="24"/>
                <w:szCs w:val="24"/>
                <w:color w:val="auto"/>
              </w:rPr>
            </w:pPr>
          </w:p>
        </w:tc>
        <w:tc>
          <w:tcPr>
            <w:tcW w:w="4960" w:type="dxa"/>
            <w:vAlign w:val="bottom"/>
            <w:gridSpan w:val="7"/>
          </w:tcPr>
          <w:p>
            <w:pPr>
              <w:ind w:left="40"/>
              <w:spacing w:after="0"/>
              <w:rPr>
                <w:sz w:val="20"/>
                <w:szCs w:val="20"/>
                <w:color w:val="auto"/>
              </w:rPr>
            </w:pPr>
            <w:r>
              <w:rPr>
                <w:rFonts w:ascii="Arial" w:cs="Arial" w:eastAsia="Arial" w:hAnsi="Arial"/>
                <w:sz w:val="18"/>
                <w:szCs w:val="18"/>
                <w:color w:val="auto"/>
                <w:w w:val="94"/>
              </w:rPr>
              <w:t>The Business Day of the Proposed [Conversion] [Continuation] is</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gridSpan w:val="3"/>
            <w:vMerge w:val="continue"/>
          </w:tcPr>
          <w:p>
            <w:pPr>
              <w:spacing w:after="0"/>
              <w:rPr>
                <w:sz w:val="15"/>
                <w:szCs w:val="15"/>
                <w:color w:val="auto"/>
              </w:rPr>
            </w:pPr>
          </w:p>
        </w:tc>
        <w:tc>
          <w:tcPr>
            <w:tcW w:w="1300" w:type="dxa"/>
            <w:vAlign w:val="bottom"/>
            <w:gridSpan w:val="2"/>
            <w:vMerge w:val="restart"/>
          </w:tcPr>
          <w:p>
            <w:pPr>
              <w:ind w:left="860"/>
              <w:spacing w:after="0"/>
              <w:rPr>
                <w:sz w:val="20"/>
                <w:szCs w:val="20"/>
                <w:color w:val="auto"/>
              </w:rPr>
            </w:pPr>
            <w:r>
              <w:rPr>
                <w:rFonts w:ascii="Arial" w:cs="Arial" w:eastAsia="Arial" w:hAnsi="Arial"/>
                <w:sz w:val="18"/>
                <w:szCs w:val="18"/>
                <w:color w:val="auto"/>
              </w:rPr>
              <w:t>[(iii)</w:t>
            </w:r>
          </w:p>
        </w:tc>
        <w:tc>
          <w:tcPr>
            <w:tcW w:w="8100" w:type="dxa"/>
            <w:vAlign w:val="bottom"/>
            <w:gridSpan w:val="13"/>
            <w:vMerge w:val="restart"/>
          </w:tcPr>
          <w:p>
            <w:pPr>
              <w:ind w:left="80"/>
              <w:spacing w:after="0"/>
              <w:rPr>
                <w:sz w:val="20"/>
                <w:szCs w:val="20"/>
                <w:color w:val="auto"/>
              </w:rPr>
            </w:pPr>
            <w:r>
              <w:rPr>
                <w:rFonts w:ascii="Arial" w:cs="Arial" w:eastAsia="Arial" w:hAnsi="Arial"/>
                <w:sz w:val="18"/>
                <w:szCs w:val="18"/>
                <w:color w:val="auto"/>
                <w:w w:val="94"/>
              </w:rPr>
              <w:t>The Outstanding Borrowing shall be [continued as a Borrowing of Fixed Rate Loans with an Interest Period</w:t>
            </w:r>
          </w:p>
        </w:tc>
        <w:tc>
          <w:tcPr>
            <w:tcW w:w="0" w:type="dxa"/>
            <w:vAlign w:val="bottom"/>
          </w:tcPr>
          <w:p>
            <w:pPr>
              <w:spacing w:after="0"/>
              <w:rPr>
                <w:sz w:val="1"/>
                <w:szCs w:val="1"/>
                <w:color w:val="auto"/>
              </w:rPr>
            </w:pPr>
          </w:p>
        </w:tc>
      </w:tr>
      <w:tr>
        <w:trPr>
          <w:trHeight w:val="478"/>
        </w:trPr>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8100" w:type="dxa"/>
            <w:vAlign w:val="bottom"/>
            <w:gridSpan w:val="1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20" w:type="dxa"/>
            <w:vAlign w:val="bottom"/>
            <w:gridSpan w:val="13"/>
          </w:tcPr>
          <w:p>
            <w:pPr>
              <w:spacing w:after="0" w:line="204" w:lineRule="exact"/>
              <w:rPr>
                <w:sz w:val="20"/>
                <w:szCs w:val="20"/>
                <w:color w:val="auto"/>
              </w:rPr>
            </w:pPr>
            <w:r>
              <w:rPr>
                <w:rFonts w:ascii="Arial" w:cs="Arial" w:eastAsia="Arial" w:hAnsi="Arial"/>
                <w:sz w:val="18"/>
                <w:szCs w:val="18"/>
                <w:color w:val="auto"/>
              </w:rPr>
              <w:t>of  ] [converted into a Borrowing of [Base Rate Loans]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[Fixed Rate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80" w:type="dxa"/>
            <w:vAlign w:val="bottom"/>
            <w:gridSpan w:val="2"/>
            <w:vMerge w:val="restart"/>
          </w:tcPr>
          <w:p>
            <w:pPr>
              <w:jc w:val="right"/>
              <w:ind w:right="660"/>
              <w:spacing w:after="0" w:line="201" w:lineRule="exact"/>
              <w:rPr>
                <w:sz w:val="20"/>
                <w:szCs w:val="20"/>
                <w:color w:val="auto"/>
              </w:rPr>
            </w:pPr>
            <w:r>
              <w:rPr>
                <w:rFonts w:ascii="Arial" w:cs="Arial" w:eastAsia="Arial" w:hAnsi="Arial"/>
                <w:sz w:val="18"/>
                <w:szCs w:val="18"/>
                <w:color w:val="auto"/>
                <w:w w:val="84"/>
              </w:rPr>
              <w:t>].]</w:t>
            </w:r>
            <w:r>
              <w:rPr>
                <w:rFonts w:ascii="Arial" w:cs="Arial" w:eastAsia="Arial" w:hAnsi="Arial"/>
                <w:sz w:val="23"/>
                <w:szCs w:val="23"/>
                <w:color w:val="auto"/>
                <w:w w:val="84"/>
                <w:vertAlign w:val="superscript"/>
              </w:rPr>
              <w:t>4</w:t>
            </w: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40" w:type="dxa"/>
            <w:vAlign w:val="bottom"/>
            <w:gridSpan w:val="8"/>
          </w:tcPr>
          <w:p>
            <w:pPr>
              <w:spacing w:after="0" w:line="181" w:lineRule="exact"/>
              <w:rPr>
                <w:sz w:val="20"/>
                <w:szCs w:val="20"/>
                <w:color w:val="auto"/>
              </w:rPr>
            </w:pPr>
            <w:r>
              <w:rPr>
                <w:rFonts w:ascii="Arial" w:cs="Arial" w:eastAsia="Arial" w:hAnsi="Arial"/>
                <w:sz w:val="18"/>
                <w:szCs w:val="18"/>
                <w:color w:val="auto"/>
              </w:rPr>
              <w:t>Loans  with  an  Interest  Period  of</w:t>
            </w:r>
          </w:p>
        </w:tc>
        <w:tc>
          <w:tcPr>
            <w:tcW w:w="240" w:type="dxa"/>
            <w:vAlign w:val="bottom"/>
            <w:tcBorders>
              <w:bottom w:val="single" w:sz="8" w:color="auto"/>
            </w:tcBorders>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4907280</wp:posOffset>
            </wp:positionH>
            <wp:positionV relativeFrom="paragraph">
              <wp:posOffset>-1034415</wp:posOffset>
            </wp:positionV>
            <wp:extent cx="292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2921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294640</wp:posOffset>
            </wp:positionV>
            <wp:extent cx="15284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hanging="197"/>
        <w:spacing w:after="0"/>
        <w:tabs>
          <w:tab w:leader="none" w:pos="1160" w:val="left"/>
        </w:tabs>
        <w:numPr>
          <w:ilvl w:val="0"/>
          <w:numId w:val="369"/>
        </w:numPr>
        <w:rPr>
          <w:rFonts w:ascii="Arial" w:cs="Arial" w:eastAsia="Arial" w:hAnsi="Arial"/>
          <w:sz w:val="13"/>
          <w:szCs w:val="13"/>
          <w:color w:val="auto"/>
        </w:rPr>
      </w:pPr>
      <w:r>
        <w:rPr>
          <w:rFonts w:ascii="Arial" w:cs="Arial" w:eastAsia="Arial" w:hAnsi="Arial"/>
          <w:sz w:val="17"/>
          <w:szCs w:val="17"/>
          <w:color w:val="auto"/>
        </w:rPr>
        <w:t>Only Dollar Denominated Loans may be converted or continued as Base Rate Loans.</w:t>
      </w:r>
    </w:p>
    <w:p>
      <w:pPr>
        <w:spacing w:after="0" w:line="7" w:lineRule="exact"/>
        <w:rPr>
          <w:sz w:val="20"/>
          <w:szCs w:val="20"/>
          <w:color w:val="auto"/>
        </w:rPr>
      </w:pPr>
    </w:p>
    <w:p>
      <w:pPr>
        <w:ind w:left="1260" w:right="340" w:hanging="297"/>
        <w:spacing w:after="0" w:line="224" w:lineRule="auto"/>
        <w:tabs>
          <w:tab w:leader="none" w:pos="1177" w:val="left"/>
        </w:tabs>
        <w:numPr>
          <w:ilvl w:val="0"/>
          <w:numId w:val="370"/>
        </w:numPr>
        <w:rPr>
          <w:rFonts w:ascii="Arial" w:cs="Arial" w:eastAsia="Arial" w:hAnsi="Arial"/>
          <w:sz w:val="20"/>
          <w:szCs w:val="20"/>
          <w:color w:val="auto"/>
          <w:vertAlign w:val="superscript"/>
        </w:rPr>
      </w:pPr>
      <w:r>
        <w:rPr>
          <w:rFonts w:ascii="Arial" w:cs="Arial" w:eastAsia="Arial" w:hAnsi="Arial"/>
          <w:sz w:val="15"/>
          <w:szCs w:val="15"/>
          <w:color w:val="auto"/>
        </w:rPr>
        <w:t xml:space="preserve">With respect to Base Rate Loans into LIBOR Loans, shall be a Business Day at least three (3) Business Days after the date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notice shall be deemed to have been given on a certain day only if given before 11:00 A.M. (New York City time) on</w:t>
      </w:r>
    </w:p>
    <w:p>
      <w:pPr>
        <w:spacing w:after="0" w:line="1" w:lineRule="exact"/>
        <w:rPr>
          <w:sz w:val="20"/>
          <w:szCs w:val="20"/>
          <w:color w:val="auto"/>
        </w:rPr>
      </w:pPr>
    </w:p>
    <w:p>
      <w:pPr>
        <w:ind w:left="1260" w:right="580"/>
        <w:spacing w:after="0" w:line="245" w:lineRule="auto"/>
        <w:rPr>
          <w:sz w:val="20"/>
          <w:szCs w:val="20"/>
          <w:color w:val="auto"/>
        </w:rPr>
      </w:pPr>
      <w:r>
        <w:rPr>
          <w:rFonts w:ascii="Arial" w:cs="Arial" w:eastAsia="Arial" w:hAnsi="Arial"/>
          <w:sz w:val="16"/>
          <w:szCs w:val="16"/>
          <w:color w:val="auto"/>
        </w:rPr>
        <w:t xml:space="preserve">such day. With respect to LIBOR Loans into Base Rate Loans, shall be on the same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notice shall be deemed to have been given on a certain day only if given before 11:00 A.M. (New York City time).</w:t>
      </w:r>
    </w:p>
    <w:p>
      <w:pPr>
        <w:ind w:left="1180" w:hanging="217"/>
        <w:spacing w:after="0" w:line="187" w:lineRule="auto"/>
        <w:tabs>
          <w:tab w:leader="none" w:pos="1180" w:val="left"/>
        </w:tabs>
        <w:numPr>
          <w:ilvl w:val="0"/>
          <w:numId w:val="371"/>
        </w:numPr>
        <w:rPr>
          <w:rFonts w:ascii="Arial" w:cs="Arial" w:eastAsia="Arial" w:hAnsi="Arial"/>
          <w:sz w:val="21"/>
          <w:szCs w:val="21"/>
          <w:color w:val="auto"/>
          <w:vertAlign w:val="superscript"/>
        </w:rPr>
      </w:pPr>
      <w:r>
        <w:rPr>
          <w:rFonts w:ascii="Arial" w:cs="Arial" w:eastAsia="Arial" w:hAnsi="Arial"/>
          <w:sz w:val="16"/>
          <w:szCs w:val="16"/>
          <w:color w:val="auto"/>
        </w:rPr>
        <w:t>Only Dollar Denominated Loans may be converted or continued as Base Rate Loans.</w:t>
      </w:r>
    </w:p>
    <w:p>
      <w:pPr>
        <w:ind w:left="1260" w:right="80" w:hanging="297"/>
        <w:spacing w:after="0" w:line="214" w:lineRule="auto"/>
        <w:tabs>
          <w:tab w:leader="none" w:pos="1180" w:val="left"/>
        </w:tabs>
        <w:numPr>
          <w:ilvl w:val="0"/>
          <w:numId w:val="372"/>
        </w:numPr>
        <w:rPr>
          <w:rFonts w:ascii="Arial" w:cs="Arial" w:eastAsia="Arial" w:hAnsi="Arial"/>
          <w:sz w:val="22"/>
          <w:szCs w:val="22"/>
          <w:color w:val="auto"/>
          <w:vertAlign w:val="superscript"/>
        </w:rPr>
      </w:pPr>
      <w:r>
        <w:rPr>
          <w:rFonts w:ascii="Arial" w:cs="Arial" w:eastAsia="Arial" w:hAnsi="Arial"/>
          <w:sz w:val="17"/>
          <w:szCs w:val="17"/>
          <w:color w:val="auto"/>
        </w:rPr>
        <w:t>In the event that either (x) only a portion of the outstanding Borrowing is to be so converted or continued or (y) the outstanding Borrowing is to be divided into separate Borrowings with different Interest Periods, the Borrower should make appropriate modifications to this clause to reflect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351155</wp:posOffset>
            </wp:positionV>
            <wp:extent cx="485775" cy="294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485775" cy="2946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0100"/>
        <w:spacing w:after="0"/>
        <w:rPr>
          <w:sz w:val="20"/>
          <w:szCs w:val="20"/>
          <w:color w:val="auto"/>
        </w:rPr>
      </w:pPr>
      <w:r>
        <w:rPr>
          <w:rFonts w:ascii="Arial" w:cs="Arial" w:eastAsia="Arial" w:hAnsi="Arial"/>
          <w:sz w:val="15"/>
          <w:szCs w:val="15"/>
          <w:color w:val="auto"/>
        </w:rPr>
        <w:t>Exhibit J</w:t>
      </w:r>
    </w:p>
    <w:p>
      <w:pPr>
        <w:spacing w:after="0" w:line="30" w:lineRule="exact"/>
        <w:rPr>
          <w:sz w:val="20"/>
          <w:szCs w:val="20"/>
          <w:color w:val="auto"/>
        </w:rPr>
      </w:pPr>
    </w:p>
    <w:p>
      <w:pPr>
        <w:jc w:val="center"/>
        <w:ind w:right="1010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00"/>
          </w:cols>
          <w:pgMar w:left="360" w:top="720" w:right="839" w:bottom="1440" w:gutter="0" w:footer="0" w:header="0"/>
        </w:sectPr>
      </w:pPr>
    </w:p>
    <w:bookmarkStart w:id="368" w:name="page369"/>
    <w:bookmarkEnd w:id="368"/>
    <w:p>
      <w:pPr>
        <w:ind w:left="2160"/>
        <w:spacing w:after="0"/>
        <w:rPr>
          <w:sz w:val="20"/>
          <w:szCs w:val="20"/>
          <w:color w:val="auto"/>
        </w:rPr>
      </w:pPr>
      <w:r>
        <w:rPr>
          <w:rFonts w:ascii="Arial" w:cs="Arial" w:eastAsia="Arial" w:hAnsi="Arial"/>
          <w:sz w:val="16"/>
          <w:szCs w:val="16"/>
          <w:color w:val="auto"/>
        </w:rPr>
        <w:t>[The undersigned hereby certifies that no Default or Event of Default is in existence on the date of the Proposed</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Conversion.]</w:t>
      </w:r>
      <w:r>
        <w:rPr>
          <w:rFonts w:ascii="Arial" w:cs="Arial" w:eastAsia="Arial" w:hAnsi="Arial"/>
          <w:sz w:val="23"/>
          <w:szCs w:val="23"/>
          <w:color w:val="auto"/>
          <w:vertAlign w:val="superscript"/>
        </w:rPr>
        <w:t>1</w:t>
      </w:r>
    </w:p>
    <w:p>
      <w:pPr>
        <w:spacing w:after="0" w:line="164" w:lineRule="exact"/>
        <w:rPr>
          <w:sz w:val="20"/>
          <w:szCs w:val="20"/>
          <w:color w:val="auto"/>
        </w:rPr>
      </w:pPr>
    </w:p>
    <w:p>
      <w:pPr>
        <w:ind w:left="960" w:firstLine="1204"/>
        <w:spacing w:after="0" w:line="266" w:lineRule="auto"/>
        <w:rPr>
          <w:sz w:val="20"/>
          <w:szCs w:val="20"/>
          <w:color w:val="auto"/>
        </w:rPr>
      </w:pPr>
      <w:r>
        <w:rPr>
          <w:rFonts w:ascii="Arial" w:cs="Arial" w:eastAsia="Arial" w:hAnsi="Arial"/>
          <w:sz w:val="18"/>
          <w:szCs w:val="18"/>
          <w:color w:val="auto"/>
        </w:rPr>
        <w:t>[The undersigned hereby certifies that no Event of Default has occurred and will be continuing on the date of the Proposed Continuation.]</w:t>
      </w:r>
      <w:r>
        <w:rPr>
          <w:rFonts w:ascii="Arial" w:cs="Arial" w:eastAsia="Arial" w:hAnsi="Arial"/>
          <w:sz w:val="23"/>
          <w:szCs w:val="23"/>
          <w:color w:val="auto"/>
          <w:vertAlign w:val="superscript"/>
        </w:rPr>
        <w:t>2</w:t>
      </w:r>
    </w:p>
    <w:p>
      <w:pPr>
        <w:spacing w:after="0" w:line="3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Very truly yours,</w:t>
      </w:r>
    </w:p>
    <w:p>
      <w:pPr>
        <w:spacing w:after="0" w:line="21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LEGALZOOM.COM, INC.</w:t>
      </w:r>
    </w:p>
    <w:p>
      <w:pPr>
        <w:spacing w:after="0" w:line="200" w:lineRule="exact"/>
        <w:rPr>
          <w:sz w:val="20"/>
          <w:szCs w:val="20"/>
          <w:color w:val="auto"/>
        </w:rPr>
      </w:pPr>
    </w:p>
    <w:p>
      <w:pPr>
        <w:spacing w:after="0" w:line="400" w:lineRule="exact"/>
        <w:rPr>
          <w:sz w:val="20"/>
          <w:szCs w:val="20"/>
          <w:color w:val="auto"/>
        </w:rPr>
      </w:pPr>
    </w:p>
    <w:p>
      <w:pPr>
        <w:ind w:left="488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-8890</wp:posOffset>
            </wp:positionV>
            <wp:extent cx="2336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4591050</wp:posOffset>
            </wp:positionV>
            <wp:extent cx="15284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right="160" w:hanging="298"/>
        <w:spacing w:after="0" w:line="208" w:lineRule="auto"/>
        <w:tabs>
          <w:tab w:leader="none" w:pos="1180" w:val="left"/>
        </w:tabs>
        <w:numPr>
          <w:ilvl w:val="0"/>
          <w:numId w:val="373"/>
        </w:numPr>
        <w:rPr>
          <w:rFonts w:ascii="Arial" w:cs="Arial" w:eastAsia="Arial" w:hAnsi="Arial"/>
          <w:sz w:val="22"/>
          <w:szCs w:val="22"/>
          <w:color w:val="auto"/>
          <w:vertAlign w:val="superscript"/>
        </w:rPr>
      </w:pPr>
      <w:r>
        <w:rPr>
          <w:rFonts w:ascii="Arial" w:cs="Arial" w:eastAsia="Arial" w:hAnsi="Arial"/>
          <w:sz w:val="17"/>
          <w:szCs w:val="17"/>
          <w:color w:val="auto"/>
        </w:rPr>
        <w:t>In the case of a Proposed Conversion, insert this sentence only in the event that the conversion is from a Base Rate Loan to a Fixed Rate Loan.</w:t>
      </w:r>
    </w:p>
    <w:p>
      <w:pPr>
        <w:ind w:left="1180" w:hanging="217"/>
        <w:spacing w:after="0" w:line="190" w:lineRule="auto"/>
        <w:tabs>
          <w:tab w:leader="none" w:pos="1180" w:val="left"/>
        </w:tabs>
        <w:numPr>
          <w:ilvl w:val="0"/>
          <w:numId w:val="374"/>
        </w:numPr>
        <w:rPr>
          <w:rFonts w:ascii="Arial" w:cs="Arial" w:eastAsia="Arial" w:hAnsi="Arial"/>
          <w:sz w:val="22"/>
          <w:szCs w:val="22"/>
          <w:color w:val="auto"/>
          <w:vertAlign w:val="superscript"/>
        </w:rPr>
      </w:pPr>
      <w:r>
        <w:rPr>
          <w:rFonts w:ascii="Arial" w:cs="Arial" w:eastAsia="Arial" w:hAnsi="Arial"/>
          <w:sz w:val="17"/>
          <w:szCs w:val="17"/>
          <w:color w:val="auto"/>
        </w:rPr>
        <w:t>In the case of a Proposed Continuation, insert this sentence only in the case of a continuation of a Fixed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350520</wp:posOffset>
            </wp:positionV>
            <wp:extent cx="485775" cy="294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485775" cy="2946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9860"/>
        <w:spacing w:after="0"/>
        <w:rPr>
          <w:sz w:val="20"/>
          <w:szCs w:val="20"/>
          <w:color w:val="auto"/>
        </w:rPr>
      </w:pPr>
      <w:r>
        <w:rPr>
          <w:rFonts w:ascii="Arial" w:cs="Arial" w:eastAsia="Arial" w:hAnsi="Arial"/>
          <w:sz w:val="15"/>
          <w:szCs w:val="15"/>
          <w:color w:val="auto"/>
        </w:rPr>
        <w:t>Exhibit J</w:t>
      </w:r>
    </w:p>
    <w:p>
      <w:pPr>
        <w:spacing w:after="0" w:line="30" w:lineRule="exact"/>
        <w:rPr>
          <w:sz w:val="20"/>
          <w:szCs w:val="20"/>
          <w:color w:val="auto"/>
        </w:rPr>
      </w:pPr>
    </w:p>
    <w:p>
      <w:pPr>
        <w:jc w:val="center"/>
        <w:ind w:right="986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460"/>
          </w:cols>
          <w:pgMar w:left="360" w:top="1326" w:right="1079" w:bottom="1440" w:gutter="0" w:footer="0" w:header="0"/>
        </w:sectPr>
      </w:pPr>
    </w:p>
    <w:bookmarkStart w:id="369" w:name="page370"/>
    <w:bookmarkEnd w:id="369"/>
    <w:p>
      <w:pPr>
        <w:jc w:val="right"/>
        <w:spacing w:after="0"/>
        <w:rPr>
          <w:sz w:val="20"/>
          <w:szCs w:val="20"/>
          <w:color w:val="auto"/>
        </w:rPr>
      </w:pPr>
      <w:r>
        <w:rPr>
          <w:rFonts w:ascii="Arial" w:cs="Arial" w:eastAsia="Arial" w:hAnsi="Arial"/>
          <w:sz w:val="20"/>
          <w:szCs w:val="20"/>
          <w:color w:val="auto"/>
        </w:rPr>
        <w:t>EXHIBIT K</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FORM OF LETTER OF CREDIT REQUEST</w:t>
      </w:r>
    </w:p>
    <w:p>
      <w:pPr>
        <w:spacing w:after="0" w:line="200" w:lineRule="exact"/>
        <w:rPr>
          <w:sz w:val="20"/>
          <w:szCs w:val="20"/>
          <w:color w:val="auto"/>
        </w:rPr>
      </w:pPr>
    </w:p>
    <w:p>
      <w:pPr>
        <w:spacing w:after="0" w:line="258"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-8890</wp:posOffset>
            </wp:positionV>
            <wp:extent cx="1168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287" w:lineRule="exact"/>
        <w:rPr>
          <w:sz w:val="20"/>
          <w:szCs w:val="20"/>
          <w:color w:val="auto"/>
        </w:rPr>
      </w:pPr>
    </w:p>
    <w:p>
      <w:pPr>
        <w:jc w:val="both"/>
        <w:ind w:left="960" w:right="3020"/>
        <w:spacing w:after="0" w:line="239" w:lineRule="auto"/>
        <w:rPr>
          <w:sz w:val="20"/>
          <w:szCs w:val="20"/>
          <w:color w:val="auto"/>
        </w:rPr>
      </w:pPr>
      <w:r>
        <w:rPr>
          <w:rFonts w:ascii="Arial" w:cs="Arial" w:eastAsia="Arial" w:hAnsi="Arial"/>
          <w:sz w:val="18"/>
          <w:szCs w:val="18"/>
          <w:color w:val="auto"/>
        </w:rPr>
        <w:t>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the Amended and Restated Credit and Guaranty Agreement, dated as of July 2, 2021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from time to time party thereto, the several banks, financial institutions, institutional investors and other entities from time to time party thereto as lenders, and the Administrative Agent.</w:t>
      </w:r>
    </w:p>
    <w:p>
      <w:pPr>
        <w:spacing w:after="0" w:line="193" w:lineRule="exact"/>
        <w:rPr>
          <w:sz w:val="20"/>
          <w:szCs w:val="20"/>
          <w:color w:val="auto"/>
        </w:rPr>
      </w:pPr>
    </w:p>
    <w:p>
      <w:pPr>
        <w:ind w:left="960"/>
        <w:spacing w:after="0"/>
        <w:tabs>
          <w:tab w:leader="none" w:pos="2760" w:val="left"/>
          <w:tab w:leader="none" w:pos="3440" w:val="left"/>
        </w:tabs>
        <w:rPr>
          <w:sz w:val="20"/>
          <w:szCs w:val="20"/>
          <w:color w:val="auto"/>
        </w:rPr>
      </w:pPr>
      <w:r>
        <w:rPr>
          <w:rFonts w:ascii="Arial" w:cs="Arial" w:eastAsia="Arial" w:hAnsi="Arial"/>
          <w:sz w:val="18"/>
          <w:szCs w:val="18"/>
          <w:color w:val="auto"/>
        </w:rPr>
        <w:t>[Address] Attention: [</w:t>
        <w:tab/>
        <w:t>] Tel: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-8890</wp:posOffset>
            </wp:positionV>
            <wp:extent cx="1168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-8890</wp:posOffset>
            </wp:positionV>
            <wp:extent cx="1168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99" w:lineRule="exact"/>
        <w:rPr>
          <w:sz w:val="20"/>
          <w:szCs w:val="20"/>
          <w:color w:val="auto"/>
        </w:rPr>
      </w:pPr>
    </w:p>
    <w:p>
      <w:pPr>
        <w:ind w:left="1240" w:hanging="243"/>
        <w:spacing w:after="0"/>
        <w:tabs>
          <w:tab w:leader="none" w:pos="1240" w:val="left"/>
        </w:tabs>
        <w:numPr>
          <w:ilvl w:val="0"/>
          <w:numId w:val="375"/>
        </w:numPr>
        <w:rPr>
          <w:rFonts w:ascii="Arial" w:cs="Arial" w:eastAsia="Arial" w:hAnsi="Arial"/>
          <w:sz w:val="18"/>
          <w:szCs w:val="18"/>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as Issuing Lender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-45085</wp:posOffset>
            </wp:positionV>
            <wp:extent cx="1168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-20955</wp:posOffset>
            </wp:positionV>
            <wp:extent cx="24047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25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6350</wp:posOffset>
            </wp:positionV>
            <wp:extent cx="12020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61" w:lineRule="exact"/>
        <w:rPr>
          <w:sz w:val="20"/>
          <w:szCs w:val="20"/>
          <w:color w:val="auto"/>
        </w:rPr>
      </w:pPr>
    </w:p>
    <w:p>
      <w:pPr>
        <w:ind w:left="2300"/>
        <w:spacing w:after="0"/>
        <w:tabs>
          <w:tab w:leader="none" w:pos="3300" w:val="left"/>
        </w:tabs>
        <w:rPr>
          <w:sz w:val="20"/>
          <w:szCs w:val="20"/>
          <w:color w:val="auto"/>
        </w:rPr>
      </w:pPr>
      <w:r>
        <w:rPr>
          <w:rFonts w:ascii="Arial" w:cs="Arial" w:eastAsia="Arial" w:hAnsi="Arial"/>
          <w:sz w:val="18"/>
          <w:szCs w:val="18"/>
          <w:color w:val="auto"/>
        </w:rPr>
        <w:t>Attention: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-48260</wp:posOffset>
            </wp:positionV>
            <wp:extent cx="8521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2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left="960" w:right="180" w:firstLine="2056"/>
        <w:spacing w:after="0" w:line="238" w:lineRule="auto"/>
        <w:rPr>
          <w:sz w:val="20"/>
          <w:szCs w:val="20"/>
          <w:color w:val="auto"/>
        </w:rPr>
      </w:pPr>
      <w:r>
        <w:rPr>
          <w:rFonts w:ascii="Arial" w:cs="Arial" w:eastAsia="Arial" w:hAnsi="Arial"/>
          <w:sz w:val="18"/>
          <w:szCs w:val="18"/>
          <w:color w:val="auto"/>
        </w:rPr>
        <w:t>Pursuant to Section 3.3 of the Credit Agreement, we hereby request that the Issuing Lender referred to above issue a [trade] [standby] Letter of Credit for the account of the undersigned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-177800</wp:posOffset>
            </wp:positionV>
            <wp:extent cx="5416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541655" cy="8255"/>
                    </a:xfrm>
                    <a:prstGeom prst="rect">
                      <a:avLst/>
                    </a:prstGeom>
                    <a:noFill/>
                  </pic:spPr>
                </pic:pic>
              </a:graphicData>
            </a:graphic>
          </wp:anchor>
        </w:drawing>
      </w:r>
    </w:p>
    <w:p>
      <w:pPr>
        <w:jc w:val="center"/>
        <w:ind w:left="1140"/>
        <w:spacing w:after="0"/>
        <w:tabs>
          <w:tab w:leader="none" w:pos="160" w:val="left"/>
          <w:tab w:leader="none" w:pos="160" w:val="left"/>
          <w:tab w:leader="none" w:pos="160" w:val="left"/>
        </w:tabs>
        <w:rPr>
          <w:sz w:val="20"/>
          <w:szCs w:val="20"/>
          <w:color w:val="auto"/>
        </w:rPr>
      </w:pPr>
      <w:r>
        <w:rPr>
          <w:rFonts w:ascii="Arial" w:cs="Arial" w:eastAsia="Arial" w:hAnsi="Arial"/>
          <w:sz w:val="22"/>
          <w:szCs w:val="22"/>
          <w:color w:val="auto"/>
          <w:vertAlign w:val="superscript"/>
        </w:rPr>
        <w:t>2</w:t>
      </w:r>
      <w:r>
        <w:rPr>
          <w:sz w:val="20"/>
          <w:szCs w:val="20"/>
          <w:color w:val="auto"/>
        </w:rPr>
        <w:tab/>
      </w:r>
      <w:r>
        <w:rPr>
          <w:rFonts w:ascii="Arial" w:cs="Arial" w:eastAsia="Arial" w:hAnsi="Arial"/>
          <w:sz w:val="17"/>
          <w:szCs w:val="17"/>
          <w:color w:val="auto"/>
        </w:rPr>
        <w:t>(the “Date of Issuance”) in the aggregate Stated Amount of</w:t>
      </w:r>
      <w:r>
        <w:rPr>
          <w:sz w:val="20"/>
          <w:szCs w:val="20"/>
          <w:color w:val="auto"/>
        </w:rPr>
        <w:tab/>
      </w:r>
      <w:r>
        <w:rPr>
          <w:rFonts w:ascii="Arial" w:cs="Arial" w:eastAsia="Arial" w:hAnsi="Arial"/>
          <w:sz w:val="24"/>
          <w:szCs w:val="24"/>
          <w:color w:val="auto"/>
          <w:vertAlign w:val="superscript"/>
        </w:rPr>
        <w:t>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-99060</wp:posOffset>
            </wp:positionV>
            <wp:extent cx="15125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spacing w:after="0" w:line="195" w:lineRule="exact"/>
        <w:rPr>
          <w:sz w:val="20"/>
          <w:szCs w:val="20"/>
          <w:color w:val="auto"/>
        </w:rPr>
      </w:pPr>
    </w:p>
    <w:p>
      <w:pPr>
        <w:ind w:left="960" w:right="20" w:firstLine="1203"/>
        <w:spacing w:after="0" w:line="263" w:lineRule="auto"/>
        <w:rPr>
          <w:sz w:val="20"/>
          <w:szCs w:val="20"/>
          <w:color w:val="auto"/>
        </w:rPr>
      </w:pPr>
      <w:r>
        <w:rPr>
          <w:rFonts w:ascii="Arial" w:cs="Arial" w:eastAsia="Arial" w:hAnsi="Arial"/>
          <w:sz w:val="18"/>
          <w:szCs w:val="18"/>
          <w:color w:val="auto"/>
        </w:rPr>
        <w:t>For purposes of this Letter of Credit Request, unless otherwise defined herein, all capitalized terms used herein which are defined in the Credit Agreement shall have the respective meaning provided therein.</w:t>
      </w:r>
    </w:p>
    <w:p>
      <w:pPr>
        <w:spacing w:after="0" w:line="186" w:lineRule="exact"/>
        <w:rPr>
          <w:sz w:val="20"/>
          <w:szCs w:val="20"/>
          <w:color w:val="auto"/>
        </w:rPr>
      </w:pPr>
    </w:p>
    <w:p>
      <w:pPr>
        <w:ind w:left="960" w:right="20" w:firstLine="3009"/>
        <w:spacing w:after="0" w:line="232" w:lineRule="auto"/>
        <w:rPr>
          <w:sz w:val="20"/>
          <w:szCs w:val="20"/>
          <w:color w:val="auto"/>
        </w:rPr>
      </w:pPr>
      <w:r>
        <w:rPr>
          <w:rFonts w:ascii="Arial" w:cs="Arial" w:eastAsia="Arial" w:hAnsi="Arial"/>
          <w:sz w:val="18"/>
          <w:szCs w:val="18"/>
          <w:color w:val="auto"/>
        </w:rPr>
        <w:t xml:space="preserve">The beneficiary of the requested Letter of Credit will be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 and such Letter of Credit will be in support of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and will have a stated expiration date of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-249555</wp:posOffset>
            </wp:positionV>
            <wp:extent cx="114681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114681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370840</wp:posOffset>
            </wp:positionV>
            <wp:extent cx="15284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80" w:hanging="217"/>
        <w:spacing w:after="0"/>
        <w:tabs>
          <w:tab w:leader="none" w:pos="1180" w:val="left"/>
        </w:tabs>
        <w:numPr>
          <w:ilvl w:val="0"/>
          <w:numId w:val="376"/>
        </w:numPr>
        <w:rPr>
          <w:rFonts w:ascii="Arial" w:cs="Arial" w:eastAsia="Arial" w:hAnsi="Arial"/>
          <w:sz w:val="22"/>
          <w:szCs w:val="22"/>
          <w:color w:val="auto"/>
          <w:vertAlign w:val="superscript"/>
        </w:rPr>
      </w:pPr>
      <w:r>
        <w:rPr>
          <w:rFonts w:ascii="Arial" w:cs="Arial" w:eastAsia="Arial" w:hAnsi="Arial"/>
          <w:sz w:val="17"/>
          <w:szCs w:val="17"/>
          <w:color w:val="auto"/>
        </w:rPr>
        <w:t>Insert name and address of Issuing Lender.</w:t>
      </w:r>
    </w:p>
    <w:p>
      <w:pPr>
        <w:spacing w:after="0" w:line="213" w:lineRule="exact"/>
        <w:rPr>
          <w:sz w:val="20"/>
          <w:szCs w:val="20"/>
          <w:color w:val="auto"/>
        </w:rPr>
      </w:pPr>
    </w:p>
    <w:p>
      <w:pPr>
        <w:ind w:left="1260" w:right="20" w:hanging="297"/>
        <w:spacing w:after="0" w:line="214" w:lineRule="auto"/>
        <w:tabs>
          <w:tab w:leader="none" w:pos="1074" w:val="left"/>
        </w:tabs>
        <w:numPr>
          <w:ilvl w:val="0"/>
          <w:numId w:val="377"/>
        </w:numPr>
        <w:rPr>
          <w:rFonts w:ascii="Arial" w:cs="Arial" w:eastAsia="Arial" w:hAnsi="Arial"/>
          <w:sz w:val="22"/>
          <w:szCs w:val="22"/>
          <w:color w:val="auto"/>
          <w:vertAlign w:val="superscript"/>
        </w:rPr>
      </w:pPr>
      <w:r>
        <w:rPr>
          <w:rFonts w:ascii="Arial" w:cs="Arial" w:eastAsia="Arial" w:hAnsi="Arial"/>
          <w:sz w:val="17"/>
          <w:szCs w:val="17"/>
          <w:color w:val="auto"/>
        </w:rPr>
        <w:t>Date of Issuance which shall be (x) a Business Day and (y) at least five (5) Business Days after the date hereof (or such earlier date as is acceptable to the respective Issuing Lender in any given case).</w:t>
      </w:r>
    </w:p>
    <w:p>
      <w:pPr>
        <w:spacing w:after="0" w:line="202" w:lineRule="exact"/>
        <w:rPr>
          <w:sz w:val="20"/>
          <w:szCs w:val="20"/>
          <w:color w:val="auto"/>
        </w:rPr>
      </w:pPr>
    </w:p>
    <w:p>
      <w:pPr>
        <w:ind w:left="1260" w:right="20" w:hanging="297"/>
        <w:spacing w:after="0" w:line="239" w:lineRule="auto"/>
        <w:tabs>
          <w:tab w:leader="none" w:pos="1056" w:val="left"/>
        </w:tabs>
        <w:numPr>
          <w:ilvl w:val="0"/>
          <w:numId w:val="378"/>
        </w:numPr>
        <w:rPr>
          <w:rFonts w:ascii="Arial" w:cs="Arial" w:eastAsia="Arial" w:hAnsi="Arial"/>
          <w:sz w:val="20"/>
          <w:szCs w:val="20"/>
          <w:color w:val="auto"/>
          <w:vertAlign w:val="superscript"/>
        </w:rPr>
      </w:pPr>
      <w:r>
        <w:rPr>
          <w:rFonts w:ascii="Arial" w:cs="Arial" w:eastAsia="Arial" w:hAnsi="Arial"/>
          <w:sz w:val="15"/>
          <w:szCs w:val="15"/>
          <w:color w:val="auto"/>
        </w:rPr>
        <w:t>Aggregate initial Stated Amount of the Letter of Credit, which should not be less than $100,000 (or, in respect of Letters of Credit Denominated in an Alternate Currency, the Dollar equivalent thereof) or such lesser amount as is acceptable to the respective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494030</wp:posOffset>
            </wp:positionV>
            <wp:extent cx="533400" cy="294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60"/>
        <w:spacing w:after="0"/>
        <w:rPr>
          <w:sz w:val="20"/>
          <w:szCs w:val="20"/>
          <w:color w:val="auto"/>
        </w:rPr>
      </w:pPr>
      <w:r>
        <w:rPr>
          <w:rFonts w:ascii="Arial" w:cs="Arial" w:eastAsia="Arial" w:hAnsi="Arial"/>
          <w:sz w:val="16"/>
          <w:szCs w:val="16"/>
          <w:color w:val="auto"/>
        </w:rPr>
        <w:t>Exhibit K</w:t>
      </w:r>
    </w:p>
    <w:p>
      <w:pPr>
        <w:spacing w:after="0" w:line="18" w:lineRule="exact"/>
        <w:rPr>
          <w:sz w:val="20"/>
          <w:szCs w:val="20"/>
          <w:color w:val="auto"/>
        </w:rPr>
      </w:pPr>
    </w:p>
    <w:p>
      <w:pPr>
        <w:jc w:val="center"/>
        <w:ind w:right="1006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19" w:right="819" w:bottom="1440" w:gutter="0" w:footer="0" w:header="0"/>
        </w:sectPr>
      </w:pPr>
    </w:p>
    <w:bookmarkStart w:id="370" w:name="page371"/>
    <w:bookmarkEnd w:id="370"/>
    <w:p>
      <w:pPr>
        <w:ind w:left="1180" w:hanging="217"/>
        <w:spacing w:after="0"/>
        <w:tabs>
          <w:tab w:leader="none" w:pos="1180" w:val="left"/>
        </w:tabs>
        <w:numPr>
          <w:ilvl w:val="0"/>
          <w:numId w:val="379"/>
        </w:numPr>
        <w:rPr>
          <w:rFonts w:ascii="Arial" w:cs="Arial" w:eastAsia="Arial" w:hAnsi="Arial"/>
          <w:sz w:val="18"/>
          <w:szCs w:val="18"/>
          <w:color w:val="auto"/>
          <w:vertAlign w:val="superscript"/>
        </w:rPr>
      </w:pPr>
      <w:r>
        <w:rPr>
          <w:rFonts w:ascii="Arial" w:cs="Arial" w:eastAsia="Arial" w:hAnsi="Arial"/>
          <w:sz w:val="14"/>
          <w:szCs w:val="14"/>
          <w:color w:val="auto"/>
        </w:rPr>
        <w:t>Insert name and address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346075</wp:posOffset>
            </wp:positionV>
            <wp:extent cx="533400" cy="294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9439"/>
        <w:spacing w:after="0"/>
        <w:rPr>
          <w:sz w:val="20"/>
          <w:szCs w:val="20"/>
          <w:color w:val="auto"/>
        </w:rPr>
      </w:pPr>
      <w:r>
        <w:rPr>
          <w:rFonts w:ascii="Arial" w:cs="Arial" w:eastAsia="Arial" w:hAnsi="Arial"/>
          <w:sz w:val="16"/>
          <w:szCs w:val="16"/>
          <w:color w:val="auto"/>
        </w:rPr>
        <w:t>Exhibit K</w:t>
      </w:r>
    </w:p>
    <w:p>
      <w:pPr>
        <w:spacing w:after="0" w:line="18" w:lineRule="exact"/>
        <w:rPr>
          <w:sz w:val="20"/>
          <w:szCs w:val="20"/>
          <w:color w:val="auto"/>
        </w:rPr>
      </w:pPr>
    </w:p>
    <w:p>
      <w:pPr>
        <w:jc w:val="center"/>
        <w:ind w:right="943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099"/>
          </w:cols>
          <w:pgMar w:left="360" w:top="678" w:right="1440" w:bottom="1440" w:gutter="0" w:footer="0" w:header="0"/>
        </w:sectPr>
      </w:pPr>
    </w:p>
    <w:bookmarkStart w:id="371" w:name="page372"/>
    <w:bookmarkEnd w:id="371"/>
    <w:p>
      <w:pPr>
        <w:ind w:left="2160"/>
        <w:spacing w:after="0"/>
        <w:rPr>
          <w:sz w:val="20"/>
          <w:szCs w:val="20"/>
          <w:color w:val="auto"/>
        </w:rPr>
      </w:pPr>
      <w:r>
        <w:rPr>
          <w:rFonts w:ascii="Arial" w:cs="Arial" w:eastAsia="Arial" w:hAnsi="Arial"/>
          <w:sz w:val="18"/>
          <w:szCs w:val="18"/>
          <w:color w:val="auto"/>
        </w:rPr>
        <w:t>We hereby certify that on and as of the date hereof and the Date of Issuance:</w:t>
      </w:r>
    </w:p>
    <w:p>
      <w:pPr>
        <w:spacing w:after="0" w:line="232" w:lineRule="exact"/>
        <w:rPr>
          <w:sz w:val="20"/>
          <w:szCs w:val="20"/>
          <w:color w:val="auto"/>
        </w:rPr>
      </w:pPr>
    </w:p>
    <w:p>
      <w:pPr>
        <w:jc w:val="both"/>
        <w:ind w:left="2760" w:hanging="593"/>
        <w:spacing w:after="0" w:line="237" w:lineRule="auto"/>
        <w:tabs>
          <w:tab w:leader="none" w:pos="275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the Credit Agreement and in the other Loan Documents are and will be true and correct in all material respects on and as of the Date of Issuance as if made on and as of such date (except to the extent already qualified by materiality, in which case, such representations and warranties shall be true and correct in all respects), except to the extent such representations and warranties expressly relate to a specific earlier date, in which case such representations and warranties shall be true and correct in all material respects as of such earlier date (except to the extent already qualified by materiality, in which case, such representations and warranties shall be true and correct in all respects); and</w:t>
      </w:r>
    </w:p>
    <w:p>
      <w:pPr>
        <w:spacing w:after="0" w:line="208" w:lineRule="exact"/>
        <w:rPr>
          <w:rFonts w:ascii="Arial" w:cs="Arial" w:eastAsia="Arial" w:hAnsi="Arial"/>
          <w:sz w:val="18"/>
          <w:szCs w:val="18"/>
          <w:color w:val="auto"/>
        </w:rPr>
      </w:pPr>
    </w:p>
    <w:p>
      <w:pPr>
        <w:jc w:val="both"/>
        <w:ind w:left="2760" w:right="20" w:hanging="593"/>
        <w:spacing w:after="0" w:line="248" w:lineRule="auto"/>
        <w:tabs>
          <w:tab w:leader="none" w:pos="275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no Default or Event of Default will have occurred and be continuing on the Date of Issuance (immediately prior to giving effect to the issuance of the Letter of Credit requested hereby) or would result after giving effect to the issuance of the Letter of Credit requested hereby.</w:t>
      </w:r>
    </w:p>
    <w:p>
      <w:pPr>
        <w:spacing w:after="0" w:line="186"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3740785</wp:posOffset>
            </wp:positionV>
            <wp:extent cx="15284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right="20" w:hanging="297"/>
        <w:spacing w:after="0" w:line="214" w:lineRule="auto"/>
        <w:tabs>
          <w:tab w:leader="none" w:pos="1056" w:val="left"/>
        </w:tabs>
        <w:numPr>
          <w:ilvl w:val="0"/>
          <w:numId w:val="381"/>
        </w:numPr>
        <w:rPr>
          <w:rFonts w:ascii="Arial" w:cs="Arial" w:eastAsia="Arial" w:hAnsi="Arial"/>
          <w:sz w:val="22"/>
          <w:szCs w:val="22"/>
          <w:color w:val="auto"/>
          <w:vertAlign w:val="superscript"/>
        </w:rPr>
      </w:pPr>
      <w:r>
        <w:rPr>
          <w:rFonts w:ascii="Arial" w:cs="Arial" w:eastAsia="Arial" w:hAnsi="Arial"/>
          <w:sz w:val="17"/>
          <w:szCs w:val="17"/>
          <w:color w:val="auto"/>
        </w:rPr>
        <w:t>Insert a description of L/C supportable obligations (in the case of standby Letters of Credit) and insert description of permitted trade obligations of the applicable Borrower or any of its Subsidiaries (in the case of trade Letters of Credit).</w:t>
      </w:r>
    </w:p>
    <w:p>
      <w:pPr>
        <w:spacing w:after="0" w:line="215" w:lineRule="exact"/>
        <w:rPr>
          <w:sz w:val="20"/>
          <w:szCs w:val="20"/>
          <w:color w:val="auto"/>
        </w:rPr>
      </w:pPr>
    </w:p>
    <w:p>
      <w:pPr>
        <w:ind w:left="1260" w:hanging="297"/>
        <w:spacing w:after="0" w:line="219" w:lineRule="auto"/>
        <w:tabs>
          <w:tab w:leader="none" w:pos="1059" w:val="left"/>
        </w:tabs>
        <w:numPr>
          <w:ilvl w:val="0"/>
          <w:numId w:val="382"/>
        </w:numPr>
        <w:rPr>
          <w:rFonts w:ascii="Arial" w:cs="Arial" w:eastAsia="Arial" w:hAnsi="Arial"/>
          <w:sz w:val="22"/>
          <w:szCs w:val="22"/>
          <w:color w:val="auto"/>
          <w:vertAlign w:val="superscript"/>
        </w:rPr>
      </w:pPr>
      <w:r>
        <w:rPr>
          <w:rFonts w:ascii="Arial" w:cs="Arial" w:eastAsia="Arial" w:hAnsi="Arial"/>
          <w:sz w:val="17"/>
          <w:szCs w:val="17"/>
          <w:color w:val="auto"/>
        </w:rPr>
        <w:t>Insert the last date upon which drafts may be presented which may not be later than the earlier of (x) the date which occurs twelve (12) months after the date of the issuance thereof or such later date as may be acceptable to the Issuing Lender and (y) three (3) Business Days prior to the Revolving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343535</wp:posOffset>
            </wp:positionV>
            <wp:extent cx="533400" cy="294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right="10060"/>
        <w:spacing w:after="0"/>
        <w:rPr>
          <w:sz w:val="20"/>
          <w:szCs w:val="20"/>
          <w:color w:val="auto"/>
        </w:rPr>
      </w:pPr>
      <w:r>
        <w:rPr>
          <w:rFonts w:ascii="Arial" w:cs="Arial" w:eastAsia="Arial" w:hAnsi="Arial"/>
          <w:sz w:val="16"/>
          <w:szCs w:val="16"/>
          <w:color w:val="auto"/>
        </w:rPr>
        <w:t>Exhibit K</w:t>
      </w:r>
    </w:p>
    <w:p>
      <w:pPr>
        <w:spacing w:after="0" w:line="18" w:lineRule="exact"/>
        <w:rPr>
          <w:sz w:val="20"/>
          <w:szCs w:val="20"/>
          <w:color w:val="auto"/>
        </w:rPr>
      </w:pPr>
    </w:p>
    <w:p>
      <w:pPr>
        <w:jc w:val="center"/>
        <w:ind w:right="10060"/>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0720"/>
          </w:cols>
          <w:pgMar w:left="360" w:top="1351" w:right="819" w:bottom="1440" w:gutter="0" w:footer="0" w:header="0"/>
        </w:sectPr>
      </w:pPr>
    </w:p>
    <w:bookmarkStart w:id="372" w:name="page373"/>
    <w:bookmarkEnd w:id="372"/>
    <w:p>
      <w:pPr>
        <w:jc w:val="right"/>
        <w:ind w:right="3339"/>
        <w:spacing w:after="0"/>
        <w:rPr>
          <w:sz w:val="20"/>
          <w:szCs w:val="20"/>
          <w:color w:val="auto"/>
        </w:rPr>
      </w:pPr>
      <w:r>
        <w:rPr>
          <w:rFonts w:ascii="Arial" w:cs="Arial" w:eastAsia="Arial" w:hAnsi="Arial"/>
          <w:sz w:val="18"/>
          <w:szCs w:val="18"/>
          <w:b w:val="1"/>
          <w:bCs w:val="1"/>
          <w:color w:val="auto"/>
        </w:rPr>
        <w:t>LEGALZOOM.COM, INC.</w:t>
      </w:r>
    </w:p>
    <w:p>
      <w:pPr>
        <w:spacing w:after="0" w:line="200" w:lineRule="exact"/>
        <w:rPr>
          <w:sz w:val="20"/>
          <w:szCs w:val="20"/>
          <w:color w:val="auto"/>
        </w:rPr>
      </w:pPr>
    </w:p>
    <w:p>
      <w:pPr>
        <w:spacing w:after="0" w:line="400"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-8890</wp:posOffset>
            </wp:positionV>
            <wp:extent cx="2336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354965</wp:posOffset>
            </wp:positionV>
            <wp:extent cx="533400" cy="294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9439"/>
        <w:spacing w:after="0"/>
        <w:rPr>
          <w:sz w:val="20"/>
          <w:szCs w:val="20"/>
          <w:color w:val="auto"/>
        </w:rPr>
      </w:pPr>
      <w:r>
        <w:rPr>
          <w:rFonts w:ascii="Arial" w:cs="Arial" w:eastAsia="Arial" w:hAnsi="Arial"/>
          <w:sz w:val="16"/>
          <w:szCs w:val="16"/>
          <w:color w:val="auto"/>
        </w:rPr>
        <w:t>Exhibit K</w:t>
      </w:r>
    </w:p>
    <w:p>
      <w:pPr>
        <w:spacing w:after="0" w:line="18" w:lineRule="exact"/>
        <w:rPr>
          <w:sz w:val="20"/>
          <w:szCs w:val="20"/>
          <w:color w:val="auto"/>
        </w:rPr>
      </w:pPr>
    </w:p>
    <w:p>
      <w:pPr>
        <w:jc w:val="center"/>
        <w:ind w:right="9439"/>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0099"/>
          </w:cols>
          <w:pgMar w:left="360" w:top="1347" w:right="1440" w:bottom="1440" w:gutter="0" w:footer="0" w:header="0"/>
        </w:sectPr>
      </w:pPr>
    </w:p>
    <w:bookmarkStart w:id="373" w:name="page374"/>
    <w:bookmarkEnd w:id="373"/>
    <w:p>
      <w:pPr>
        <w:ind w:left="9660"/>
        <w:spacing w:after="0"/>
        <w:rPr>
          <w:sz w:val="20"/>
          <w:szCs w:val="20"/>
          <w:color w:val="auto"/>
        </w:rPr>
      </w:pPr>
      <w:r>
        <w:rPr>
          <w:rFonts w:ascii="Arial" w:cs="Arial" w:eastAsia="Arial" w:hAnsi="Arial"/>
          <w:sz w:val="18"/>
          <w:szCs w:val="18"/>
          <w:color w:val="auto"/>
        </w:rPr>
        <w:t>EXHIBIT L-1</w:t>
      </w: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FORM OF NON-BANK CERTIFICATE</w:t>
      </w:r>
    </w:p>
    <w:p>
      <w:pPr>
        <w:spacing w:after="0" w:line="29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00" w:lineRule="exact"/>
        <w:rPr>
          <w:sz w:val="20"/>
          <w:szCs w:val="20"/>
          <w:color w:val="auto"/>
        </w:rPr>
      </w:pPr>
    </w:p>
    <w:p>
      <w:pPr>
        <w:spacing w:after="0" w:line="258" w:lineRule="exact"/>
        <w:rPr>
          <w:sz w:val="20"/>
          <w:szCs w:val="20"/>
          <w:color w:val="auto"/>
        </w:rPr>
      </w:pPr>
    </w:p>
    <w:p>
      <w:pPr>
        <w:jc w:val="both"/>
        <w:ind w:left="960" w:right="20" w:firstLine="1203"/>
        <w:spacing w:after="0" w:line="262" w:lineRule="auto"/>
        <w:rPr>
          <w:sz w:val="20"/>
          <w:szCs w:val="20"/>
          <w:color w:val="auto"/>
        </w:rPr>
      </w:pPr>
      <w:r>
        <w:rPr>
          <w:rFonts w:ascii="Arial" w:cs="Arial" w:eastAsia="Arial" w:hAnsi="Arial"/>
          <w:sz w:val="17"/>
          <w:szCs w:val="17"/>
          <w:color w:val="auto"/>
        </w:rPr>
        <w:t>Reference is hereby made to the Amended and Restated Credit and Guaranty Agreement dated as of July 2, 2021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LegalZoom.com,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the several banks, financial institutions, institutional investors and other entities from time to time party thereto as lenders, and JPMorgan Chase Bank, N.A., as Administrative Agent.</w:t>
      </w:r>
    </w:p>
    <w:p>
      <w:pPr>
        <w:spacing w:after="0" w:line="175" w:lineRule="exact"/>
        <w:rPr>
          <w:sz w:val="20"/>
          <w:szCs w:val="20"/>
          <w:color w:val="auto"/>
        </w:rPr>
      </w:pPr>
    </w:p>
    <w:p>
      <w:pPr>
        <w:jc w:val="both"/>
        <w:ind w:left="960" w:right="20" w:firstLine="1204"/>
        <w:spacing w:after="0" w:line="255"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and other Obligations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no payments in connection with any Loan Document are effectively connected with the undersigned’s conduct of a U.S. trade or business.</w:t>
      </w:r>
    </w:p>
    <w:p>
      <w:pPr>
        <w:spacing w:after="0" w:line="183" w:lineRule="exact"/>
        <w:rPr>
          <w:sz w:val="20"/>
          <w:szCs w:val="20"/>
          <w:color w:val="auto"/>
        </w:rPr>
      </w:pPr>
    </w:p>
    <w:p>
      <w:pPr>
        <w:jc w:val="both"/>
        <w:ind w:left="960" w:firstLine="1204"/>
        <w:spacing w:after="0" w:line="239"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non-United States person status on IRS Form W-8BEN or W-8BEN-E. By executing this certificate, the undersigned agrees that (1) if the information provided on this certificate changes, the undersigned shall promptly so inform the Borrower and the Administrative Agent in writing,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left="960" w:right="20" w:firstLine="1204"/>
        <w:spacing w:after="0" w:line="263"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8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621030" cy="294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940"/>
        <w:spacing w:after="0"/>
        <w:rPr>
          <w:sz w:val="20"/>
          <w:szCs w:val="20"/>
          <w:color w:val="auto"/>
        </w:rPr>
      </w:pPr>
      <w:r>
        <w:rPr>
          <w:rFonts w:ascii="Arial" w:cs="Arial" w:eastAsia="Arial" w:hAnsi="Arial"/>
          <w:sz w:val="16"/>
          <w:szCs w:val="16"/>
          <w:color w:val="auto"/>
        </w:rPr>
        <w:t>Exhibit L-1</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4" w:right="819" w:bottom="1440" w:gutter="0" w:footer="0" w:header="0"/>
        </w:sectPr>
      </w:pPr>
    </w:p>
    <w:bookmarkStart w:id="374" w:name="page375"/>
    <w:bookmarkEnd w:id="374"/>
    <w:p>
      <w:pPr>
        <w:spacing w:after="0" w:line="25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[NAME OF FOREIGN LENDER]</w:t>
      </w:r>
    </w:p>
    <w:p>
      <w:pPr>
        <w:spacing w:after="0" w:line="231" w:lineRule="exact"/>
        <w:rPr>
          <w:sz w:val="20"/>
          <w:szCs w:val="20"/>
          <w:color w:val="auto"/>
        </w:rPr>
      </w:pPr>
    </w:p>
    <w:p>
      <w:pPr>
        <w:ind w:left="102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-8890</wp:posOffset>
            </wp:positionV>
            <wp:extent cx="2336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left="96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-8890</wp:posOffset>
            </wp:positionV>
            <wp:extent cx="1168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365125</wp:posOffset>
            </wp:positionV>
            <wp:extent cx="621030" cy="294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319"/>
        <w:spacing w:after="0"/>
        <w:rPr>
          <w:sz w:val="20"/>
          <w:szCs w:val="20"/>
          <w:color w:val="auto"/>
        </w:rPr>
      </w:pPr>
      <w:r>
        <w:rPr>
          <w:rFonts w:ascii="Arial" w:cs="Arial" w:eastAsia="Arial" w:hAnsi="Arial"/>
          <w:sz w:val="16"/>
          <w:szCs w:val="16"/>
          <w:color w:val="auto"/>
        </w:rPr>
        <w:t>Exhibit L-1</w:t>
      </w:r>
    </w:p>
    <w:p>
      <w:pPr>
        <w:spacing w:after="0" w:line="18" w:lineRule="exact"/>
        <w:rPr>
          <w:sz w:val="20"/>
          <w:szCs w:val="20"/>
          <w:color w:val="auto"/>
        </w:rPr>
      </w:pPr>
    </w:p>
    <w:p>
      <w:pPr>
        <w:jc w:val="center"/>
        <w:ind w:right="931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099"/>
          </w:cols>
          <w:pgMar w:left="360" w:top="1440" w:right="1440" w:bottom="1440" w:gutter="0" w:footer="0" w:header="0"/>
        </w:sectPr>
      </w:pPr>
    </w:p>
    <w:bookmarkStart w:id="375" w:name="page376"/>
    <w:bookmarkEnd w:id="375"/>
    <w:p>
      <w:pPr>
        <w:ind w:left="9660"/>
        <w:spacing w:after="0"/>
        <w:rPr>
          <w:sz w:val="20"/>
          <w:szCs w:val="20"/>
          <w:color w:val="auto"/>
        </w:rPr>
      </w:pPr>
      <w:r>
        <w:rPr>
          <w:rFonts w:ascii="Arial" w:cs="Arial" w:eastAsia="Arial" w:hAnsi="Arial"/>
          <w:sz w:val="18"/>
          <w:szCs w:val="18"/>
          <w:color w:val="auto"/>
        </w:rPr>
        <w:t>EXHIBIT L-2</w:t>
      </w: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FORM OF NON-BANK CERTIFICATE</w:t>
      </w:r>
    </w:p>
    <w:p>
      <w:pPr>
        <w:spacing w:after="0" w:line="29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00" w:lineRule="exact"/>
        <w:rPr>
          <w:sz w:val="20"/>
          <w:szCs w:val="20"/>
          <w:color w:val="auto"/>
        </w:rPr>
      </w:pPr>
    </w:p>
    <w:p>
      <w:pPr>
        <w:spacing w:after="0" w:line="258" w:lineRule="exact"/>
        <w:rPr>
          <w:sz w:val="20"/>
          <w:szCs w:val="20"/>
          <w:color w:val="auto"/>
        </w:rPr>
      </w:pPr>
    </w:p>
    <w:p>
      <w:pPr>
        <w:jc w:val="both"/>
        <w:ind w:left="960" w:right="20" w:firstLine="1203"/>
        <w:spacing w:after="0"/>
        <w:rPr>
          <w:sz w:val="20"/>
          <w:szCs w:val="20"/>
          <w:color w:val="auto"/>
        </w:rPr>
      </w:pPr>
      <w:r>
        <w:rPr>
          <w:rFonts w:ascii="Arial" w:cs="Arial" w:eastAsia="Arial" w:hAnsi="Arial"/>
          <w:sz w:val="18"/>
          <w:szCs w:val="18"/>
          <w:color w:val="auto"/>
        </w:rPr>
        <w:t>Reference is hereby made to the Amended and Restated Credit and Guaranty Agreement dated as of July 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from time to time party thereto, the several banks, financial institutions, institutional investors and other entities from time to time party thereto as lenders, and JPMorgan Chase Bank, N.A., as Administrative Agent.</w:t>
      </w:r>
    </w:p>
    <w:p>
      <w:pPr>
        <w:spacing w:after="0" w:line="194" w:lineRule="exact"/>
        <w:rPr>
          <w:sz w:val="20"/>
          <w:szCs w:val="20"/>
          <w:color w:val="auto"/>
        </w:rPr>
      </w:pPr>
    </w:p>
    <w:p>
      <w:pPr>
        <w:jc w:val="both"/>
        <w:ind w:left="960" w:firstLine="1204"/>
        <w:spacing w:after="0" w:line="255"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13.4(b)(ii)</w:t>
      </w:r>
      <w:r>
        <w:rPr>
          <w:rFonts w:ascii="Arial" w:cs="Arial" w:eastAsia="Arial" w:hAnsi="Arial"/>
          <w:sz w:val="17"/>
          <w:szCs w:val="17"/>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no payments in connection with any Loan Document or such participation are effectively connected with the undersigned’s conduct of a U.S. trade or business.</w:t>
      </w:r>
    </w:p>
    <w:p>
      <w:pPr>
        <w:spacing w:after="0" w:line="183" w:lineRule="exact"/>
        <w:rPr>
          <w:sz w:val="20"/>
          <w:szCs w:val="20"/>
          <w:color w:val="auto"/>
        </w:rPr>
      </w:pPr>
    </w:p>
    <w:p>
      <w:pPr>
        <w:jc w:val="both"/>
        <w:ind w:left="960" w:firstLine="1204"/>
        <w:spacing w:after="0" w:line="258" w:lineRule="auto"/>
        <w:rPr>
          <w:sz w:val="20"/>
          <w:szCs w:val="20"/>
          <w:color w:val="auto"/>
        </w:rPr>
      </w:pPr>
      <w:r>
        <w:rPr>
          <w:rFonts w:ascii="Arial" w:cs="Arial" w:eastAsia="Arial" w:hAnsi="Arial"/>
          <w:sz w:val="17"/>
          <w:szCs w:val="17"/>
          <w:color w:val="auto"/>
        </w:rPr>
        <w:t>The undersigned has furnished its participating Lender with a certificate of its non-United States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both"/>
        <w:ind w:left="960" w:right="20" w:firstLine="1204"/>
        <w:spacing w:after="0" w:line="263"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8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621030" cy="294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940"/>
        <w:spacing w:after="0"/>
        <w:rPr>
          <w:sz w:val="20"/>
          <w:szCs w:val="20"/>
          <w:color w:val="auto"/>
        </w:rPr>
      </w:pPr>
      <w:r>
        <w:rPr>
          <w:rFonts w:ascii="Arial" w:cs="Arial" w:eastAsia="Arial" w:hAnsi="Arial"/>
          <w:sz w:val="16"/>
          <w:szCs w:val="16"/>
          <w:color w:val="auto"/>
        </w:rPr>
        <w:t>Exhibit L-2</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4" w:right="819" w:bottom="1440" w:gutter="0" w:footer="0" w:header="0"/>
        </w:sectPr>
      </w:pPr>
    </w:p>
    <w:bookmarkStart w:id="376" w:name="page377"/>
    <w:bookmarkEnd w:id="376"/>
    <w:p>
      <w:pPr>
        <w:spacing w:after="0" w:line="40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[NAME OF FOREIGN PARTICIPANT]</w:t>
      </w:r>
    </w:p>
    <w:p>
      <w:pPr>
        <w:spacing w:after="0" w:line="231" w:lineRule="exact"/>
        <w:rPr>
          <w:sz w:val="20"/>
          <w:szCs w:val="20"/>
          <w:color w:val="auto"/>
        </w:rPr>
      </w:pPr>
    </w:p>
    <w:p>
      <w:pPr>
        <w:ind w:left="102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-8890</wp:posOffset>
            </wp:positionV>
            <wp:extent cx="2336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left="96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-8890</wp:posOffset>
            </wp:positionV>
            <wp:extent cx="1168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356870</wp:posOffset>
            </wp:positionV>
            <wp:extent cx="621030" cy="294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319"/>
        <w:spacing w:after="0"/>
        <w:rPr>
          <w:sz w:val="20"/>
          <w:szCs w:val="20"/>
          <w:color w:val="auto"/>
        </w:rPr>
      </w:pPr>
      <w:r>
        <w:rPr>
          <w:rFonts w:ascii="Arial" w:cs="Arial" w:eastAsia="Arial" w:hAnsi="Arial"/>
          <w:sz w:val="16"/>
          <w:szCs w:val="16"/>
          <w:color w:val="auto"/>
        </w:rPr>
        <w:t>Exhibit L-2</w:t>
      </w:r>
    </w:p>
    <w:p>
      <w:pPr>
        <w:spacing w:after="0" w:line="18" w:lineRule="exact"/>
        <w:rPr>
          <w:sz w:val="20"/>
          <w:szCs w:val="20"/>
          <w:color w:val="auto"/>
        </w:rPr>
      </w:pPr>
    </w:p>
    <w:p>
      <w:pPr>
        <w:jc w:val="center"/>
        <w:ind w:right="931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099"/>
          </w:cols>
          <w:pgMar w:left="360" w:top="1440" w:right="1440" w:bottom="1440" w:gutter="0" w:footer="0" w:header="0"/>
        </w:sectPr>
      </w:pPr>
    </w:p>
    <w:bookmarkStart w:id="377" w:name="page378"/>
    <w:bookmarkEnd w:id="377"/>
    <w:p>
      <w:pPr>
        <w:ind w:left="9660"/>
        <w:spacing w:after="0"/>
        <w:rPr>
          <w:sz w:val="20"/>
          <w:szCs w:val="20"/>
          <w:color w:val="auto"/>
        </w:rPr>
      </w:pPr>
      <w:r>
        <w:rPr>
          <w:rFonts w:ascii="Arial" w:cs="Arial" w:eastAsia="Arial" w:hAnsi="Arial"/>
          <w:sz w:val="18"/>
          <w:szCs w:val="18"/>
          <w:color w:val="auto"/>
        </w:rPr>
        <w:t>EXHIBIT L-3</w:t>
      </w: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FORM OF NON-BANK CERTIFICATE</w:t>
      </w:r>
    </w:p>
    <w:p>
      <w:pPr>
        <w:spacing w:after="0" w:line="29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00" w:lineRule="exact"/>
        <w:rPr>
          <w:sz w:val="20"/>
          <w:szCs w:val="20"/>
          <w:color w:val="auto"/>
        </w:rPr>
      </w:pPr>
    </w:p>
    <w:p>
      <w:pPr>
        <w:spacing w:after="0" w:line="258" w:lineRule="exact"/>
        <w:rPr>
          <w:sz w:val="20"/>
          <w:szCs w:val="20"/>
          <w:color w:val="auto"/>
        </w:rPr>
      </w:pPr>
    </w:p>
    <w:p>
      <w:pPr>
        <w:jc w:val="both"/>
        <w:ind w:left="960" w:right="20" w:firstLine="1204"/>
        <w:spacing w:after="0"/>
        <w:rPr>
          <w:sz w:val="20"/>
          <w:szCs w:val="20"/>
          <w:color w:val="auto"/>
        </w:rPr>
      </w:pPr>
      <w:r>
        <w:rPr>
          <w:rFonts w:ascii="Arial" w:cs="Arial" w:eastAsia="Arial" w:hAnsi="Arial"/>
          <w:sz w:val="18"/>
          <w:szCs w:val="18"/>
          <w:color w:val="auto"/>
        </w:rPr>
        <w:t>Reference is hereby made to the Amended and Restated Credit and Guaranty Agreement dated as of July 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from time to time party thereto, the several banks, financial institutions, institutional investors and other entities from time to time party thereto as lenders, and JPMorgan Chase Bank, N.A., as Administrative Agent.</w:t>
      </w:r>
    </w:p>
    <w:p>
      <w:pPr>
        <w:spacing w:after="0" w:line="194" w:lineRule="exact"/>
        <w:rPr>
          <w:sz w:val="20"/>
          <w:szCs w:val="20"/>
          <w:color w:val="auto"/>
        </w:rPr>
      </w:pPr>
    </w:p>
    <w:p>
      <w:pPr>
        <w:jc w:val="both"/>
        <w:ind w:left="960" w:right="20" w:firstLine="1204"/>
        <w:spacing w:after="0" w:line="265"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13.4(b)(ii)</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is a bank within the meaning of Section 881(c)(3)(A) of the Code, (iv) none of its direct or indirect partners/members is a ten percent shareholder of the Borrower within the meaning of Section 871(h)(3)(B) of the Code, (v) none of its direct or indirect partners/members is a controlled foreign corporation related to the Borrower as described in Section 881(c)(3)</w:t>
      </w:r>
    </w:p>
    <w:p>
      <w:pPr>
        <w:spacing w:after="0" w:line="1" w:lineRule="exact"/>
        <w:rPr>
          <w:sz w:val="20"/>
          <w:szCs w:val="20"/>
          <w:color w:val="auto"/>
        </w:rPr>
      </w:pPr>
    </w:p>
    <w:p>
      <w:pPr>
        <w:ind w:left="960" w:right="20" w:firstLine="3"/>
        <w:spacing w:after="0" w:line="245" w:lineRule="auto"/>
        <w:tabs>
          <w:tab w:leader="none" w:pos="126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of the Code and (vi) no payments in connection with any Loan Document or such participation are effectively connected with the undersigned’s or any of its direct or indirect partners/members’ conduct of a U.S. trade or business.</w:t>
      </w:r>
    </w:p>
    <w:p>
      <w:pPr>
        <w:spacing w:after="0" w:line="188" w:lineRule="exact"/>
        <w:rPr>
          <w:sz w:val="20"/>
          <w:szCs w:val="20"/>
          <w:color w:val="auto"/>
        </w:rPr>
      </w:pPr>
    </w:p>
    <w:p>
      <w:pPr>
        <w:jc w:val="both"/>
        <w:ind w:left="960" w:firstLine="1204"/>
        <w:spacing w:after="0" w:line="237"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8" w:lineRule="exact"/>
        <w:rPr>
          <w:sz w:val="20"/>
          <w:szCs w:val="20"/>
          <w:color w:val="auto"/>
        </w:rPr>
      </w:pPr>
    </w:p>
    <w:p>
      <w:pPr>
        <w:jc w:val="both"/>
        <w:ind w:left="960" w:right="20" w:firstLine="1204"/>
        <w:spacing w:after="0" w:line="263"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356870</wp:posOffset>
            </wp:positionV>
            <wp:extent cx="621030" cy="2946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940"/>
        <w:spacing w:after="0"/>
        <w:rPr>
          <w:sz w:val="20"/>
          <w:szCs w:val="20"/>
          <w:color w:val="auto"/>
        </w:rPr>
      </w:pPr>
      <w:r>
        <w:rPr>
          <w:rFonts w:ascii="Arial" w:cs="Arial" w:eastAsia="Arial" w:hAnsi="Arial"/>
          <w:sz w:val="16"/>
          <w:szCs w:val="16"/>
          <w:color w:val="auto"/>
        </w:rPr>
        <w:t>Exhibit L-3</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4" w:right="819" w:bottom="1440" w:gutter="0" w:footer="0" w:header="0"/>
        </w:sectPr>
      </w:pPr>
    </w:p>
    <w:bookmarkStart w:id="378" w:name="page379"/>
    <w:bookmarkEnd w:id="378"/>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[NAME OF FOREIGN PARTICIPANT]</w:t>
      </w:r>
    </w:p>
    <w:p>
      <w:pPr>
        <w:spacing w:after="0" w:line="231" w:lineRule="exact"/>
        <w:rPr>
          <w:sz w:val="20"/>
          <w:szCs w:val="20"/>
          <w:color w:val="auto"/>
        </w:rPr>
      </w:pPr>
    </w:p>
    <w:p>
      <w:pPr>
        <w:ind w:left="102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-8890</wp:posOffset>
            </wp:positionV>
            <wp:extent cx="2336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left="96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-8890</wp:posOffset>
            </wp:positionV>
            <wp:extent cx="11684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356870</wp:posOffset>
            </wp:positionV>
            <wp:extent cx="621030" cy="2946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319"/>
        <w:spacing w:after="0"/>
        <w:rPr>
          <w:sz w:val="20"/>
          <w:szCs w:val="20"/>
          <w:color w:val="auto"/>
        </w:rPr>
      </w:pPr>
      <w:r>
        <w:rPr>
          <w:rFonts w:ascii="Arial" w:cs="Arial" w:eastAsia="Arial" w:hAnsi="Arial"/>
          <w:sz w:val="16"/>
          <w:szCs w:val="16"/>
          <w:color w:val="auto"/>
        </w:rPr>
        <w:t>Exhibit L-3</w:t>
      </w:r>
    </w:p>
    <w:p>
      <w:pPr>
        <w:spacing w:after="0" w:line="18" w:lineRule="exact"/>
        <w:rPr>
          <w:sz w:val="20"/>
          <w:szCs w:val="20"/>
          <w:color w:val="auto"/>
        </w:rPr>
      </w:pPr>
    </w:p>
    <w:p>
      <w:pPr>
        <w:jc w:val="center"/>
        <w:ind w:right="931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099"/>
          </w:cols>
          <w:pgMar w:left="360" w:top="1440" w:right="1440" w:bottom="1440" w:gutter="0" w:footer="0" w:header="0"/>
        </w:sectPr>
      </w:pPr>
    </w:p>
    <w:bookmarkStart w:id="379" w:name="page380"/>
    <w:bookmarkEnd w:id="379"/>
    <w:p>
      <w:pPr>
        <w:ind w:left="9660"/>
        <w:spacing w:after="0"/>
        <w:rPr>
          <w:sz w:val="20"/>
          <w:szCs w:val="20"/>
          <w:color w:val="auto"/>
        </w:rPr>
      </w:pPr>
      <w:r>
        <w:rPr>
          <w:rFonts w:ascii="Arial" w:cs="Arial" w:eastAsia="Arial" w:hAnsi="Arial"/>
          <w:sz w:val="18"/>
          <w:szCs w:val="18"/>
          <w:color w:val="auto"/>
        </w:rPr>
        <w:t>EXHIBIT L-4</w:t>
      </w:r>
    </w:p>
    <w:p>
      <w:pPr>
        <w:spacing w:after="0" w:line="200" w:lineRule="exact"/>
        <w:rPr>
          <w:sz w:val="20"/>
          <w:szCs w:val="20"/>
          <w:color w:val="auto"/>
        </w:rPr>
      </w:pPr>
    </w:p>
    <w:p>
      <w:pPr>
        <w:spacing w:after="0" w:line="245" w:lineRule="exact"/>
        <w:rPr>
          <w:sz w:val="20"/>
          <w:szCs w:val="20"/>
          <w:color w:val="auto"/>
        </w:rPr>
      </w:pPr>
    </w:p>
    <w:p>
      <w:pPr>
        <w:ind w:left="2720"/>
        <w:spacing w:after="0"/>
        <w:rPr>
          <w:sz w:val="20"/>
          <w:szCs w:val="20"/>
          <w:color w:val="auto"/>
        </w:rPr>
      </w:pPr>
      <w:r>
        <w:rPr>
          <w:rFonts w:ascii="Arial" w:cs="Arial" w:eastAsia="Arial" w:hAnsi="Arial"/>
          <w:sz w:val="18"/>
          <w:szCs w:val="18"/>
          <w:u w:val="single" w:color="auto"/>
          <w:color w:val="auto"/>
        </w:rPr>
        <w:t>FORM OF NON-BANK COMPLIANCE CERTIFICATE</w:t>
      </w:r>
    </w:p>
    <w:p>
      <w:pPr>
        <w:spacing w:after="0" w:line="29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00" w:lineRule="exact"/>
        <w:rPr>
          <w:sz w:val="20"/>
          <w:szCs w:val="20"/>
          <w:color w:val="auto"/>
        </w:rPr>
      </w:pPr>
    </w:p>
    <w:p>
      <w:pPr>
        <w:spacing w:after="0" w:line="258" w:lineRule="exact"/>
        <w:rPr>
          <w:sz w:val="20"/>
          <w:szCs w:val="20"/>
          <w:color w:val="auto"/>
        </w:rPr>
      </w:pPr>
    </w:p>
    <w:p>
      <w:pPr>
        <w:jc w:val="both"/>
        <w:ind w:left="960" w:right="20" w:firstLine="1204"/>
        <w:spacing w:after="0"/>
        <w:rPr>
          <w:sz w:val="20"/>
          <w:szCs w:val="20"/>
          <w:color w:val="auto"/>
        </w:rPr>
      </w:pPr>
      <w:r>
        <w:rPr>
          <w:rFonts w:ascii="Arial" w:cs="Arial" w:eastAsia="Arial" w:hAnsi="Arial"/>
          <w:sz w:val="18"/>
          <w:szCs w:val="18"/>
          <w:color w:val="auto"/>
        </w:rPr>
        <w:t>Reference is hereby made to the Amended and Restated Credit and Guaranty Agreement dated as of July 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from time to time party thereto, the several banks, financial institutions, institutional investors and other entities from time to time party thereto as lenders, and JPMorgan Chase Bank, N.A., as Administrative Agent.</w:t>
      </w:r>
    </w:p>
    <w:p>
      <w:pPr>
        <w:spacing w:after="0" w:line="194" w:lineRule="exact"/>
        <w:rPr>
          <w:sz w:val="20"/>
          <w:szCs w:val="20"/>
          <w:color w:val="auto"/>
        </w:rPr>
      </w:pPr>
    </w:p>
    <w:p>
      <w:pPr>
        <w:jc w:val="both"/>
        <w:ind w:left="960" w:firstLine="1204"/>
        <w:spacing w:after="0" w:line="264"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and other Obligations in respect of which it is providing this certificate, (ii) its direct or indirect partners/members are the sole beneficial owners of such Loan(s) (as well as any Note(s) evidencing such Loan(s)) and such other Obligations, (iii) neither the undersigned nor any of its direct or indirect partners/members is a bank within the meaning of Section 881(c)(3)(A) of the Code, (iv) none of its direct or indirect partners/members is a ten percent shareholder of the Borrower within the meaning of Section 871(h)(3)(B) of the Code, (v) none of its direct or indirect partners/members is a controlled foreign corporation related to the Borrower as described in Section 881(c)(3)</w:t>
      </w:r>
    </w:p>
    <w:p>
      <w:pPr>
        <w:spacing w:after="0" w:line="4" w:lineRule="exact"/>
        <w:rPr>
          <w:sz w:val="20"/>
          <w:szCs w:val="20"/>
          <w:color w:val="auto"/>
        </w:rPr>
      </w:pPr>
    </w:p>
    <w:p>
      <w:pPr>
        <w:ind w:left="960" w:right="20" w:firstLine="2"/>
        <w:spacing w:after="0" w:line="245" w:lineRule="auto"/>
        <w:tabs>
          <w:tab w:leader="none" w:pos="12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of the Code, and (vi) no payments in connection with any Loan Document are effectively connected with the undersigned’s or any of its direct or indirect partners/members’ conduct of a U.S. trade or business.</w:t>
      </w:r>
    </w:p>
    <w:p>
      <w:pPr>
        <w:spacing w:after="0" w:line="188" w:lineRule="exact"/>
        <w:rPr>
          <w:sz w:val="20"/>
          <w:szCs w:val="20"/>
          <w:color w:val="auto"/>
        </w:rPr>
      </w:pPr>
    </w:p>
    <w:p>
      <w:pPr>
        <w:jc w:val="both"/>
        <w:ind w:left="960" w:firstLine="1204"/>
        <w:spacing w:after="0" w:line="253"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in writing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2" w:lineRule="exact"/>
        <w:rPr>
          <w:sz w:val="20"/>
          <w:szCs w:val="20"/>
          <w:color w:val="auto"/>
        </w:rPr>
      </w:pPr>
    </w:p>
    <w:p>
      <w:pPr>
        <w:jc w:val="both"/>
        <w:ind w:left="960" w:right="20" w:firstLine="1204"/>
        <w:spacing w:after="0" w:line="263"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621030" cy="294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940"/>
        <w:spacing w:after="0"/>
        <w:rPr>
          <w:sz w:val="20"/>
          <w:szCs w:val="20"/>
          <w:color w:val="auto"/>
        </w:rPr>
      </w:pPr>
      <w:r>
        <w:rPr>
          <w:rFonts w:ascii="Arial" w:cs="Arial" w:eastAsia="Arial" w:hAnsi="Arial"/>
          <w:sz w:val="16"/>
          <w:szCs w:val="16"/>
          <w:color w:val="auto"/>
        </w:rPr>
        <w:t>Exhibit L-4</w:t>
      </w:r>
    </w:p>
    <w:p>
      <w:pPr>
        <w:spacing w:after="0" w:line="18" w:lineRule="exact"/>
        <w:rPr>
          <w:sz w:val="20"/>
          <w:szCs w:val="20"/>
          <w:color w:val="auto"/>
        </w:rPr>
      </w:pPr>
    </w:p>
    <w:p>
      <w:pPr>
        <w:jc w:val="center"/>
        <w:ind w:right="99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4" w:right="819" w:bottom="1440" w:gutter="0" w:footer="0" w:header="0"/>
        </w:sectPr>
      </w:pPr>
    </w:p>
    <w:bookmarkStart w:id="380" w:name="page381"/>
    <w:bookmarkEnd w:id="380"/>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[NAME OF FOREIGN LENDER]</w:t>
      </w:r>
    </w:p>
    <w:p>
      <w:pPr>
        <w:spacing w:after="0" w:line="231" w:lineRule="exact"/>
        <w:rPr>
          <w:sz w:val="20"/>
          <w:szCs w:val="20"/>
          <w:color w:val="auto"/>
        </w:rPr>
      </w:pPr>
    </w:p>
    <w:p>
      <w:pPr>
        <w:ind w:left="102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-8890</wp:posOffset>
            </wp:positionV>
            <wp:extent cx="2336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left="96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-8890</wp:posOffset>
            </wp:positionV>
            <wp:extent cx="1168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356870</wp:posOffset>
            </wp:positionV>
            <wp:extent cx="621030" cy="294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62103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9319"/>
        <w:spacing w:after="0"/>
        <w:rPr>
          <w:sz w:val="20"/>
          <w:szCs w:val="20"/>
          <w:color w:val="auto"/>
        </w:rPr>
      </w:pPr>
      <w:r>
        <w:rPr>
          <w:rFonts w:ascii="Arial" w:cs="Arial" w:eastAsia="Arial" w:hAnsi="Arial"/>
          <w:sz w:val="16"/>
          <w:szCs w:val="16"/>
          <w:color w:val="auto"/>
        </w:rPr>
        <w:t>Exhibit L-4</w:t>
      </w:r>
    </w:p>
    <w:p>
      <w:pPr>
        <w:spacing w:after="0" w:line="18" w:lineRule="exact"/>
        <w:rPr>
          <w:sz w:val="20"/>
          <w:szCs w:val="20"/>
          <w:color w:val="auto"/>
        </w:rPr>
      </w:pPr>
    </w:p>
    <w:p>
      <w:pPr>
        <w:jc w:val="center"/>
        <w:ind w:right="931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099"/>
          </w:cols>
          <w:pgMar w:left="360" w:top="1440" w:right="1440" w:bottom="1440" w:gutter="0" w:footer="0" w:header="0"/>
        </w:sectPr>
      </w:pPr>
    </w:p>
    <w:bookmarkStart w:id="381" w:name="page382"/>
    <w:bookmarkEnd w:id="381"/>
    <w:p>
      <w:pPr>
        <w:ind w:left="9680"/>
        <w:spacing w:after="0"/>
        <w:rPr>
          <w:sz w:val="20"/>
          <w:szCs w:val="20"/>
          <w:color w:val="auto"/>
        </w:rPr>
      </w:pPr>
      <w:r>
        <w:rPr>
          <w:rFonts w:ascii="Arial" w:cs="Arial" w:eastAsia="Arial" w:hAnsi="Arial"/>
          <w:sz w:val="20"/>
          <w:szCs w:val="20"/>
          <w:color w:val="auto"/>
        </w:rPr>
        <w:t>EXHIBIT M</w:t>
      </w: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Arial" w:cs="Arial" w:eastAsia="Arial" w:hAnsi="Arial"/>
          <w:sz w:val="18"/>
          <w:szCs w:val="18"/>
          <w:u w:val="single" w:color="auto"/>
          <w:color w:val="auto"/>
        </w:rPr>
        <w:t>FORM OF SOLVENCY CERTIFICATE</w:t>
      </w:r>
    </w:p>
    <w:p>
      <w:pPr>
        <w:spacing w:after="0" w:line="29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[_], 20[_]</w:t>
      </w:r>
    </w:p>
    <w:p>
      <w:pPr>
        <w:spacing w:after="0" w:line="232" w:lineRule="exact"/>
        <w:rPr>
          <w:sz w:val="20"/>
          <w:szCs w:val="20"/>
          <w:color w:val="auto"/>
        </w:rPr>
      </w:pPr>
    </w:p>
    <w:p>
      <w:pPr>
        <w:jc w:val="both"/>
        <w:ind w:left="960" w:right="20" w:firstLine="602"/>
        <w:spacing w:after="0" w:line="262" w:lineRule="auto"/>
        <w:rPr>
          <w:sz w:val="20"/>
          <w:szCs w:val="20"/>
          <w:color w:val="auto"/>
        </w:rPr>
      </w:pPr>
      <w:r>
        <w:rPr>
          <w:rFonts w:ascii="Arial" w:cs="Arial" w:eastAsia="Arial" w:hAnsi="Arial"/>
          <w:sz w:val="17"/>
          <w:szCs w:val="17"/>
          <w:color w:val="auto"/>
        </w:rPr>
        <w:t>Reference is made to the Amended and Restated and Guaranty Credit Agreement, dated as of the date hereof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LegalZoom.com,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the Lenders party thereto and JPMorgan Chase Bank, N.A., as administrative agent. Unless otherwise defined herein, capitalized terms used in this Certificate shall have the meanings set forth in the Credit Agreement.</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undersigned hereby certifies as follows:</w:t>
      </w:r>
    </w:p>
    <w:p>
      <w:pPr>
        <w:spacing w:after="0" w:line="219" w:lineRule="exact"/>
        <w:rPr>
          <w:sz w:val="20"/>
          <w:szCs w:val="20"/>
          <w:color w:val="auto"/>
        </w:rPr>
      </w:pPr>
    </w:p>
    <w:p>
      <w:pPr>
        <w:ind w:left="2160" w:hanging="595"/>
        <w:spacing w:after="0"/>
        <w:tabs>
          <w:tab w:leader="none" w:pos="21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 am the Chief Financial Officer of the Borrower.</w:t>
      </w:r>
    </w:p>
    <w:p>
      <w:pPr>
        <w:spacing w:after="0" w:line="219" w:lineRule="exact"/>
        <w:rPr>
          <w:rFonts w:ascii="Arial" w:cs="Arial" w:eastAsia="Arial" w:hAnsi="Arial"/>
          <w:sz w:val="18"/>
          <w:szCs w:val="18"/>
          <w:color w:val="auto"/>
        </w:rPr>
      </w:pPr>
    </w:p>
    <w:p>
      <w:pPr>
        <w:jc w:val="both"/>
        <w:ind w:left="960" w:right="20" w:firstLine="604"/>
        <w:spacing w:after="0" w:line="269" w:lineRule="auto"/>
        <w:tabs>
          <w:tab w:leader="none" w:pos="1762"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 have reviewed the terms of the Credit Agreement and the definitions and provisions contained in the Credit Agreement relating thereto and, in my opinion, have made, or have caused to be made under my supervision, such examination or investigation as is necessary to enable me to express an informed opinion as to the matters referred to herein.</w:t>
      </w:r>
    </w:p>
    <w:p>
      <w:pPr>
        <w:spacing w:after="0" w:line="170" w:lineRule="exact"/>
        <w:rPr>
          <w:rFonts w:ascii="Arial" w:cs="Arial" w:eastAsia="Arial" w:hAnsi="Arial"/>
          <w:sz w:val="17"/>
          <w:szCs w:val="17"/>
          <w:color w:val="auto"/>
        </w:rPr>
      </w:pPr>
    </w:p>
    <w:p>
      <w:pPr>
        <w:jc w:val="both"/>
        <w:ind w:left="960" w:right="20" w:firstLine="604"/>
        <w:spacing w:after="0" w:line="248" w:lineRule="auto"/>
        <w:tabs>
          <w:tab w:leader="none" w:pos="1761" w:val="left"/>
        </w:tabs>
        <w:numPr>
          <w:ilvl w:val="0"/>
          <w:numId w:val="385"/>
        </w:numPr>
        <w:rPr>
          <w:rFonts w:ascii="Arial" w:cs="Arial" w:eastAsia="Arial" w:hAnsi="Arial"/>
          <w:sz w:val="18"/>
          <w:szCs w:val="18"/>
          <w:color w:val="auto"/>
        </w:rPr>
      </w:pPr>
      <w:r>
        <w:rPr>
          <w:rFonts w:ascii="Arial" w:cs="Arial" w:eastAsia="Arial" w:hAnsi="Arial"/>
          <w:sz w:val="18"/>
          <w:szCs w:val="18"/>
          <w:color w:val="auto"/>
        </w:rPr>
        <w:t>Based upon my review and examination described in paragraph 2 above, I certify on behalf of the Borrower and its Subsidiaries, on a consolidated basis, that, as of the date hereof and after giving effect to the Transactions and the other transactions contemplated by the Credit Agreement:</w:t>
      </w:r>
    </w:p>
    <w:p>
      <w:pPr>
        <w:spacing w:after="0" w:line="185" w:lineRule="exact"/>
        <w:rPr>
          <w:rFonts w:ascii="Arial" w:cs="Arial" w:eastAsia="Arial" w:hAnsi="Arial"/>
          <w:sz w:val="18"/>
          <w:szCs w:val="18"/>
          <w:color w:val="auto"/>
        </w:rPr>
      </w:pPr>
    </w:p>
    <w:p>
      <w:pPr>
        <w:jc w:val="both"/>
        <w:ind w:left="960" w:right="20" w:firstLine="1207"/>
        <w:spacing w:after="0" w:line="248" w:lineRule="auto"/>
        <w:tabs>
          <w:tab w:leader="none" w:pos="236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sum of the “fair value” of the assets of the Borrower and its Subsidiaries, taken as a whole, exceeds the sum of all debts of the Borrower and its Subsidiaries, taken as a whole, as such quoted terms are determined in accordance with applicable federal and state laws governing determinations of the insolvency of debtors.</w:t>
      </w:r>
    </w:p>
    <w:p>
      <w:pPr>
        <w:spacing w:after="0" w:line="185" w:lineRule="exact"/>
        <w:rPr>
          <w:rFonts w:ascii="Arial" w:cs="Arial" w:eastAsia="Arial" w:hAnsi="Arial"/>
          <w:sz w:val="18"/>
          <w:szCs w:val="18"/>
          <w:color w:val="auto"/>
        </w:rPr>
      </w:pPr>
    </w:p>
    <w:p>
      <w:pPr>
        <w:jc w:val="both"/>
        <w:ind w:left="960" w:right="20" w:firstLine="1206"/>
        <w:spacing w:after="0" w:line="262" w:lineRule="auto"/>
        <w:tabs>
          <w:tab w:leader="none" w:pos="2965" w:val="left"/>
        </w:tabs>
        <w:numPr>
          <w:ilvl w:val="1"/>
          <w:numId w:val="385"/>
        </w:numPr>
        <w:rPr>
          <w:rFonts w:ascii="Arial" w:cs="Arial" w:eastAsia="Arial" w:hAnsi="Arial"/>
          <w:sz w:val="17"/>
          <w:szCs w:val="17"/>
          <w:color w:val="auto"/>
        </w:rPr>
      </w:pPr>
      <w:r>
        <w:rPr>
          <w:rFonts w:ascii="Arial" w:cs="Arial" w:eastAsia="Arial" w:hAnsi="Arial"/>
          <w:sz w:val="17"/>
          <w:szCs w:val="17"/>
          <w:color w:val="auto"/>
        </w:rPr>
        <w:t>The “present fair saleable value” of the assets of the Borrower and its Subsidiaries, taken as a whole, is greater than the amount that will be required to pay the probable liabilities (including contingent liabilities) of the Borrower and its Subsidiaries, taken as a whole, on their debts as they become absolute and matured, as such quoted term is determined in accordance with applicable federal and state laws governing determinations of the insolvency of debtors.</w:t>
      </w:r>
    </w:p>
    <w:p>
      <w:pPr>
        <w:spacing w:after="0" w:line="174" w:lineRule="exact"/>
        <w:rPr>
          <w:rFonts w:ascii="Arial" w:cs="Arial" w:eastAsia="Arial" w:hAnsi="Arial"/>
          <w:sz w:val="17"/>
          <w:szCs w:val="17"/>
          <w:color w:val="auto"/>
        </w:rPr>
      </w:pPr>
    </w:p>
    <w:p>
      <w:pPr>
        <w:ind w:left="960" w:right="20" w:firstLine="1206"/>
        <w:spacing w:after="0" w:line="263" w:lineRule="auto"/>
        <w:tabs>
          <w:tab w:leader="none" w:pos="2966"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capital of the Borrower and its Subsidiaries, taken as a whole, is not unreasonably small in relation to the business of the Borrower or its Subsidiaries, taken as a whole, are or are about to become engaged in.</w:t>
      </w:r>
    </w:p>
    <w:p>
      <w:pPr>
        <w:spacing w:after="0" w:line="185" w:lineRule="exact"/>
        <w:rPr>
          <w:rFonts w:ascii="Arial" w:cs="Arial" w:eastAsia="Arial" w:hAnsi="Arial"/>
          <w:sz w:val="18"/>
          <w:szCs w:val="18"/>
          <w:color w:val="auto"/>
        </w:rPr>
      </w:pPr>
    </w:p>
    <w:p>
      <w:pPr>
        <w:ind w:left="960" w:right="20" w:firstLine="1206"/>
        <w:spacing w:after="0" w:line="293" w:lineRule="auto"/>
        <w:tabs>
          <w:tab w:leader="none" w:pos="2956" w:val="left"/>
        </w:tabs>
        <w:numPr>
          <w:ilvl w:val="1"/>
          <w:numId w:val="385"/>
        </w:numPr>
        <w:rPr>
          <w:rFonts w:ascii="Arial" w:cs="Arial" w:eastAsia="Arial" w:hAnsi="Arial"/>
          <w:sz w:val="17"/>
          <w:szCs w:val="17"/>
          <w:color w:val="auto"/>
        </w:rPr>
      </w:pPr>
      <w:r>
        <w:rPr>
          <w:rFonts w:ascii="Arial" w:cs="Arial" w:eastAsia="Arial" w:hAnsi="Arial"/>
          <w:sz w:val="17"/>
          <w:szCs w:val="17"/>
          <w:color w:val="auto"/>
        </w:rPr>
        <w:t>The Borrower and its Subsidiaries, taken as a whole, do not intend to incur, or believe that they will incur, debts (including current obligations and contingent liabilities) beyond their ability to pay such debts as they mature.</w:t>
      </w:r>
    </w:p>
    <w:p>
      <w:pPr>
        <w:spacing w:after="0" w:line="150" w:lineRule="exact"/>
        <w:rPr>
          <w:sz w:val="20"/>
          <w:szCs w:val="20"/>
          <w:color w:val="auto"/>
        </w:rPr>
      </w:pPr>
    </w:p>
    <w:p>
      <w:pPr>
        <w:jc w:val="both"/>
        <w:ind w:left="960" w:firstLine="1204"/>
        <w:spacing w:after="0" w:line="237" w:lineRule="auto"/>
        <w:rPr>
          <w:sz w:val="20"/>
          <w:szCs w:val="20"/>
          <w:color w:val="auto"/>
        </w:rPr>
      </w:pPr>
      <w:r>
        <w:rPr>
          <w:rFonts w:ascii="Arial" w:cs="Arial" w:eastAsia="Arial" w:hAnsi="Arial"/>
          <w:sz w:val="18"/>
          <w:szCs w:val="18"/>
          <w:color w:val="auto"/>
        </w:rPr>
        <w:t>For the purposes of clauses (i) through (iv) above, (a) (i) “debt” means liability on a “claim” and (ii) “claim” means any (x) right to payment, whether or not such a right is reduced to judgment, liquidated, unliquidated, fixed, contingent, matured, unmatured, disputed, undisputed, legal, equitable, subordinated,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and (b) the amount of any contingent, unliquidated and disputed claim and any claim that has not been reduced to judgment at any time has been computed as the amount that, in light of all of the facts and circumstances existing at such time, represents the amount that can reasonably be expected to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349885</wp:posOffset>
            </wp:positionV>
            <wp:extent cx="541655" cy="294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541655" cy="2946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0040"/>
        <w:spacing w:after="0"/>
        <w:rPr>
          <w:sz w:val="20"/>
          <w:szCs w:val="20"/>
          <w:color w:val="auto"/>
        </w:rPr>
      </w:pPr>
      <w:r>
        <w:rPr>
          <w:rFonts w:ascii="Arial" w:cs="Arial" w:eastAsia="Arial" w:hAnsi="Arial"/>
          <w:sz w:val="16"/>
          <w:szCs w:val="16"/>
          <w:color w:val="auto"/>
        </w:rPr>
        <w:t>Exhibit M</w:t>
      </w:r>
    </w:p>
    <w:p>
      <w:pPr>
        <w:spacing w:after="0" w:line="18" w:lineRule="exact"/>
        <w:rPr>
          <w:sz w:val="20"/>
          <w:szCs w:val="20"/>
          <w:color w:val="auto"/>
        </w:rPr>
      </w:pPr>
    </w:p>
    <w:p>
      <w:pPr>
        <w:jc w:val="center"/>
        <w:ind w:right="100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0" w:right="819" w:bottom="1440" w:gutter="0" w:footer="0" w:header="0"/>
        </w:sectPr>
      </w:pPr>
    </w:p>
    <w:bookmarkStart w:id="382" w:name="page383"/>
    <w:bookmarkEnd w:id="382"/>
    <w:p>
      <w:pPr>
        <w:ind w:left="960" w:right="160"/>
        <w:spacing w:after="0" w:line="263" w:lineRule="auto"/>
        <w:rPr>
          <w:sz w:val="20"/>
          <w:szCs w:val="20"/>
          <w:color w:val="auto"/>
        </w:rPr>
      </w:pPr>
      <w:r>
        <w:rPr>
          <w:rFonts w:ascii="Arial" w:cs="Arial" w:eastAsia="Arial" w:hAnsi="Arial"/>
          <w:sz w:val="18"/>
          <w:szCs w:val="18"/>
          <w:color w:val="auto"/>
        </w:rPr>
        <w:t>an actual or matured liability (irrespective of whether such liabilities meet the criteria for accrual under the Financial Accounting Standards Board Statement of Financial Accounting Standards No. 5).</w:t>
      </w:r>
    </w:p>
    <w:p>
      <w:pPr>
        <w:spacing w:after="0" w:line="186"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foregoing certifications are made and delivered as of the date hereof.</w:t>
      </w:r>
    </w:p>
    <w:p>
      <w:pPr>
        <w:spacing w:after="0" w:line="219" w:lineRule="exact"/>
        <w:rPr>
          <w:sz w:val="20"/>
          <w:szCs w:val="20"/>
          <w:color w:val="auto"/>
        </w:rPr>
      </w:pPr>
    </w:p>
    <w:p>
      <w:pPr>
        <w:ind w:left="960" w:firstLine="602"/>
        <w:spacing w:after="0" w:line="263" w:lineRule="auto"/>
        <w:rPr>
          <w:sz w:val="20"/>
          <w:szCs w:val="20"/>
          <w:color w:val="auto"/>
        </w:rPr>
      </w:pPr>
      <w:r>
        <w:rPr>
          <w:rFonts w:ascii="Arial" w:cs="Arial" w:eastAsia="Arial" w:hAnsi="Arial"/>
          <w:sz w:val="18"/>
          <w:szCs w:val="18"/>
          <w:color w:val="auto"/>
        </w:rPr>
        <w:t>This certificate is being signed by the undersigned in his capacity as the Chief Financial Officer of the Borrower and not in his individual capacity.</w:t>
      </w:r>
    </w:p>
    <w:p>
      <w:pPr>
        <w:spacing w:after="0" w:line="17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365125</wp:posOffset>
            </wp:positionV>
            <wp:extent cx="541655" cy="294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541655" cy="2946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9920"/>
        <w:spacing w:after="0"/>
        <w:rPr>
          <w:sz w:val="20"/>
          <w:szCs w:val="20"/>
          <w:color w:val="auto"/>
        </w:rPr>
      </w:pPr>
      <w:r>
        <w:rPr>
          <w:rFonts w:ascii="Arial" w:cs="Arial" w:eastAsia="Arial" w:hAnsi="Arial"/>
          <w:sz w:val="16"/>
          <w:szCs w:val="16"/>
          <w:color w:val="auto"/>
        </w:rPr>
        <w:t>Exhibit M</w:t>
      </w:r>
    </w:p>
    <w:p>
      <w:pPr>
        <w:spacing w:after="0" w:line="18" w:lineRule="exact"/>
        <w:rPr>
          <w:sz w:val="20"/>
          <w:szCs w:val="20"/>
          <w:color w:val="auto"/>
        </w:rPr>
      </w:pPr>
    </w:p>
    <w:p>
      <w:pPr>
        <w:jc w:val="center"/>
        <w:ind w:right="992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600"/>
          </w:cols>
          <w:pgMar w:left="360" w:top="1326" w:right="939" w:bottom="1440" w:gutter="0" w:footer="0" w:header="0"/>
        </w:sectPr>
      </w:pPr>
    </w:p>
    <w:bookmarkStart w:id="383" w:name="page384"/>
    <w:bookmarkEnd w:id="383"/>
    <w:p>
      <w:pPr>
        <w:ind w:left="1080"/>
        <w:spacing w:after="0"/>
        <w:rPr>
          <w:sz w:val="20"/>
          <w:szCs w:val="20"/>
          <w:color w:val="auto"/>
        </w:rPr>
      </w:pPr>
      <w:r>
        <w:rPr>
          <w:rFonts w:ascii="Arial" w:cs="Arial" w:eastAsia="Arial" w:hAnsi="Arial"/>
          <w:sz w:val="16"/>
          <w:szCs w:val="16"/>
          <w:color w:val="auto"/>
        </w:rPr>
        <w:t>IN WITNESS WHEREOF, the undersigned has executed this Certificate as of the date first written above.</w:t>
      </w:r>
    </w:p>
    <w:p>
      <w:pPr>
        <w:sectPr>
          <w:pgSz w:w="11900" w:h="16838" w:orient="portrait"/>
          <w:cols w:equalWidth="0" w:num="1">
            <w:col w:w="9019"/>
          </w:cols>
          <w:pgMar w:left="1440" w:top="1326"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LEGALZOOM.COM, INC.</w:t>
      </w:r>
    </w:p>
    <w:p>
      <w:pPr>
        <w:spacing w:after="0" w:line="200" w:lineRule="exact"/>
        <w:rPr>
          <w:sz w:val="20"/>
          <w:szCs w:val="20"/>
          <w:color w:val="auto"/>
        </w:rPr>
      </w:pPr>
    </w:p>
    <w:p>
      <w:pPr>
        <w:spacing w:after="0" w:line="381" w:lineRule="exact"/>
        <w:rPr>
          <w:sz w:val="20"/>
          <w:szCs w:val="20"/>
          <w:color w:val="auto"/>
        </w:rPr>
      </w:pPr>
    </w:p>
    <w:tbl>
      <w:tblPr>
        <w:tblLayout w:type="fixed"/>
        <w:tblInd w:w="3500" w:type="dxa"/>
        <w:tblCellMar>
          <w:top w:w="0" w:type="dxa"/>
          <w:left w:w="0" w:type="dxa"/>
          <w:bottom w:w="0" w:type="dxa"/>
          <w:right w:w="0" w:type="dxa"/>
        </w:tblCellMar>
      </w:tblPr>
      <w:tr>
        <w:trPr>
          <w:trHeight w:val="207"/>
        </w:trPr>
        <w:tc>
          <w:tcPr>
            <w:tcW w:w="280" w:type="dxa"/>
            <w:vAlign w:val="bottom"/>
            <w:gridSpan w:val="2"/>
          </w:tcPr>
          <w:p>
            <w:pPr>
              <w:spacing w:after="0"/>
              <w:rPr>
                <w:sz w:val="20"/>
                <w:szCs w:val="20"/>
                <w:color w:val="auto"/>
              </w:rPr>
            </w:pPr>
            <w:r>
              <w:rPr>
                <w:rFonts w:ascii="Arial" w:cs="Arial" w:eastAsia="Arial" w:hAnsi="Arial"/>
                <w:sz w:val="18"/>
                <w:szCs w:val="18"/>
                <w:color w:val="auto"/>
                <w:w w:val="99"/>
              </w:rPr>
              <w:t>By:</w:t>
            </w:r>
          </w:p>
        </w:tc>
        <w:tc>
          <w:tcPr>
            <w:tcW w:w="340" w:type="dxa"/>
            <w:vAlign w:val="bottom"/>
          </w:tcPr>
          <w:p>
            <w:pPr>
              <w:spacing w:after="0"/>
              <w:rPr>
                <w:sz w:val="17"/>
                <w:szCs w:val="17"/>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Name: Noel Watson</w:t>
            </w:r>
          </w:p>
        </w:tc>
      </w:tr>
      <w:tr>
        <w:trPr>
          <w:trHeight w:val="226"/>
        </w:trPr>
        <w:tc>
          <w:tcPr>
            <w:tcW w:w="2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6"/>
              </w:rPr>
              <w:t>Title:</w:t>
            </w:r>
          </w:p>
        </w:tc>
        <w:tc>
          <w:tcPr>
            <w:tcW w:w="1820" w:type="dxa"/>
            <w:vAlign w:val="bottom"/>
          </w:tcPr>
          <w:p>
            <w:pPr>
              <w:ind w:left="120"/>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M Page 3</w:t>
      </w:r>
    </w:p>
    <w:p>
      <w:pPr>
        <w:sectPr>
          <w:pgSz w:w="11900" w:h="16838" w:orient="portrait"/>
          <w:cols w:equalWidth="0" w:num="1">
            <w:col w:w="9019"/>
          </w:cols>
          <w:pgMar w:left="1440" w:top="1326" w:right="1440" w:bottom="1440" w:gutter="0" w:footer="0" w:header="0"/>
          <w:type w:val="continuous"/>
        </w:sectPr>
      </w:pPr>
    </w:p>
    <w:bookmarkStart w:id="384" w:name="page385"/>
    <w:bookmarkEnd w:id="384"/>
    <w:p>
      <w:pPr>
        <w:jc w:val="right"/>
        <w:spacing w:after="0"/>
        <w:rPr>
          <w:sz w:val="20"/>
          <w:szCs w:val="20"/>
          <w:color w:val="auto"/>
        </w:rPr>
      </w:pPr>
      <w:r>
        <w:rPr>
          <w:rFonts w:ascii="Arial" w:cs="Arial" w:eastAsia="Arial" w:hAnsi="Arial"/>
          <w:sz w:val="20"/>
          <w:szCs w:val="20"/>
          <w:color w:val="auto"/>
        </w:rPr>
        <w:t>EXHIBIT N</w:t>
      </w:r>
    </w:p>
    <w:p>
      <w:pPr>
        <w:spacing w:after="0" w:line="200" w:lineRule="exact"/>
        <w:rPr>
          <w:sz w:val="20"/>
          <w:szCs w:val="20"/>
          <w:color w:val="auto"/>
        </w:rPr>
      </w:pPr>
    </w:p>
    <w:p>
      <w:pPr>
        <w:spacing w:after="0" w:line="201" w:lineRule="exact"/>
        <w:rPr>
          <w:sz w:val="20"/>
          <w:szCs w:val="20"/>
          <w:color w:val="auto"/>
        </w:rPr>
      </w:pPr>
    </w:p>
    <w:p>
      <w:pPr>
        <w:ind w:left="1820"/>
        <w:spacing w:after="0"/>
        <w:rPr>
          <w:sz w:val="20"/>
          <w:szCs w:val="20"/>
          <w:color w:val="auto"/>
        </w:rPr>
      </w:pPr>
      <w:r>
        <w:rPr>
          <w:rFonts w:ascii="Arial" w:cs="Arial" w:eastAsia="Arial" w:hAnsi="Arial"/>
          <w:sz w:val="18"/>
          <w:szCs w:val="18"/>
          <w:u w:val="single" w:color="auto"/>
          <w:color w:val="auto"/>
        </w:rPr>
        <w:t>FORM OF ADMINISTRATIVE QUESTIONNAIRE</w:t>
      </w:r>
    </w:p>
    <w:p>
      <w:pPr>
        <w:spacing w:after="0" w:line="29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[Please See Attached]</w:t>
      </w:r>
    </w:p>
    <w:p>
      <w:pPr>
        <w:sectPr>
          <w:pgSz w:w="11900" w:h="16838" w:orient="portrait"/>
          <w:cols w:equalWidth="0" w:num="1">
            <w:col w:w="9620"/>
          </w:cols>
          <w:pgMar w:left="1440" w:top="720" w:right="839" w:bottom="1440" w:gutter="0" w:footer="0" w:header="0"/>
        </w:sectPr>
      </w:pPr>
    </w:p>
    <w:bookmarkStart w:id="385" w:name="page386"/>
    <w:bookmarkEnd w:id="385"/>
    <w:p>
      <w:pPr>
        <w:jc w:val="right"/>
        <w:spacing w:after="0"/>
        <w:rPr>
          <w:sz w:val="20"/>
          <w:szCs w:val="20"/>
          <w:color w:val="auto"/>
        </w:rPr>
      </w:pPr>
      <w:r>
        <w:rPr>
          <w:rFonts w:ascii="Arial" w:cs="Arial" w:eastAsia="Arial" w:hAnsi="Arial"/>
          <w:sz w:val="20"/>
          <w:szCs w:val="20"/>
          <w:color w:val="auto"/>
        </w:rPr>
        <w:t>EXHIBIT O</w:t>
      </w:r>
    </w:p>
    <w:p>
      <w:pPr>
        <w:spacing w:after="0" w:line="200" w:lineRule="exact"/>
        <w:rPr>
          <w:sz w:val="20"/>
          <w:szCs w:val="20"/>
          <w:color w:val="auto"/>
        </w:rPr>
      </w:pPr>
    </w:p>
    <w:p>
      <w:pPr>
        <w:spacing w:after="0" w:line="201" w:lineRule="exact"/>
        <w:rPr>
          <w:sz w:val="20"/>
          <w:szCs w:val="20"/>
          <w:color w:val="auto"/>
        </w:rPr>
      </w:pPr>
    </w:p>
    <w:p>
      <w:pPr>
        <w:ind w:left="1920"/>
        <w:spacing w:after="0"/>
        <w:rPr>
          <w:sz w:val="20"/>
          <w:szCs w:val="20"/>
          <w:color w:val="auto"/>
        </w:rPr>
      </w:pPr>
      <w:r>
        <w:rPr>
          <w:rFonts w:ascii="Arial" w:cs="Arial" w:eastAsia="Arial" w:hAnsi="Arial"/>
          <w:sz w:val="18"/>
          <w:szCs w:val="18"/>
          <w:u w:val="single" w:color="auto"/>
          <w:color w:val="auto"/>
        </w:rPr>
        <w:t>FORM OF CO-BORROWER REQUEST AND ASSUMPTION AGREEMENT</w:t>
      </w:r>
    </w:p>
    <w:p>
      <w:pPr>
        <w:spacing w:after="0" w:line="200" w:lineRule="exact"/>
        <w:rPr>
          <w:sz w:val="20"/>
          <w:szCs w:val="20"/>
          <w:color w:val="auto"/>
        </w:rPr>
      </w:pPr>
    </w:p>
    <w:p>
      <w:pPr>
        <w:spacing w:after="0" w:line="25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CO-BORROWER REQUEST AND ASSUMPTION AGREEMENT dated as of [●], 20[●] (this</w:t>
      </w:r>
    </w:p>
    <w:p>
      <w:pPr>
        <w:spacing w:after="0" w:line="10" w:lineRule="exact"/>
        <w:rPr>
          <w:sz w:val="20"/>
          <w:szCs w:val="20"/>
          <w:color w:val="auto"/>
        </w:rPr>
      </w:pPr>
    </w:p>
    <w:p>
      <w:pPr>
        <w:jc w:val="both"/>
        <w:ind w:left="960" w:right="4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among [●], a [●], as Co-Borrower (the “</w:t>
      </w:r>
      <w:r>
        <w:rPr>
          <w:rFonts w:ascii="Arial" w:cs="Arial" w:eastAsia="Arial" w:hAnsi="Arial"/>
          <w:sz w:val="18"/>
          <w:szCs w:val="18"/>
          <w:u w:val="single" w:color="auto"/>
          <w:color w:val="auto"/>
        </w:rPr>
        <w:t>New Co-Borrower</w:t>
      </w:r>
      <w:r>
        <w:rPr>
          <w:rFonts w:ascii="Arial" w:cs="Arial" w:eastAsia="Arial" w:hAnsi="Arial"/>
          <w:sz w:val="18"/>
          <w:szCs w:val="18"/>
          <w:color w:val="auto"/>
        </w:rPr>
        <w:t>”), LegalZoom.com,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party 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the Credit Agreement referred to below.</w:t>
      </w:r>
    </w:p>
    <w:p>
      <w:pPr>
        <w:spacing w:after="0" w:line="2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 I T N E S S E T H:</w:t>
      </w:r>
    </w:p>
    <w:p>
      <w:pPr>
        <w:spacing w:after="0" w:line="219" w:lineRule="exact"/>
        <w:rPr>
          <w:sz w:val="20"/>
          <w:szCs w:val="20"/>
          <w:color w:val="auto"/>
        </w:rPr>
      </w:pPr>
    </w:p>
    <w:p>
      <w:pPr>
        <w:jc w:val="both"/>
        <w:ind w:left="960" w:right="40" w:firstLine="602"/>
        <w:spacing w:after="0" w:line="258" w:lineRule="auto"/>
        <w:rPr>
          <w:sz w:val="20"/>
          <w:szCs w:val="20"/>
          <w:color w:val="auto"/>
        </w:rPr>
      </w:pPr>
      <w:r>
        <w:rPr>
          <w:rFonts w:ascii="Arial" w:cs="Arial" w:eastAsia="Arial" w:hAnsi="Arial"/>
          <w:sz w:val="17"/>
          <w:szCs w:val="17"/>
          <w:color w:val="auto"/>
        </w:rPr>
        <w:t>WHEREAS, reference is made to the Amended and Restated Credit and Guaranty Agreement dated as of July 2, 2021 (as amended, restated, amended and restated, modified, supplemented and/or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but not defined herein have the meanings assigned thereto in the Credit Agreement), among the Borrower, the Subsidiary Guarantors from time to time party thereto, the several banks, financial institutions, institutional investors and other entities from time to time party thereto as lenders and the Administrative Agent; and</w:t>
      </w:r>
    </w:p>
    <w:p>
      <w:pPr>
        <w:spacing w:after="0" w:line="191" w:lineRule="exact"/>
        <w:rPr>
          <w:sz w:val="20"/>
          <w:szCs w:val="20"/>
          <w:color w:val="auto"/>
        </w:rPr>
      </w:pPr>
    </w:p>
    <w:p>
      <w:pPr>
        <w:jc w:val="both"/>
        <w:ind w:left="960" w:right="40" w:firstLine="601"/>
        <w:spacing w:after="0" w:line="263" w:lineRule="auto"/>
        <w:rPr>
          <w:sz w:val="20"/>
          <w:szCs w:val="20"/>
          <w:color w:val="auto"/>
        </w:rPr>
      </w:pPr>
      <w:r>
        <w:rPr>
          <w:rFonts w:ascii="Arial" w:cs="Arial" w:eastAsia="Arial" w:hAnsi="Arial"/>
          <w:sz w:val="18"/>
          <w:szCs w:val="18"/>
          <w:color w:val="auto"/>
        </w:rPr>
        <w:t>WHEREAS, pursuant to Section 13.26 of the Credit Agreement, the Borrower desires to appoint the New Co-Borrower as a Co-Borrower under the Revolving Facility.</w:t>
      </w:r>
    </w:p>
    <w:p>
      <w:pPr>
        <w:spacing w:after="0" w:line="186" w:lineRule="exact"/>
        <w:rPr>
          <w:sz w:val="20"/>
          <w:szCs w:val="20"/>
          <w:color w:val="auto"/>
        </w:rPr>
      </w:pPr>
    </w:p>
    <w:p>
      <w:pPr>
        <w:jc w:val="both"/>
        <w:ind w:left="960" w:right="40" w:firstLine="602"/>
        <w:spacing w:after="0" w:line="263" w:lineRule="auto"/>
        <w:rPr>
          <w:sz w:val="20"/>
          <w:szCs w:val="20"/>
          <w:color w:val="auto"/>
        </w:rPr>
      </w:pPr>
      <w:r>
        <w:rPr>
          <w:rFonts w:ascii="Arial" w:cs="Arial" w:eastAsia="Arial" w:hAnsi="Arial"/>
          <w:sz w:val="18"/>
          <w:szCs w:val="18"/>
          <w:color w:val="auto"/>
        </w:rPr>
        <w:t>NOW, THEREFORE, in consideration of the foregoing and the mutual agreements contained herein, the parties hereto agree as follows:</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New Co-Borrower.</w:t>
      </w:r>
    </w:p>
    <w:p>
      <w:pPr>
        <w:spacing w:after="0" w:line="307" w:lineRule="exact"/>
        <w:rPr>
          <w:sz w:val="20"/>
          <w:szCs w:val="20"/>
          <w:color w:val="auto"/>
        </w:rPr>
      </w:pPr>
    </w:p>
    <w:p>
      <w:pPr>
        <w:jc w:val="both"/>
        <w:ind w:left="960" w:right="40" w:firstLine="604"/>
        <w:spacing w:after="0" w:line="242" w:lineRule="auto"/>
        <w:tabs>
          <w:tab w:leader="none" w:pos="235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Upon the effectiveness of this Agreement and the satisfaction of the requirements of the Credit Agreement, the New Co-Borrower shall become a Co-Borrower under the Revolving Facility and shall be, and the New Co-Borrower hereby agrees that it is and shall be, jointly and severally liable with respect to all applicable Obligations as a primary obligor and not merely as a surety.</w:t>
      </w:r>
    </w:p>
    <w:p>
      <w:pPr>
        <w:spacing w:after="0" w:line="205" w:lineRule="exact"/>
        <w:rPr>
          <w:rFonts w:ascii="Arial" w:cs="Arial" w:eastAsia="Arial" w:hAnsi="Arial"/>
          <w:sz w:val="18"/>
          <w:szCs w:val="18"/>
          <w:color w:val="auto"/>
        </w:rPr>
      </w:pPr>
    </w:p>
    <w:p>
      <w:pPr>
        <w:jc w:val="both"/>
        <w:ind w:left="960" w:right="40" w:firstLine="605"/>
        <w:spacing w:after="0"/>
        <w:tabs>
          <w:tab w:leader="none" w:pos="235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New Co-Borrower hereby (i) agrees to be bound by all provisions of the Credit Agreement applicable to it as a Borrower and (ii) hereby irrevocably appoints the Borrower as its agent for all purposes relevant to the Credit Agreement, each of the other Loan Documents and all other documents and electronic platforms entered into in connection therewith, including the giving and receipt of notices and the execution and delivery of all documents, instruments and certificates contemplated herein and all modifications thereto.</w:t>
      </w:r>
    </w:p>
    <w:p>
      <w:pPr>
        <w:spacing w:after="0" w:line="194" w:lineRule="exact"/>
        <w:rPr>
          <w:sz w:val="20"/>
          <w:szCs w:val="20"/>
          <w:color w:val="auto"/>
        </w:rPr>
      </w:pPr>
    </w:p>
    <w:p>
      <w:pPr>
        <w:jc w:val="both"/>
        <w:ind w:left="960" w:right="40" w:firstLine="602"/>
        <w:spacing w:after="0" w:line="27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of the Borrower and the Co-Borrower hereby represents and warrants to the Administrative Agent and the Lenders that (i) each of the representations and warranties made by any Loan Party in or pursuant to the Loan Documents are true and correct in all material respects on and as of the date hereof as if made on and as of such date (except to the extent already qualified by materiality, in which case, such representations and warranties shall be true and correct in all respects), except to the extent such representations and warranties expressly relate to an earlier date, in which case such representations and warranties were true and correct in all material respects as of such earlier date (except to the extent already qualified by materiality, in which case, such representations and warranties were true and correct in all respects) and (ii) no Default or Event of Default has occurred and is continuing or would result from the execution and delivery of this Agreement.</w:t>
      </w:r>
    </w:p>
    <w:p>
      <w:pPr>
        <w:spacing w:after="0" w:line="18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Agreement shall become effective as of the date when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356870</wp:posOffset>
            </wp:positionV>
            <wp:extent cx="533400" cy="294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0040"/>
        <w:spacing w:after="0"/>
        <w:rPr>
          <w:sz w:val="20"/>
          <w:szCs w:val="20"/>
          <w:color w:val="auto"/>
        </w:rPr>
      </w:pPr>
      <w:r>
        <w:rPr>
          <w:rFonts w:ascii="Arial" w:cs="Arial" w:eastAsia="Arial" w:hAnsi="Arial"/>
          <w:sz w:val="16"/>
          <w:szCs w:val="16"/>
          <w:color w:val="auto"/>
        </w:rPr>
        <w:t>Exhibit O</w:t>
      </w:r>
    </w:p>
    <w:p>
      <w:pPr>
        <w:spacing w:after="0" w:line="18" w:lineRule="exact"/>
        <w:rPr>
          <w:sz w:val="20"/>
          <w:szCs w:val="20"/>
          <w:color w:val="auto"/>
        </w:rPr>
      </w:pPr>
    </w:p>
    <w:p>
      <w:pPr>
        <w:jc w:val="center"/>
        <w:ind w:right="1004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00"/>
          </w:cols>
          <w:pgMar w:left="360" w:top="720" w:right="839" w:bottom="1440" w:gutter="0" w:footer="0" w:header="0"/>
        </w:sectPr>
      </w:pPr>
    </w:p>
    <w:bookmarkStart w:id="386" w:name="page387"/>
    <w:bookmarkEnd w:id="386"/>
    <w:p>
      <w:pPr>
        <w:jc w:val="right"/>
        <w:spacing w:after="0"/>
        <w:rPr>
          <w:sz w:val="20"/>
          <w:szCs w:val="20"/>
          <w:color w:val="auto"/>
        </w:rPr>
      </w:pPr>
      <w:r>
        <w:rPr>
          <w:rFonts w:ascii="Arial" w:cs="Arial" w:eastAsia="Arial" w:hAnsi="Arial"/>
          <w:sz w:val="20"/>
          <w:szCs w:val="20"/>
          <w:color w:val="auto"/>
        </w:rPr>
        <w:t>EXHIBIT O</w:t>
      </w: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Administrative Agent and the applicable Lenders shall have received:</w:t>
      </w:r>
    </w:p>
    <w:p>
      <w:pPr>
        <w:spacing w:after="0" w:line="232" w:lineRule="exact"/>
        <w:rPr>
          <w:sz w:val="20"/>
          <w:szCs w:val="20"/>
          <w:color w:val="auto"/>
        </w:rPr>
      </w:pPr>
    </w:p>
    <w:p>
      <w:pPr>
        <w:ind w:left="960" w:right="40" w:firstLine="604"/>
        <w:spacing w:after="0" w:line="251" w:lineRule="auto"/>
        <w:tabs>
          <w:tab w:leader="none" w:pos="2361" w:val="left"/>
        </w:tabs>
        <w:numPr>
          <w:ilvl w:val="0"/>
          <w:numId w:val="387"/>
        </w:numPr>
        <w:rPr>
          <w:rFonts w:ascii="Arial" w:cs="Arial" w:eastAsia="Arial" w:hAnsi="Arial"/>
          <w:sz w:val="20"/>
          <w:szCs w:val="20"/>
          <w:color w:val="auto"/>
        </w:rPr>
      </w:pPr>
      <w:r>
        <w:rPr>
          <w:rFonts w:ascii="Arial" w:cs="Arial" w:eastAsia="Arial" w:hAnsi="Arial"/>
          <w:sz w:val="18"/>
          <w:szCs w:val="18"/>
          <w:color w:val="auto"/>
        </w:rPr>
        <w:t>counterparts hereof duly executed by the Subsidiary Guarantors, the Borrower, the New Co-Borrower and the Administrative Agent;</w:t>
      </w:r>
    </w:p>
    <w:p>
      <w:pPr>
        <w:spacing w:after="0" w:line="207" w:lineRule="exact"/>
        <w:rPr>
          <w:rFonts w:ascii="Arial" w:cs="Arial" w:eastAsia="Arial" w:hAnsi="Arial"/>
          <w:sz w:val="20"/>
          <w:szCs w:val="20"/>
          <w:color w:val="auto"/>
        </w:rPr>
      </w:pPr>
    </w:p>
    <w:p>
      <w:pPr>
        <w:jc w:val="both"/>
        <w:ind w:left="960" w:right="40" w:firstLine="604"/>
        <w:spacing w:after="0" w:line="262" w:lineRule="auto"/>
        <w:tabs>
          <w:tab w:leader="none" w:pos="2360" w:val="left"/>
        </w:tabs>
        <w:numPr>
          <w:ilvl w:val="0"/>
          <w:numId w:val="387"/>
        </w:numPr>
        <w:rPr>
          <w:rFonts w:ascii="Arial" w:cs="Arial" w:eastAsia="Arial" w:hAnsi="Arial"/>
          <w:sz w:val="19"/>
          <w:szCs w:val="19"/>
          <w:color w:val="auto"/>
        </w:rPr>
      </w:pPr>
      <w:r>
        <w:rPr>
          <w:rFonts w:ascii="Arial" w:cs="Arial" w:eastAsia="Arial" w:hAnsi="Arial"/>
          <w:sz w:val="17"/>
          <w:szCs w:val="17"/>
          <w:color w:val="auto"/>
        </w:rPr>
        <w:t>not more than five (5) Business Days after the Borrower’s initial notice to the Administrative Agent pursuant to Section 13.26(b) of the Credit Agreement, all documentation and other information that is required by regulatory authorities under applicable “know-your-customer” rules and regulations, including the Patriot Act and the Beneficial Ownership Regulation;</w:t>
      </w:r>
    </w:p>
    <w:p>
      <w:pPr>
        <w:spacing w:after="0" w:line="187" w:lineRule="exact"/>
        <w:rPr>
          <w:rFonts w:ascii="Arial" w:cs="Arial" w:eastAsia="Arial" w:hAnsi="Arial"/>
          <w:sz w:val="19"/>
          <w:szCs w:val="19"/>
          <w:color w:val="auto"/>
        </w:rPr>
      </w:pPr>
    </w:p>
    <w:p>
      <w:pPr>
        <w:jc w:val="both"/>
        <w:ind w:left="960" w:right="40" w:firstLine="604"/>
        <w:spacing w:after="0" w:line="241" w:lineRule="auto"/>
        <w:tabs>
          <w:tab w:leader="none" w:pos="2361" w:val="left"/>
        </w:tabs>
        <w:numPr>
          <w:ilvl w:val="0"/>
          <w:numId w:val="387"/>
        </w:numPr>
        <w:rPr>
          <w:rFonts w:ascii="Arial" w:cs="Arial" w:eastAsia="Arial" w:hAnsi="Arial"/>
          <w:sz w:val="20"/>
          <w:szCs w:val="20"/>
          <w:color w:val="auto"/>
        </w:rPr>
      </w:pPr>
      <w:r>
        <w:rPr>
          <w:rFonts w:ascii="Arial" w:cs="Arial" w:eastAsia="Arial" w:hAnsi="Arial"/>
          <w:sz w:val="18"/>
          <w:szCs w:val="18"/>
          <w:color w:val="auto"/>
        </w:rPr>
        <w:t>Such supporting resolutions, incumbency certificates, opinions of counsel, Security Documents and other documents or information, in form and substance reasonably satisfactory to the Administrative Agent, as is required by the Administrative Agent in its reasonable discretion; and</w:t>
      </w:r>
    </w:p>
    <w:p>
      <w:pPr>
        <w:spacing w:after="0" w:line="206" w:lineRule="exact"/>
        <w:rPr>
          <w:rFonts w:ascii="Arial" w:cs="Arial" w:eastAsia="Arial" w:hAnsi="Arial"/>
          <w:sz w:val="20"/>
          <w:szCs w:val="20"/>
          <w:color w:val="auto"/>
        </w:rPr>
      </w:pPr>
    </w:p>
    <w:p>
      <w:pPr>
        <w:ind w:left="2360" w:hanging="796"/>
        <w:spacing w:after="0"/>
        <w:tabs>
          <w:tab w:leader="none" w:pos="2360" w:val="left"/>
        </w:tabs>
        <w:numPr>
          <w:ilvl w:val="0"/>
          <w:numId w:val="387"/>
        </w:numPr>
        <w:rPr>
          <w:rFonts w:ascii="Arial" w:cs="Arial" w:eastAsia="Arial" w:hAnsi="Arial"/>
          <w:sz w:val="19"/>
          <w:szCs w:val="19"/>
          <w:color w:val="auto"/>
        </w:rPr>
      </w:pPr>
      <w:r>
        <w:rPr>
          <w:rFonts w:ascii="Arial" w:cs="Arial" w:eastAsia="Arial" w:hAnsi="Arial"/>
          <w:sz w:val="17"/>
          <w:szCs w:val="17"/>
          <w:color w:val="auto"/>
        </w:rPr>
        <w:t>To the extent requested by any Lender, a Note executed by the New Co-Borrower in favor of such Lender.</w:t>
      </w:r>
    </w:p>
    <w:p>
      <w:pPr>
        <w:spacing w:after="0" w:line="233" w:lineRule="exact"/>
        <w:rPr>
          <w:sz w:val="20"/>
          <w:szCs w:val="20"/>
          <w:color w:val="auto"/>
        </w:rPr>
      </w:pPr>
    </w:p>
    <w:p>
      <w:pPr>
        <w:jc w:val="both"/>
        <w:ind w:left="960" w:right="40" w:firstLine="602"/>
        <w:spacing w:after="0" w:line="23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Reaffirmation</w:t>
      </w:r>
      <w:r>
        <w:rPr>
          <w:rFonts w:ascii="Arial" w:cs="Arial" w:eastAsia="Arial" w:hAnsi="Arial"/>
          <w:sz w:val="18"/>
          <w:szCs w:val="18"/>
          <w:color w:val="auto"/>
        </w:rPr>
        <w:t>. Each of the Loan Parties party hereto hereby consents to this Agreement and the transactions contemplated hereby and hereby confirms its guarantees, pledges, grants of security interests and other agreements, as applicable, under each of the Loan Documents to which it is party and agrees that, notwithstanding the effectiveness of this Agreement and the appointment of the New Co-Borrower as a Co-Borrower, such guarantees, pledges, grants of security interests and other agreements of such Loan Parties shall continue to be in full force and effect and shall accrue to the benefit of the Secured Parties under this Agreement. Each of the Loan Parties party hereto further agrees to take any action that may be required under any applicable law or that is reasonably requested by the Administrative Agent to ensure compliance by the Borrower and the Co-Borrower with Section 8.10 of the Credit Agreement and hereby reaffirms its obligations under each similar provision of each Loan Document to which it is a party.</w:t>
      </w:r>
    </w:p>
    <w:p>
      <w:pPr>
        <w:spacing w:after="0" w:line="212" w:lineRule="exact"/>
        <w:rPr>
          <w:sz w:val="20"/>
          <w:szCs w:val="20"/>
          <w:color w:val="auto"/>
        </w:rPr>
      </w:pPr>
    </w:p>
    <w:p>
      <w:pPr>
        <w:jc w:val="both"/>
        <w:ind w:left="960" w:right="40" w:firstLine="602"/>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laws of the State of New York.</w:t>
      </w:r>
    </w:p>
    <w:p>
      <w:pPr>
        <w:spacing w:after="0" w:line="173" w:lineRule="exact"/>
        <w:rPr>
          <w:sz w:val="20"/>
          <w:szCs w:val="20"/>
          <w:color w:val="auto"/>
        </w:rPr>
      </w:pPr>
    </w:p>
    <w:p>
      <w:pPr>
        <w:jc w:val="both"/>
        <w:ind w:left="960" w:right="40" w:firstLine="602"/>
        <w:spacing w:after="0" w:line="242"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by facsimile or electronic transmission shall be as effective as delivery of an original executed counterpart.</w:t>
      </w:r>
    </w:p>
    <w:p>
      <w:pPr>
        <w:spacing w:after="0" w:line="2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356870</wp:posOffset>
            </wp:positionV>
            <wp:extent cx="533400" cy="294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0040"/>
        <w:spacing w:after="0"/>
        <w:rPr>
          <w:sz w:val="20"/>
          <w:szCs w:val="20"/>
          <w:color w:val="auto"/>
        </w:rPr>
      </w:pPr>
      <w:r>
        <w:rPr>
          <w:rFonts w:ascii="Arial" w:cs="Arial" w:eastAsia="Arial" w:hAnsi="Arial"/>
          <w:sz w:val="16"/>
          <w:szCs w:val="16"/>
          <w:color w:val="auto"/>
        </w:rPr>
        <w:t>Exhibit O</w:t>
      </w:r>
    </w:p>
    <w:p>
      <w:pPr>
        <w:spacing w:after="0" w:line="18" w:lineRule="exact"/>
        <w:rPr>
          <w:sz w:val="20"/>
          <w:szCs w:val="20"/>
          <w:color w:val="auto"/>
        </w:rPr>
      </w:pPr>
    </w:p>
    <w:p>
      <w:pPr>
        <w:jc w:val="center"/>
        <w:ind w:right="1004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700"/>
          </w:cols>
          <w:pgMar w:left="360" w:top="720" w:right="839" w:bottom="1440" w:gutter="0" w:footer="0" w:header="0"/>
        </w:sectPr>
      </w:pPr>
    </w:p>
    <w:bookmarkStart w:id="387" w:name="page388"/>
    <w:bookmarkEnd w:id="387"/>
    <w:p>
      <w:pPr>
        <w:ind w:left="9720"/>
        <w:spacing w:after="0"/>
        <w:rPr>
          <w:sz w:val="20"/>
          <w:szCs w:val="20"/>
          <w:color w:val="auto"/>
        </w:rPr>
      </w:pPr>
      <w:r>
        <w:rPr>
          <w:rFonts w:ascii="Arial" w:cs="Arial" w:eastAsia="Arial" w:hAnsi="Arial"/>
          <w:sz w:val="20"/>
          <w:szCs w:val="20"/>
          <w:color w:val="auto"/>
        </w:rPr>
        <w:t>EXHIBIT O</w:t>
      </w:r>
    </w:p>
    <w:p>
      <w:pPr>
        <w:spacing w:after="0" w:line="200" w:lineRule="exact"/>
        <w:rPr>
          <w:sz w:val="20"/>
          <w:szCs w:val="20"/>
          <w:color w:val="auto"/>
        </w:rPr>
      </w:pPr>
    </w:p>
    <w:p>
      <w:pPr>
        <w:spacing w:after="0" w:line="201" w:lineRule="exact"/>
        <w:rPr>
          <w:sz w:val="20"/>
          <w:szCs w:val="20"/>
          <w:color w:val="auto"/>
        </w:rPr>
      </w:pPr>
    </w:p>
    <w:p>
      <w:pPr>
        <w:ind w:left="980" w:firstLine="584"/>
        <w:spacing w:after="0" w:line="278" w:lineRule="auto"/>
        <w:rPr>
          <w:sz w:val="20"/>
          <w:szCs w:val="20"/>
          <w:color w:val="auto"/>
        </w:rPr>
      </w:pPr>
      <w:r>
        <w:rPr>
          <w:rFonts w:ascii="Arial" w:cs="Arial" w:eastAsia="Arial" w:hAnsi="Arial"/>
          <w:sz w:val="18"/>
          <w:szCs w:val="18"/>
          <w:color w:val="auto"/>
        </w:rPr>
        <w:t>IN WITNESS WHEREOF, the parties hereto have caused this Agreement to be executed and delivered by their duly authorized officers as of the date first written above.</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as New Co-Borrower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4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-8890</wp:posOffset>
            </wp:positionV>
            <wp:extent cx="2336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LEGALZOOM.COM, INC., as Borrower and a Guarantor</w:t>
      </w:r>
    </w:p>
    <w:p>
      <w:pPr>
        <w:spacing w:after="0" w:line="200" w:lineRule="exact"/>
        <w:rPr>
          <w:sz w:val="20"/>
          <w:szCs w:val="20"/>
          <w:color w:val="auto"/>
        </w:rPr>
      </w:pPr>
    </w:p>
    <w:p>
      <w:pPr>
        <w:spacing w:after="0" w:line="245" w:lineRule="exact"/>
        <w:rPr>
          <w:sz w:val="20"/>
          <w:szCs w:val="20"/>
          <w:color w:val="auto"/>
        </w:rPr>
      </w:pPr>
    </w:p>
    <w:p>
      <w:pPr>
        <w:ind w:left="464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-8890</wp:posOffset>
            </wp:positionV>
            <wp:extent cx="2336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[SUBSIDIARY GUARANTORS]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4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-8890</wp:posOffset>
            </wp:positionV>
            <wp:extent cx="2336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JPMORGAN CHASE BANK, N.A., as Administrative Agent</w:t>
      </w:r>
    </w:p>
    <w:p>
      <w:pPr>
        <w:spacing w:after="0" w:line="200" w:lineRule="exact"/>
        <w:rPr>
          <w:sz w:val="20"/>
          <w:szCs w:val="20"/>
          <w:color w:val="auto"/>
        </w:rPr>
      </w:pPr>
    </w:p>
    <w:p>
      <w:pPr>
        <w:spacing w:after="0" w:line="258" w:lineRule="exact"/>
        <w:rPr>
          <w:sz w:val="20"/>
          <w:szCs w:val="20"/>
          <w:color w:val="auto"/>
        </w:rPr>
      </w:pPr>
    </w:p>
    <w:p>
      <w:pPr>
        <w:ind w:left="464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-8890</wp:posOffset>
            </wp:positionV>
            <wp:extent cx="2336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346710</wp:posOffset>
            </wp:positionV>
            <wp:extent cx="533400" cy="294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533400" cy="29464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0280"/>
        <w:spacing w:after="0"/>
        <w:rPr>
          <w:sz w:val="20"/>
          <w:szCs w:val="20"/>
          <w:color w:val="auto"/>
        </w:rPr>
      </w:pPr>
      <w:r>
        <w:rPr>
          <w:rFonts w:ascii="Arial" w:cs="Arial" w:eastAsia="Arial" w:hAnsi="Arial"/>
          <w:sz w:val="16"/>
          <w:szCs w:val="16"/>
          <w:color w:val="auto"/>
        </w:rPr>
        <w:t>Exhibit O</w:t>
      </w:r>
    </w:p>
    <w:p>
      <w:pPr>
        <w:spacing w:after="0" w:line="18" w:lineRule="exact"/>
        <w:rPr>
          <w:sz w:val="20"/>
          <w:szCs w:val="20"/>
          <w:color w:val="auto"/>
        </w:rPr>
      </w:pPr>
    </w:p>
    <w:p>
      <w:pPr>
        <w:jc w:val="center"/>
        <w:ind w:right="10280"/>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0940"/>
          </w:cols>
          <w:pgMar w:left="360" w:top="720" w:right="599" w:bottom="1440" w:gutter="0" w:footer="0" w:header="0"/>
        </w:sectPr>
      </w:pPr>
    </w:p>
    <w:bookmarkStart w:id="388" w:name="page389"/>
    <w:bookmarkEnd w:id="388"/>
    <w:p>
      <w:pPr>
        <w:ind w:left="9740"/>
        <w:spacing w:after="0"/>
        <w:rPr>
          <w:sz w:val="20"/>
          <w:szCs w:val="20"/>
          <w:color w:val="auto"/>
        </w:rPr>
      </w:pPr>
      <w:r>
        <w:rPr>
          <w:rFonts w:ascii="Arial" w:cs="Arial" w:eastAsia="Arial" w:hAnsi="Arial"/>
          <w:sz w:val="20"/>
          <w:szCs w:val="20"/>
          <w:color w:val="auto"/>
        </w:rPr>
        <w:t>EXHIBIT P</w:t>
      </w: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Arial" w:cs="Arial" w:eastAsia="Arial" w:hAnsi="Arial"/>
          <w:sz w:val="18"/>
          <w:szCs w:val="18"/>
          <w:u w:val="single" w:color="auto"/>
          <w:color w:val="auto"/>
        </w:rPr>
        <w:t>FORM OF CO-BORROWER NOTICE</w:t>
      </w:r>
    </w:p>
    <w:p>
      <w:pPr>
        <w:spacing w:after="0" w:line="200" w:lineRule="exact"/>
        <w:rPr>
          <w:sz w:val="20"/>
          <w:szCs w:val="20"/>
          <w:color w:val="auto"/>
        </w:rPr>
      </w:pPr>
    </w:p>
    <w:p>
      <w:pPr>
        <w:spacing w:after="0" w:line="258" w:lineRule="exact"/>
        <w:rPr>
          <w:sz w:val="20"/>
          <w:szCs w:val="20"/>
          <w:color w:val="auto"/>
        </w:rPr>
      </w:pPr>
    </w:p>
    <w:p>
      <w:pPr>
        <w:ind w:left="9440"/>
        <w:spacing w:after="0"/>
        <w:rPr>
          <w:sz w:val="20"/>
          <w:szCs w:val="20"/>
          <w:color w:val="auto"/>
        </w:rPr>
      </w:pPr>
      <w:r>
        <w:rPr>
          <w:rFonts w:ascii="Arial" w:cs="Arial" w:eastAsia="Arial" w:hAnsi="Arial"/>
          <w:sz w:val="17"/>
          <w:szCs w:val="17"/>
          <w:color w:val="auto"/>
        </w:rPr>
        <w:t>Dated: [●], 20[●]</w:t>
      </w:r>
    </w:p>
    <w:p>
      <w:pPr>
        <w:spacing w:after="0" w:line="30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To: LegalZoom.com, Inc.</w:t>
      </w:r>
    </w:p>
    <w:p>
      <w:pPr>
        <w:spacing w:after="0" w:line="9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Lenders party to the Credit Agreement referred to below Ladies and Gentlemen:</w:t>
      </w:r>
    </w:p>
    <w:p>
      <w:pPr>
        <w:spacing w:after="0" w:line="106" w:lineRule="exact"/>
        <w:rPr>
          <w:sz w:val="20"/>
          <w:szCs w:val="20"/>
          <w:color w:val="auto"/>
        </w:rPr>
      </w:pPr>
    </w:p>
    <w:p>
      <w:pPr>
        <w:jc w:val="both"/>
        <w:ind w:left="960" w:firstLine="602"/>
        <w:spacing w:after="0" w:line="253" w:lineRule="auto"/>
        <w:rPr>
          <w:sz w:val="20"/>
          <w:szCs w:val="20"/>
          <w:color w:val="auto"/>
        </w:rPr>
      </w:pPr>
      <w:r>
        <w:rPr>
          <w:rFonts w:ascii="Arial" w:cs="Arial" w:eastAsia="Arial" w:hAnsi="Arial"/>
          <w:sz w:val="17"/>
          <w:szCs w:val="17"/>
          <w:color w:val="auto"/>
        </w:rPr>
        <w:t>Reference is made to (i) the Amended and Restated Credit and Guaranty Agreement dated as of July 2, 2021 (as amended, restated, amended and restated, modified, supplemented and/or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herein have the meanings attributed thereto in the Credit Agreement unless otherwise defined herein), among LegalZoom.com,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from time to time party thereto, the several banks, financial institutions, institutional investors and other entities from time to time party thereto as lenders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(ii) the Co-Borrower Request and Assumption Agreement dated as of [●], 20[●] (the “</w:t>
      </w:r>
      <w:r>
        <w:rPr>
          <w:rFonts w:ascii="Arial" w:cs="Arial" w:eastAsia="Arial" w:hAnsi="Arial"/>
          <w:sz w:val="17"/>
          <w:szCs w:val="17"/>
          <w:u w:val="single" w:color="auto"/>
          <w:color w:val="auto"/>
        </w:rPr>
        <w:t>Co-Borrower Assumption Agreement</w:t>
      </w:r>
      <w:r>
        <w:rPr>
          <w:rFonts w:ascii="Arial" w:cs="Arial" w:eastAsia="Arial" w:hAnsi="Arial"/>
          <w:sz w:val="17"/>
          <w:szCs w:val="17"/>
          <w:color w:val="auto"/>
        </w:rPr>
        <w:t>”), among the Borrower, [●], as Co-Borrower, the Subsidiary Guarantors party thereto and the Administrative Agent.</w:t>
      </w:r>
    </w:p>
    <w:p>
      <w:pPr>
        <w:spacing w:after="0" w:line="195" w:lineRule="exact"/>
        <w:rPr>
          <w:sz w:val="20"/>
          <w:szCs w:val="20"/>
          <w:color w:val="auto"/>
        </w:rPr>
      </w:pPr>
    </w:p>
    <w:p>
      <w:pPr>
        <w:jc w:val="both"/>
        <w:ind w:left="960" w:right="20" w:firstLine="602"/>
        <w:spacing w:after="0" w:line="248" w:lineRule="auto"/>
        <w:rPr>
          <w:sz w:val="20"/>
          <w:szCs w:val="20"/>
          <w:color w:val="auto"/>
        </w:rPr>
      </w:pPr>
      <w:r>
        <w:rPr>
          <w:rFonts w:ascii="Arial" w:cs="Arial" w:eastAsia="Arial" w:hAnsi="Arial"/>
          <w:sz w:val="18"/>
          <w:szCs w:val="18"/>
          <w:color w:val="auto"/>
        </w:rPr>
        <w:t>Pursuant to Section 13.26 of the Credit Agreement, the Administrative Agent hereby notifies you that, pursuant to the Co-Borrower Assumption Agreement, effective as of [●], 20[●], [●] shall be a Co- Borrower under the Revolving Facility for all purposes of the Credit Agreement.</w:t>
      </w:r>
    </w:p>
    <w:p>
      <w:pPr>
        <w:spacing w:after="0" w:line="186" w:lineRule="exact"/>
        <w:rPr>
          <w:sz w:val="20"/>
          <w:szCs w:val="20"/>
          <w:color w:val="auto"/>
        </w:rPr>
      </w:pPr>
    </w:p>
    <w:p>
      <w:pPr>
        <w:jc w:val="both"/>
        <w:ind w:left="960" w:right="20" w:firstLine="602"/>
        <w:spacing w:after="0" w:line="263" w:lineRule="auto"/>
        <w:rPr>
          <w:sz w:val="20"/>
          <w:szCs w:val="20"/>
          <w:color w:val="auto"/>
        </w:rPr>
      </w:pPr>
      <w:r>
        <w:rPr>
          <w:rFonts w:ascii="Arial" w:cs="Arial" w:eastAsia="Arial" w:hAnsi="Arial"/>
          <w:sz w:val="18"/>
          <w:szCs w:val="18"/>
          <w:color w:val="auto"/>
        </w:rPr>
        <w:t>This Co-Borrower Notice shall constitute a Loan Document for all purposes of the Credit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JPMORGAN CHASE BANK, N.A., as</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Administrative Agent</w:t>
      </w:r>
    </w:p>
    <w:p>
      <w:pPr>
        <w:spacing w:after="0" w:line="366" w:lineRule="exact"/>
        <w:rPr>
          <w:sz w:val="20"/>
          <w:szCs w:val="20"/>
          <w:color w:val="auto"/>
        </w:rPr>
      </w:pPr>
    </w:p>
    <w:p>
      <w:pPr>
        <w:ind w:left="458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-8890</wp:posOffset>
            </wp:positionV>
            <wp:extent cx="1460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354965</wp:posOffset>
            </wp:positionV>
            <wp:extent cx="501650" cy="294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501650" cy="29464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0080"/>
        <w:spacing w:after="0"/>
        <w:rPr>
          <w:sz w:val="20"/>
          <w:szCs w:val="20"/>
          <w:color w:val="auto"/>
        </w:rPr>
      </w:pPr>
      <w:r>
        <w:rPr>
          <w:rFonts w:ascii="Arial" w:cs="Arial" w:eastAsia="Arial" w:hAnsi="Arial"/>
          <w:sz w:val="16"/>
          <w:szCs w:val="16"/>
          <w:color w:val="auto"/>
        </w:rPr>
        <w:t>Exhibit P</w:t>
      </w:r>
    </w:p>
    <w:p>
      <w:pPr>
        <w:spacing w:after="0" w:line="18" w:lineRule="exact"/>
        <w:rPr>
          <w:sz w:val="20"/>
          <w:szCs w:val="20"/>
          <w:color w:val="auto"/>
        </w:rPr>
      </w:pPr>
    </w:p>
    <w:p>
      <w:pPr>
        <w:jc w:val="center"/>
        <w:ind w:right="1008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0720"/>
          </w:cols>
          <w:pgMar w:left="360" w:top="720" w:right="819" w:bottom="1440" w:gutter="0" w:footer="0" w:header="0"/>
        </w:sectPr>
      </w:pPr>
    </w:p>
    <w:bookmarkStart w:id="389" w:name="page390"/>
    <w:bookmarkEnd w:id="389"/>
    <w:p>
      <w:pPr>
        <w:spacing w:after="0" w:line="200" w:lineRule="exact"/>
        <w:rPr>
          <w:sz w:val="20"/>
          <w:szCs w:val="20"/>
          <w:color w:val="auto"/>
        </w:rPr>
      </w:pPr>
    </w:p>
    <w:p>
      <w:pPr>
        <w:spacing w:after="0" w:line="276" w:lineRule="exact"/>
        <w:rPr>
          <w:sz w:val="20"/>
          <w:szCs w:val="20"/>
          <w:color w:val="auto"/>
        </w:rPr>
      </w:pPr>
    </w:p>
    <w:p>
      <w:pPr>
        <w:ind w:left="1623"/>
        <w:spacing w:after="0"/>
        <w:rPr>
          <w:sz w:val="20"/>
          <w:szCs w:val="20"/>
          <w:color w:val="auto"/>
        </w:rPr>
      </w:pPr>
      <w:r>
        <w:rPr>
          <w:rFonts w:ascii="Arial" w:cs="Arial" w:eastAsia="Arial" w:hAnsi="Arial"/>
          <w:sz w:val="15"/>
          <w:szCs w:val="15"/>
          <w:b w:val="1"/>
          <w:bCs w:val="1"/>
          <w:color w:val="auto"/>
        </w:rPr>
        <w:t>AMENDMENT TO EMPLOYMENT AGREEMENT</w:t>
      </w:r>
    </w:p>
    <w:p>
      <w:pPr>
        <w:spacing w:after="0" w:line="225" w:lineRule="exact"/>
        <w:rPr>
          <w:sz w:val="20"/>
          <w:szCs w:val="20"/>
          <w:color w:val="auto"/>
        </w:rPr>
      </w:pPr>
    </w:p>
    <w:p>
      <w:pPr>
        <w:ind w:left="603"/>
        <w:spacing w:after="0"/>
        <w:rPr>
          <w:sz w:val="20"/>
          <w:szCs w:val="20"/>
          <w:color w:val="auto"/>
        </w:rPr>
      </w:pPr>
      <w:r>
        <w:rPr>
          <w:rFonts w:ascii="Arial" w:cs="Arial" w:eastAsia="Arial" w:hAnsi="Arial"/>
          <w:sz w:val="15"/>
          <w:szCs w:val="15"/>
          <w:color w:val="auto"/>
        </w:rPr>
        <w:t>THIS AMENDMENT TO EMPLOYMENT AGREEMENT (this “</w:t>
      </w:r>
      <w:r>
        <w:rPr>
          <w:rFonts w:ascii="Arial" w:cs="Arial" w:eastAsia="Arial" w:hAnsi="Arial"/>
          <w:sz w:val="15"/>
          <w:szCs w:val="15"/>
          <w:u w:val="single" w:color="auto"/>
          <w:color w:val="auto"/>
        </w:rPr>
        <w:t>Amendment</w:t>
      </w:r>
      <w:r>
        <w:rPr>
          <w:rFonts w:ascii="Arial" w:cs="Arial" w:eastAsia="Arial" w:hAnsi="Arial"/>
          <w:sz w:val="15"/>
          <w:szCs w:val="15"/>
          <w:color w:val="auto"/>
        </w:rPr>
        <w:t>”) is</w:t>
      </w:r>
    </w:p>
    <w:p>
      <w:pPr>
        <w:jc w:val="both"/>
        <w:ind w:left="3" w:right="20"/>
        <w:spacing w:after="0" w:line="238" w:lineRule="auto"/>
        <w:rPr>
          <w:sz w:val="20"/>
          <w:szCs w:val="20"/>
          <w:color w:val="auto"/>
        </w:rPr>
      </w:pPr>
      <w:r>
        <w:rPr>
          <w:rFonts w:ascii="Arial" w:cs="Arial" w:eastAsia="Arial" w:hAnsi="Arial"/>
          <w:sz w:val="15"/>
          <w:szCs w:val="15"/>
          <w:color w:val="auto"/>
        </w:rPr>
        <w:t>entered into as of the date indicated below (the “</w:t>
      </w:r>
      <w:r>
        <w:rPr>
          <w:rFonts w:ascii="Arial" w:cs="Arial" w:eastAsia="Arial" w:hAnsi="Arial"/>
          <w:sz w:val="15"/>
          <w:szCs w:val="15"/>
          <w:u w:val="single" w:color="auto"/>
          <w:color w:val="auto"/>
        </w:rPr>
        <w:t>Effective Date</w:t>
      </w:r>
      <w:r>
        <w:rPr>
          <w:rFonts w:ascii="Arial" w:cs="Arial" w:eastAsia="Arial" w:hAnsi="Arial"/>
          <w:sz w:val="15"/>
          <w:szCs w:val="15"/>
          <w:color w:val="auto"/>
        </w:rPr>
        <w:t>”) by and between LegalZoom.com, Inc. (the “</w:t>
      </w:r>
      <w:r>
        <w:rPr>
          <w:rFonts w:ascii="Arial" w:cs="Arial" w:eastAsia="Arial" w:hAnsi="Arial"/>
          <w:sz w:val="15"/>
          <w:szCs w:val="15"/>
          <w:u w:val="single" w:color="auto"/>
          <w:color w:val="auto"/>
        </w:rPr>
        <w:t>Company</w:t>
      </w:r>
      <w:r>
        <w:rPr>
          <w:rFonts w:ascii="Arial" w:cs="Arial" w:eastAsia="Arial" w:hAnsi="Arial"/>
          <w:sz w:val="15"/>
          <w:szCs w:val="15"/>
          <w:color w:val="auto"/>
        </w:rPr>
        <w:t>”), and Shrisha Radhakrishna (“</w:t>
      </w:r>
      <w:r>
        <w:rPr>
          <w:rFonts w:ascii="Arial" w:cs="Arial" w:eastAsia="Arial" w:hAnsi="Arial"/>
          <w:sz w:val="15"/>
          <w:szCs w:val="15"/>
          <w:u w:val="single" w:color="auto"/>
          <w:color w:val="auto"/>
        </w:rPr>
        <w:t>Executive</w:t>
      </w:r>
      <w:r>
        <w:rPr>
          <w:rFonts w:ascii="Arial" w:cs="Arial" w:eastAsia="Arial" w:hAnsi="Arial"/>
          <w:sz w:val="15"/>
          <w:szCs w:val="15"/>
          <w:color w:val="auto"/>
        </w:rPr>
        <w:t>”) (each, a “</w:t>
      </w:r>
      <w:r>
        <w:rPr>
          <w:rFonts w:ascii="Arial" w:cs="Arial" w:eastAsia="Arial" w:hAnsi="Arial"/>
          <w:sz w:val="15"/>
          <w:szCs w:val="15"/>
          <w:u w:val="single" w:color="auto"/>
          <w:color w:val="auto"/>
        </w:rPr>
        <w:t>Party</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Parties</w:t>
      </w:r>
      <w:r>
        <w:rPr>
          <w:rFonts w:ascii="Arial" w:cs="Arial" w:eastAsia="Arial" w:hAnsi="Arial"/>
          <w:sz w:val="15"/>
          <w:szCs w:val="15"/>
          <w:color w:val="auto"/>
        </w:rPr>
        <w:t>”).</w:t>
      </w:r>
    </w:p>
    <w:p>
      <w:pPr>
        <w:spacing w:after="0" w:line="297" w:lineRule="exact"/>
        <w:rPr>
          <w:sz w:val="20"/>
          <w:szCs w:val="20"/>
          <w:color w:val="auto"/>
        </w:rPr>
      </w:pPr>
    </w:p>
    <w:p>
      <w:pPr>
        <w:jc w:val="both"/>
        <w:ind w:left="3" w:firstLine="601"/>
        <w:spacing w:after="0" w:line="234" w:lineRule="auto"/>
        <w:rPr>
          <w:sz w:val="20"/>
          <w:szCs w:val="20"/>
          <w:color w:val="auto"/>
        </w:rPr>
      </w:pPr>
      <w:r>
        <w:rPr>
          <w:rFonts w:ascii="Arial" w:cs="Arial" w:eastAsia="Arial" w:hAnsi="Arial"/>
          <w:sz w:val="15"/>
          <w:szCs w:val="15"/>
          <w:color w:val="auto"/>
        </w:rPr>
        <w:t>Executive is employed as the Company’s Chief Technology Officer pursuant to that certain Employment Agreement, dated June 16, 2021 (the “</w:t>
      </w:r>
      <w:r>
        <w:rPr>
          <w:rFonts w:ascii="Arial" w:cs="Arial" w:eastAsia="Arial" w:hAnsi="Arial"/>
          <w:sz w:val="15"/>
          <w:szCs w:val="15"/>
          <w:u w:val="single" w:color="auto"/>
          <w:color w:val="auto"/>
        </w:rPr>
        <w:t>Employment Agreement</w:t>
      </w:r>
      <w:r>
        <w:rPr>
          <w:rFonts w:ascii="Arial" w:cs="Arial" w:eastAsia="Arial" w:hAnsi="Arial"/>
          <w:sz w:val="15"/>
          <w:szCs w:val="15"/>
          <w:color w:val="auto"/>
        </w:rPr>
        <w:t>”). Executive and the Company have agreed to amend and restate Executive’s employment terms and the Employment Agreement as set forth herein.</w:t>
      </w:r>
    </w:p>
    <w:p>
      <w:pPr>
        <w:spacing w:after="0" w:line="210" w:lineRule="exact"/>
        <w:rPr>
          <w:sz w:val="20"/>
          <w:szCs w:val="20"/>
          <w:color w:val="auto"/>
        </w:rPr>
      </w:pPr>
    </w:p>
    <w:p>
      <w:pPr>
        <w:jc w:val="both"/>
        <w:ind w:left="3" w:right="20" w:hanging="3"/>
        <w:spacing w:after="0" w:line="230" w:lineRule="auto"/>
        <w:tabs>
          <w:tab w:leader="none" w:pos="166"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Amendments to Employment Agreement</w:t>
      </w:r>
      <w:r>
        <w:rPr>
          <w:rFonts w:ascii="Arial" w:cs="Arial" w:eastAsia="Arial" w:hAnsi="Arial"/>
          <w:sz w:val="15"/>
          <w:szCs w:val="15"/>
          <w:color w:val="auto"/>
        </w:rPr>
        <w:t>. The Parties have agreed that henceforth the Executive’s job title shall be changed from “Chief Technology Officer” to “Chief Technology Officer &amp; Chief Product Officer” and that the Employment Agreement shall be amended mutatis mutandis. In undertaking this Amendment, the Parties agree and acknowledge that they intend only to change the Executive’s job title and responsibilities associated with the new title of Chief Technology Officer and Chief Product Officer. All other terms and provisions of the Employment Agreement shall remain in full force and effect. The Executive acknowledges and agrees that this Amendment, the change to the Executive’s job title and duties, and any corresponding changes to the Employment Agreement do not constitute or otherwise give rise to “Good Reason” or a termination without “Cause” pursuant to the Employment Agreement or under any other agreement, plan, or policy.</w:t>
      </w:r>
    </w:p>
    <w:p>
      <w:pPr>
        <w:spacing w:after="0" w:line="222" w:lineRule="exact"/>
        <w:rPr>
          <w:rFonts w:ascii="Arial" w:cs="Arial" w:eastAsia="Arial" w:hAnsi="Arial"/>
          <w:sz w:val="15"/>
          <w:szCs w:val="15"/>
          <w:color w:val="auto"/>
        </w:rPr>
      </w:pPr>
    </w:p>
    <w:p>
      <w:pPr>
        <w:jc w:val="both"/>
        <w:ind w:left="3" w:hanging="3"/>
        <w:spacing w:after="0" w:line="231" w:lineRule="auto"/>
        <w:tabs>
          <w:tab w:leader="none" w:pos="166"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Misc. Terms and Provisions.</w:t>
      </w:r>
      <w:r>
        <w:rPr>
          <w:rFonts w:ascii="Arial" w:cs="Arial" w:eastAsia="Arial" w:hAnsi="Arial"/>
          <w:sz w:val="15"/>
          <w:szCs w:val="15"/>
          <w:color w:val="auto"/>
        </w:rPr>
        <w:t xml:space="preserve"> This Amendment contains the entire agreement of the Parties with respect to the subject matter hereof, and supersedes all other agreements between or among the Parties with respect to the subject matter hereof; provided, however,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955675" cy="3740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955675"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03"/>
        <w:spacing w:after="0"/>
        <w:rPr>
          <w:sz w:val="20"/>
          <w:szCs w:val="20"/>
          <w:color w:val="auto"/>
        </w:rPr>
      </w:pPr>
      <w:r>
        <w:rPr>
          <w:rFonts w:ascii="Arial" w:cs="Arial" w:eastAsia="Arial" w:hAnsi="Arial"/>
          <w:sz w:val="15"/>
          <w:szCs w:val="15"/>
          <w:b w:val="1"/>
          <w:bCs w:val="1"/>
          <w:color w:val="auto"/>
        </w:rPr>
        <w:t xml:space="preserve">IN WITNESS HEREOF, </w:t>
      </w:r>
      <w:r>
        <w:rPr>
          <w:rFonts w:ascii="Arial" w:cs="Arial" w:eastAsia="Arial" w:hAnsi="Arial"/>
          <w:sz w:val="15"/>
          <w:szCs w:val="15"/>
          <w:color w:val="auto"/>
        </w:rPr>
        <w:t>the Parties have executed this Amendment as of the Effective Date. LegalZoom.com, Inc.</w:t>
      </w:r>
    </w:p>
    <w:p>
      <w:pPr>
        <w:spacing w:after="0" w:line="74" w:lineRule="exact"/>
        <w:rPr>
          <w:sz w:val="20"/>
          <w:szCs w:val="20"/>
          <w:color w:val="auto"/>
        </w:rPr>
      </w:pPr>
    </w:p>
    <w:p>
      <w:pPr>
        <w:ind w:left="3"/>
        <w:spacing w:after="0"/>
        <w:rPr>
          <w:sz w:val="20"/>
          <w:szCs w:val="20"/>
          <w:color w:val="auto"/>
        </w:rPr>
      </w:pPr>
      <w:r>
        <w:rPr>
          <w:rFonts w:ascii="Arial" w:cs="Arial" w:eastAsia="Arial" w:hAnsi="Arial"/>
          <w:sz w:val="15"/>
          <w:szCs w:val="15"/>
          <w:color w:val="auto"/>
        </w:rPr>
        <w:t>By:_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-635</wp:posOffset>
            </wp:positionV>
            <wp:extent cx="1327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ind w:left="283"/>
        <w:spacing w:after="0"/>
        <w:rPr>
          <w:sz w:val="20"/>
          <w:szCs w:val="20"/>
          <w:color w:val="auto"/>
        </w:rPr>
      </w:pPr>
      <w:r>
        <w:rPr>
          <w:rFonts w:ascii="Arial" w:cs="Arial" w:eastAsia="Arial" w:hAnsi="Arial"/>
          <w:sz w:val="15"/>
          <w:szCs w:val="15"/>
          <w:color w:val="auto"/>
        </w:rPr>
        <w:t>Dan Wernikoff</w:t>
      </w:r>
    </w:p>
    <w:p>
      <w:pPr>
        <w:spacing w:after="0" w:line="53" w:lineRule="exact"/>
        <w:rPr>
          <w:sz w:val="20"/>
          <w:szCs w:val="20"/>
          <w:color w:val="auto"/>
        </w:rPr>
      </w:pPr>
    </w:p>
    <w:p>
      <w:pPr>
        <w:ind w:left="3"/>
        <w:spacing w:after="0"/>
        <w:rPr>
          <w:sz w:val="20"/>
          <w:szCs w:val="20"/>
          <w:color w:val="auto"/>
        </w:rPr>
      </w:pPr>
      <w:r>
        <w:rPr>
          <w:rFonts w:ascii="Arial" w:cs="Arial" w:eastAsia="Arial" w:hAnsi="Arial"/>
          <w:sz w:val="15"/>
          <w:szCs w:val="15"/>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-14605</wp:posOffset>
            </wp:positionV>
            <wp:extent cx="3130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
        <w:spacing w:after="0"/>
        <w:rPr>
          <w:sz w:val="20"/>
          <w:szCs w:val="20"/>
          <w:color w:val="auto"/>
        </w:rPr>
      </w:pPr>
      <w:r>
        <w:rPr>
          <w:rFonts w:ascii="Arial" w:cs="Arial" w:eastAsia="Arial" w:hAnsi="Arial"/>
          <w:sz w:val="15"/>
          <w:szCs w:val="15"/>
          <w:color w:val="auto"/>
        </w:rPr>
        <w:t>Shrisha Radhakrishna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200025</wp:posOffset>
            </wp:positionV>
            <wp:extent cx="1552575" cy="3740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1552575"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263"/>
        <w:spacing w:after="0"/>
        <w:rPr>
          <w:sz w:val="20"/>
          <w:szCs w:val="20"/>
          <w:color w:val="auto"/>
        </w:rPr>
      </w:pPr>
      <w:r>
        <w:rPr>
          <w:rFonts w:ascii="Arial" w:cs="Arial" w:eastAsia="Arial" w:hAnsi="Arial"/>
          <w:sz w:val="15"/>
          <w:szCs w:val="15"/>
          <w:color w:val="auto"/>
        </w:rPr>
        <w:t>Effective Date: 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1270</wp:posOffset>
            </wp:positionV>
            <wp:extent cx="82804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ectPr>
          <w:pgSz w:w="11900" w:h="16838" w:orient="portrait"/>
          <w:cols w:equalWidth="0" w:num="1">
            <w:col w:w="10123"/>
          </w:cols>
          <w:pgMar w:left="1357" w:top="1440" w:right="419" w:bottom="1440" w:gutter="0" w:footer="0" w:header="0"/>
        </w:sectPr>
      </w:pPr>
    </w:p>
    <w:bookmarkStart w:id="390" w:name="page391"/>
    <w:bookmarkEnd w:id="390"/>
    <w:p>
      <w:pPr>
        <w:jc w:val="right"/>
        <w:spacing w:after="0"/>
        <w:rPr>
          <w:sz w:val="20"/>
          <w:szCs w:val="20"/>
          <w:color w:val="auto"/>
        </w:rPr>
      </w:pPr>
      <w:r>
        <w:rPr>
          <w:rFonts w:ascii="Arial" w:cs="Arial" w:eastAsia="Arial" w:hAnsi="Arial"/>
          <w:sz w:val="17"/>
          <w:szCs w:val="17"/>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Dan Wernikoff, certify that:</w:t>
      </w:r>
    </w:p>
    <w:p>
      <w:pPr>
        <w:spacing w:after="0" w:line="206" w:lineRule="exact"/>
        <w:rPr>
          <w:sz w:val="20"/>
          <w:szCs w:val="20"/>
          <w:color w:val="auto"/>
        </w:rPr>
      </w:pPr>
    </w:p>
    <w:p>
      <w:pPr>
        <w:ind w:left="460" w:hanging="460"/>
        <w:spacing w:after="0"/>
        <w:tabs>
          <w:tab w:leader="none" w:pos="4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 have reviewed this Form 10-Q of LegalZoom.com, Inc.</w:t>
      </w:r>
    </w:p>
    <w:p>
      <w:pPr>
        <w:spacing w:after="0" w:line="205" w:lineRule="exact"/>
        <w:rPr>
          <w:rFonts w:ascii="Arial" w:cs="Arial" w:eastAsia="Arial" w:hAnsi="Arial"/>
          <w:sz w:val="17"/>
          <w:szCs w:val="17"/>
          <w:color w:val="auto"/>
        </w:rPr>
      </w:pPr>
    </w:p>
    <w:p>
      <w:pPr>
        <w:ind w:left="460" w:right="320" w:hanging="460"/>
        <w:spacing w:after="0" w:line="335" w:lineRule="auto"/>
        <w:tabs>
          <w:tab w:leader="none" w:pos="46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460" w:right="400" w:hanging="460"/>
        <w:spacing w:after="0" w:line="267" w:lineRule="auto"/>
        <w:tabs>
          <w:tab w:leader="none" w:pos="4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460" w:right="260" w:hanging="460"/>
        <w:spacing w:after="0" w:line="267" w:lineRule="auto"/>
        <w:tabs>
          <w:tab w:leader="none" w:pos="4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7"/>
          <w:szCs w:val="17"/>
          <w:color w:val="auto"/>
        </w:rPr>
      </w:pPr>
    </w:p>
    <w:p>
      <w:pPr>
        <w:ind w:left="900" w:right="80" w:hanging="448"/>
        <w:spacing w:after="0" w:line="257" w:lineRule="auto"/>
        <w:tabs>
          <w:tab w:leader="none" w:pos="89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900" w:right="240" w:hanging="448"/>
        <w:spacing w:after="0" w:line="299" w:lineRule="auto"/>
        <w:tabs>
          <w:tab w:leader="none" w:pos="894" w:val="left"/>
        </w:tabs>
        <w:numPr>
          <w:ilvl w:val="1"/>
          <w:numId w:val="3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left="900" w:right="280" w:hanging="448"/>
        <w:spacing w:after="0" w:line="257" w:lineRule="auto"/>
        <w:tabs>
          <w:tab w:leader="none" w:pos="89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60" w:right="180" w:hanging="460"/>
        <w:spacing w:after="0" w:line="267" w:lineRule="auto"/>
        <w:tabs>
          <w:tab w:leader="none" w:pos="4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900" w:right="180" w:hanging="448"/>
        <w:spacing w:after="0" w:line="267" w:lineRule="auto"/>
        <w:tabs>
          <w:tab w:leader="none" w:pos="89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900" w:right="400" w:hanging="448"/>
        <w:spacing w:after="0" w:line="267" w:lineRule="auto"/>
        <w:tabs>
          <w:tab w:leader="none" w:pos="894" w:val="left"/>
        </w:tabs>
        <w:numPr>
          <w:ilvl w:val="1"/>
          <w:numId w:val="38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LegalZoom.com, Inc.</w:t>
      </w:r>
    </w:p>
    <w:p>
      <w:pPr>
        <w:spacing w:after="0" w:line="268" w:lineRule="exact"/>
        <w:rPr>
          <w:sz w:val="20"/>
          <w:szCs w:val="20"/>
          <w:color w:val="auto"/>
        </w:rPr>
      </w:pPr>
    </w:p>
    <w:p>
      <w:pPr>
        <w:ind w:left="20"/>
        <w:spacing w:after="0"/>
        <w:tabs>
          <w:tab w:leader="none" w:pos="5380" w:val="left"/>
          <w:tab w:leader="none" w:pos="792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11430</wp:posOffset>
            </wp:positionV>
            <wp:extent cx="34156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3415665" cy="8255"/>
                    </a:xfrm>
                    <a:prstGeom prst="rect">
                      <a:avLst/>
                    </a:prstGeom>
                    <a:noFill/>
                  </pic:spPr>
                </pic:pic>
              </a:graphicData>
            </a:graphic>
          </wp:anchor>
        </w:drawing>
      </w:r>
    </w:p>
    <w:p>
      <w:pPr>
        <w:spacing w:after="0" w:line="6"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Dan Wernikoff</w:t>
      </w:r>
    </w:p>
    <w:p>
      <w:pPr>
        <w:spacing w:after="0" w:line="21"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879" w:right="3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7"/>
          <w:szCs w:val="17"/>
          <w:color w:val="auto"/>
        </w:rPr>
        <w:t>Exhibit 31.2</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CERTIFICATIONS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Noel Watson, certify that:</w:t>
      </w:r>
    </w:p>
    <w:p>
      <w:pPr>
        <w:spacing w:after="0" w:line="206" w:lineRule="exact"/>
        <w:rPr>
          <w:sz w:val="20"/>
          <w:szCs w:val="20"/>
          <w:color w:val="auto"/>
        </w:rPr>
      </w:pPr>
    </w:p>
    <w:p>
      <w:pPr>
        <w:ind w:left="560" w:hanging="460"/>
        <w:spacing w:after="0"/>
        <w:tabs>
          <w:tab w:leader="none" w:pos="5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I have reviewed this Form 10-Q of LegalZoom.com, Inc.</w:t>
      </w:r>
    </w:p>
    <w:p>
      <w:pPr>
        <w:spacing w:after="0" w:line="205" w:lineRule="exact"/>
        <w:rPr>
          <w:rFonts w:ascii="Arial" w:cs="Arial" w:eastAsia="Arial" w:hAnsi="Arial"/>
          <w:sz w:val="17"/>
          <w:szCs w:val="17"/>
          <w:color w:val="auto"/>
        </w:rPr>
      </w:pPr>
    </w:p>
    <w:p>
      <w:pPr>
        <w:ind w:left="560" w:right="320" w:hanging="460"/>
        <w:spacing w:after="0" w:line="335" w:lineRule="auto"/>
        <w:tabs>
          <w:tab w:leader="none" w:pos="56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560" w:right="400" w:hanging="460"/>
        <w:spacing w:after="0" w:line="267" w:lineRule="auto"/>
        <w:tabs>
          <w:tab w:leader="none" w:pos="5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560" w:right="260" w:hanging="460"/>
        <w:spacing w:after="0" w:line="267" w:lineRule="auto"/>
        <w:tabs>
          <w:tab w:leader="none" w:pos="5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7"/>
          <w:szCs w:val="17"/>
          <w:color w:val="auto"/>
        </w:rPr>
      </w:pPr>
    </w:p>
    <w:p>
      <w:pPr>
        <w:ind w:left="1000" w:right="80" w:hanging="448"/>
        <w:spacing w:after="0" w:line="257" w:lineRule="auto"/>
        <w:tabs>
          <w:tab w:leader="none" w:pos="99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000" w:right="240" w:hanging="448"/>
        <w:spacing w:after="0" w:line="299" w:lineRule="auto"/>
        <w:tabs>
          <w:tab w:leader="none" w:pos="994" w:val="left"/>
        </w:tabs>
        <w:numPr>
          <w:ilvl w:val="1"/>
          <w:numId w:val="3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left="1000" w:right="280" w:hanging="448"/>
        <w:spacing w:after="0" w:line="257" w:lineRule="auto"/>
        <w:tabs>
          <w:tab w:leader="none" w:pos="99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560" w:right="180" w:hanging="460"/>
        <w:spacing w:after="0" w:line="267" w:lineRule="auto"/>
        <w:tabs>
          <w:tab w:leader="none" w:pos="5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1000" w:right="180" w:hanging="448"/>
        <w:spacing w:after="0" w:line="267" w:lineRule="auto"/>
        <w:tabs>
          <w:tab w:leader="none" w:pos="99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000" w:right="400" w:hanging="448"/>
        <w:spacing w:after="0" w:line="267" w:lineRule="auto"/>
        <w:tabs>
          <w:tab w:leader="none" w:pos="994" w:val="left"/>
        </w:tabs>
        <w:numPr>
          <w:ilvl w:val="1"/>
          <w:numId w:val="39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LegalZoom.com, Inc.</w:t>
      </w:r>
    </w:p>
    <w:p>
      <w:pPr>
        <w:spacing w:after="0" w:line="268" w:lineRule="exact"/>
        <w:rPr>
          <w:sz w:val="20"/>
          <w:szCs w:val="20"/>
          <w:color w:val="auto"/>
        </w:rPr>
      </w:pPr>
    </w:p>
    <w:p>
      <w:pPr>
        <w:spacing w:after="0"/>
        <w:tabs>
          <w:tab w:leader="none" w:pos="4940" w:val="left"/>
          <w:tab w:leader="none" w:pos="758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11430</wp:posOffset>
            </wp:positionV>
            <wp:extent cx="31927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3192780" cy="8255"/>
                    </a:xfrm>
                    <a:prstGeom prst="rect">
                      <a:avLst/>
                    </a:prstGeom>
                    <a:noFill/>
                  </pic:spPr>
                </pic:pic>
              </a:graphicData>
            </a:graphic>
          </wp:anchor>
        </w:drawing>
      </w:r>
    </w:p>
    <w:p>
      <w:pPr>
        <w:spacing w:after="0" w:line="6" w:lineRule="exact"/>
        <w:rPr>
          <w:sz w:val="20"/>
          <w:szCs w:val="20"/>
          <w:color w:val="auto"/>
        </w:rPr>
      </w:pPr>
    </w:p>
    <w:p>
      <w:pPr>
        <w:jc w:val="center"/>
        <w:ind w:left="4800"/>
        <w:spacing w:after="0"/>
        <w:rPr>
          <w:sz w:val="20"/>
          <w:szCs w:val="20"/>
          <w:color w:val="auto"/>
        </w:rPr>
      </w:pPr>
      <w:r>
        <w:rPr>
          <w:rFonts w:ascii="Arial" w:cs="Arial" w:eastAsia="Arial" w:hAnsi="Arial"/>
          <w:sz w:val="17"/>
          <w:szCs w:val="17"/>
          <w:b w:val="1"/>
          <w:bCs w:val="1"/>
          <w:color w:val="auto"/>
        </w:rPr>
        <w:t>Noel Watson</w:t>
      </w:r>
    </w:p>
    <w:p>
      <w:pPr>
        <w:spacing w:after="0" w:line="21" w:lineRule="exact"/>
        <w:rPr>
          <w:sz w:val="20"/>
          <w:szCs w:val="20"/>
          <w:color w:val="auto"/>
        </w:rPr>
      </w:pPr>
    </w:p>
    <w:p>
      <w:pPr>
        <w:jc w:val="center"/>
        <w:ind w:left="480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340"/>
          </w:cols>
          <w:pgMar w:left="220" w:top="879" w:right="3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7"/>
          <w:szCs w:val="17"/>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1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I Dan Wernikoff, Chief Executive Officer of LegalZoom.com, Inc., or the Company, and Noel Watson, Chief Financial Officer of the Company, each hereby certifies that, to the best of our knowledge:</w:t>
      </w:r>
    </w:p>
    <w:p>
      <w:pPr>
        <w:spacing w:after="0" w:line="175" w:lineRule="exact"/>
        <w:rPr>
          <w:sz w:val="20"/>
          <w:szCs w:val="20"/>
          <w:color w:val="auto"/>
        </w:rPr>
      </w:pPr>
    </w:p>
    <w:p>
      <w:pPr>
        <w:ind w:left="460" w:right="160" w:hanging="460"/>
        <w:spacing w:after="0" w:line="267" w:lineRule="auto"/>
        <w:tabs>
          <w:tab w:leader="none" w:pos="4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66" w:lineRule="exact"/>
        <w:rPr>
          <w:rFonts w:ascii="Arial" w:cs="Arial" w:eastAsia="Arial" w:hAnsi="Arial"/>
          <w:sz w:val="17"/>
          <w:szCs w:val="17"/>
          <w:color w:val="auto"/>
        </w:rPr>
      </w:pPr>
    </w:p>
    <w:p>
      <w:pPr>
        <w:ind w:left="460" w:hanging="460"/>
        <w:spacing w:after="0"/>
        <w:tabs>
          <w:tab w:leader="none" w:pos="460" w:val="left"/>
        </w:tabs>
        <w:numPr>
          <w:ilvl w:val="0"/>
          <w:numId w:val="391"/>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have set their hands hereto as of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November 2021.</w:t>
      </w:r>
    </w:p>
    <w:p>
      <w:pPr>
        <w:spacing w:after="0" w:line="20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LegalZoom.com, Inc.</w:t>
      </w:r>
    </w:p>
    <w:p>
      <w:pPr>
        <w:spacing w:after="0" w:line="256" w:lineRule="exact"/>
        <w:rPr>
          <w:sz w:val="20"/>
          <w:szCs w:val="20"/>
          <w:color w:val="auto"/>
        </w:rPr>
      </w:pPr>
    </w:p>
    <w:p>
      <w:pPr>
        <w:ind w:left="20"/>
        <w:spacing w:after="0"/>
        <w:tabs>
          <w:tab w:leader="none" w:pos="5380" w:val="left"/>
          <w:tab w:leader="none" w:pos="792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11430</wp:posOffset>
            </wp:positionV>
            <wp:extent cx="34156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3415665" cy="8255"/>
                    </a:xfrm>
                    <a:prstGeom prst="rect">
                      <a:avLst/>
                    </a:prstGeom>
                    <a:noFill/>
                  </pic:spPr>
                </pic:pic>
              </a:graphicData>
            </a:graphic>
          </wp:anchor>
        </w:drawing>
      </w:r>
    </w:p>
    <w:p>
      <w:pPr>
        <w:spacing w:after="0" w:line="6"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Dan Wernikoff</w:t>
      </w:r>
    </w:p>
    <w:p>
      <w:pPr>
        <w:spacing w:after="0" w:line="21"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Chief Executive Officer</w:t>
      </w:r>
    </w:p>
    <w:p>
      <w:pPr>
        <w:spacing w:after="0" w:line="269" w:lineRule="exact"/>
        <w:rPr>
          <w:sz w:val="20"/>
          <w:szCs w:val="20"/>
          <w:color w:val="auto"/>
        </w:rPr>
      </w:pPr>
    </w:p>
    <w:p>
      <w:pPr>
        <w:ind w:left="20"/>
        <w:spacing w:after="0"/>
        <w:tabs>
          <w:tab w:leader="none" w:pos="5380" w:val="left"/>
          <w:tab w:leader="none" w:pos="7980" w:val="left"/>
        </w:tabs>
        <w:rPr>
          <w:sz w:val="20"/>
          <w:szCs w:val="20"/>
          <w:color w:val="auto"/>
        </w:rPr>
      </w:pPr>
      <w:r>
        <w:rPr>
          <w:rFonts w:ascii="Arial" w:cs="Arial" w:eastAsia="Arial" w:hAnsi="Arial"/>
          <w:sz w:val="17"/>
          <w:szCs w:val="17"/>
          <w:color w:val="auto"/>
        </w:rPr>
        <w:t>Date:November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11430</wp:posOffset>
            </wp:positionV>
            <wp:extent cx="341566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3415665" cy="8255"/>
                    </a:xfrm>
                    <a:prstGeom prst="rect">
                      <a:avLst/>
                    </a:prstGeom>
                    <a:noFill/>
                  </pic:spPr>
                </pic:pic>
              </a:graphicData>
            </a:graphic>
          </wp:anchor>
        </w:drawing>
      </w:r>
    </w:p>
    <w:p>
      <w:pPr>
        <w:spacing w:after="0" w:line="6"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Noel Watson</w:t>
      </w:r>
    </w:p>
    <w:p>
      <w:pPr>
        <w:spacing w:after="0" w:line="21"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Chief Financial Officer</w:t>
      </w:r>
    </w:p>
    <w:p>
      <w:pPr>
        <w:spacing w:after="0" w:line="18" w:lineRule="exact"/>
        <w:rPr>
          <w:sz w:val="20"/>
          <w:szCs w:val="20"/>
          <w:color w:val="auto"/>
        </w:rPr>
      </w:pPr>
    </w:p>
    <w:p>
      <w:pPr>
        <w:jc w:val="center"/>
        <w:ind w:left="58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9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1C8153"/>
    <w:multiLevelType w:val="hybridMultilevel"/>
    <w:lvl w:ilvl="0">
      <w:lvlJc w:val="left"/>
      <w:lvlText w:val="☒"/>
      <w:numFmt w:val="bullet"/>
      <w:start w:val="1"/>
    </w:lvl>
  </w:abstractNum>
  <w:abstractNum w:abstractNumId="1">
    <w:nsid w:val="67906F60"/>
    <w:multiLevelType w:val="hybridMultilevel"/>
    <w:lvl w:ilvl="0">
      <w:lvlJc w:val="left"/>
      <w:lvlText w:val="☐"/>
      <w:numFmt w:val="bullet"/>
      <w:start w:val="1"/>
    </w:lvl>
  </w:abstractNum>
  <w:abstractNum w:abstractNumId="2">
    <w:nsid w:val="10DB9DAA"/>
    <w:multiLevelType w:val="hybridMultilevel"/>
    <w:lvl w:ilvl="0">
      <w:lvlJc w:val="left"/>
      <w:lvlText w:val="%1."/>
      <w:numFmt w:val="decimal"/>
      <w:start w:val="842"/>
    </w:lvl>
  </w:abstractNum>
  <w:abstractNum w:abstractNumId="3">
    <w:nsid w:val="697D2D2"/>
    <w:multiLevelType w:val="hybridMultilevel"/>
    <w:lvl w:ilvl="0">
      <w:lvlJc w:val="left"/>
      <w:lvlText w:val="•"/>
      <w:numFmt w:val="bullet"/>
      <w:start w:val="1"/>
    </w:lvl>
  </w:abstractNum>
  <w:abstractNum w:abstractNumId="4">
    <w:nsid w:val="6D68AB2"/>
    <w:multiLevelType w:val="hybridMultilevel"/>
    <w:lvl w:ilvl="0">
      <w:lvlJc w:val="left"/>
      <w:lvlText w:val="(%1)"/>
      <w:numFmt w:val="decimal"/>
      <w:start w:val="1"/>
    </w:lvl>
  </w:abstractNum>
  <w:abstractNum w:abstractNumId="5">
    <w:nsid w:val="3A966CD0"/>
    <w:multiLevelType w:val="hybridMultilevel"/>
    <w:lvl w:ilvl="0">
      <w:lvlJc w:val="left"/>
      <w:lvlText w:val="•"/>
      <w:numFmt w:val="bullet"/>
      <w:start w:val="1"/>
    </w:lvl>
  </w:abstractNum>
  <w:abstractNum w:abstractNumId="6">
    <w:nsid w:val="63F37E85"/>
    <w:multiLevelType w:val="hybridMultilevel"/>
    <w:lvl w:ilvl="0">
      <w:lvlJc w:val="left"/>
      <w:lvlText w:val="•"/>
      <w:numFmt w:val="bullet"/>
      <w:start w:val="1"/>
    </w:lvl>
  </w:abstractNum>
  <w:abstractNum w:abstractNumId="7">
    <w:nsid w:val="5895F5FA"/>
    <w:multiLevelType w:val="hybridMultilevel"/>
    <w:lvl w:ilvl="0">
      <w:lvlJc w:val="left"/>
      <w:lvlText w:val="•"/>
      <w:numFmt w:val="bullet"/>
      <w:start w:val="1"/>
    </w:lvl>
  </w:abstractNum>
  <w:abstractNum w:abstractNumId="8">
    <w:nsid w:val="38A5D054"/>
    <w:multiLevelType w:val="hybridMultilevel"/>
    <w:lvl w:ilvl="0">
      <w:lvlJc w:val="left"/>
      <w:lvlText w:val="•"/>
      <w:numFmt w:val="bullet"/>
      <w:start w:val="1"/>
    </w:lvl>
  </w:abstractNum>
  <w:abstractNum w:abstractNumId="9">
    <w:nsid w:val="F3F09D8"/>
    <w:multiLevelType w:val="hybridMultilevel"/>
    <w:lvl w:ilvl="0">
      <w:lvlJc w:val="left"/>
      <w:lvlText w:val="•"/>
      <w:numFmt w:val="bullet"/>
      <w:start w:val="1"/>
    </w:lvl>
  </w:abstractNum>
  <w:abstractNum w:abstractNumId="10">
    <w:nsid w:val="4B793735"/>
    <w:multiLevelType w:val="hybridMultilevel"/>
    <w:lvl w:ilvl="0">
      <w:lvlJc w:val="left"/>
      <w:lvlText w:val="•"/>
      <w:numFmt w:val="bullet"/>
      <w:start w:val="1"/>
    </w:lvl>
  </w:abstractNum>
  <w:abstractNum w:abstractNumId="11">
    <w:nsid w:val="4A10B4E8"/>
    <w:multiLevelType w:val="hybridMultilevel"/>
    <w:lvl w:ilvl="0">
      <w:lvlJc w:val="left"/>
      <w:lvlText w:val="•"/>
      <w:numFmt w:val="bullet"/>
      <w:start w:val="1"/>
    </w:lvl>
  </w:abstractNum>
  <w:abstractNum w:abstractNumId="12">
    <w:nsid w:val="43D3BCD4"/>
    <w:multiLevelType w:val="hybridMultilevel"/>
    <w:lvl w:ilvl="0">
      <w:lvlJc w:val="left"/>
      <w:lvlText w:val="•"/>
      <w:numFmt w:val="bullet"/>
      <w:start w:val="1"/>
    </w:lvl>
  </w:abstractNum>
  <w:abstractNum w:abstractNumId="13">
    <w:nsid w:val="4C2A7166"/>
    <w:multiLevelType w:val="hybridMultilevel"/>
    <w:lvl w:ilvl="0">
      <w:lvlJc w:val="left"/>
      <w:lvlText w:val="•"/>
      <w:numFmt w:val="bullet"/>
      <w:start w:val="1"/>
    </w:lvl>
  </w:abstractNum>
  <w:abstractNum w:abstractNumId="14">
    <w:nsid w:val="2E534A82"/>
    <w:multiLevelType w:val="hybridMultilevel"/>
    <w:lvl w:ilvl="0">
      <w:lvlJc w:val="left"/>
      <w:lvlText w:val="•"/>
      <w:numFmt w:val="bullet"/>
      <w:start w:val="1"/>
    </w:lvl>
  </w:abstractNum>
  <w:abstractNum w:abstractNumId="15">
    <w:nsid w:val="26F2D364"/>
    <w:multiLevelType w:val="hybridMultilevel"/>
    <w:lvl w:ilvl="0">
      <w:lvlJc w:val="left"/>
      <w:lvlText w:val="•"/>
      <w:numFmt w:val="bullet"/>
      <w:start w:val="1"/>
    </w:lvl>
  </w:abstractNum>
  <w:abstractNum w:abstractNumId="16">
    <w:nsid w:val="71C1AF98"/>
    <w:multiLevelType w:val="hybridMultilevel"/>
    <w:lvl w:ilvl="0">
      <w:lvlJc w:val="left"/>
      <w:lvlText w:val="•"/>
      <w:numFmt w:val="bullet"/>
      <w:start w:val="1"/>
    </w:lvl>
  </w:abstractNum>
  <w:abstractNum w:abstractNumId="17">
    <w:nsid w:val="3D00B9D9"/>
    <w:multiLevelType w:val="hybridMultilevel"/>
    <w:lvl w:ilvl="0">
      <w:lvlJc w:val="left"/>
      <w:lvlText w:val="•"/>
      <w:numFmt w:val="bullet"/>
      <w:start w:val="1"/>
    </w:lvl>
  </w:abstractNum>
  <w:abstractNum w:abstractNumId="18">
    <w:nsid w:val="15BCABA8"/>
    <w:multiLevelType w:val="hybridMultilevel"/>
    <w:lvl w:ilvl="0">
      <w:lvlJc w:val="left"/>
      <w:lvlText w:val="•"/>
      <w:numFmt w:val="bullet"/>
      <w:start w:val="1"/>
    </w:lvl>
  </w:abstractNum>
  <w:abstractNum w:abstractNumId="19">
    <w:nsid w:val="4E0B9A87"/>
    <w:multiLevelType w:val="hybridMultilevel"/>
    <w:lvl w:ilvl="0">
      <w:lvlJc w:val="left"/>
      <w:lvlText w:val="•"/>
      <w:numFmt w:val="bullet"/>
      <w:start w:val="1"/>
    </w:lvl>
  </w:abstractNum>
  <w:abstractNum w:abstractNumId="20">
    <w:nsid w:val="434BAE75"/>
    <w:multiLevelType w:val="hybridMultilevel"/>
    <w:lvl w:ilvl="0">
      <w:lvlJc w:val="left"/>
      <w:lvlText w:val="•"/>
      <w:numFmt w:val="bullet"/>
      <w:start w:val="1"/>
    </w:lvl>
  </w:abstractNum>
  <w:abstractNum w:abstractNumId="21">
    <w:nsid w:val="4F38F265"/>
    <w:multiLevelType w:val="hybridMultilevel"/>
    <w:lvl w:ilvl="0">
      <w:lvlJc w:val="left"/>
      <w:lvlText w:val="•"/>
      <w:numFmt w:val="bullet"/>
      <w:start w:val="1"/>
    </w:lvl>
  </w:abstractNum>
  <w:abstractNum w:abstractNumId="22">
    <w:nsid w:val="4C502870"/>
    <w:multiLevelType w:val="hybridMultilevel"/>
    <w:lvl w:ilvl="0">
      <w:lvlJc w:val="left"/>
      <w:lvlText w:val="%1"/>
      <w:numFmt w:val="decimal"/>
      <w:start w:val="101"/>
    </w:lvl>
  </w:abstractNum>
  <w:abstractNum w:abstractNumId="23">
    <w:nsid w:val="1DE8725A"/>
    <w:multiLevelType w:val="hybridMultilevel"/>
    <w:lvl w:ilvl="0">
      <w:lvlJc w:val="left"/>
      <w:lvlText w:val="+"/>
      <w:numFmt w:val="bullet"/>
      <w:start w:val="1"/>
    </w:lvl>
  </w:abstractNum>
  <w:abstractNum w:abstractNumId="24">
    <w:nsid w:val="6A37288A"/>
    <w:multiLevelType w:val="hybridMultilevel"/>
    <w:lvl w:ilvl="0">
      <w:lvlJc w:val="left"/>
      <w:lvlText w:val="(%1)"/>
      <w:numFmt w:val="upperLetter"/>
      <w:start w:val="3"/>
    </w:lvl>
  </w:abstractNum>
  <w:abstractNum w:abstractNumId="25">
    <w:nsid w:val="8F8B73F"/>
    <w:multiLevelType w:val="hybridMultilevel"/>
    <w:lvl w:ilvl="0">
      <w:lvlJc w:val="left"/>
      <w:lvlText w:val="(%1)"/>
      <w:numFmt w:val="lowerLetter"/>
      <w:start w:val="1"/>
    </w:lvl>
  </w:abstractNum>
  <w:abstractNum w:abstractNumId="26">
    <w:nsid w:val="CA6B462"/>
    <w:multiLevelType w:val="hybridMultilevel"/>
    <w:lvl w:ilvl="0">
      <w:lvlJc w:val="left"/>
      <w:lvlText w:val="(%1)"/>
      <w:numFmt w:val="lowerLetter"/>
      <w:start w:val="2"/>
    </w:lvl>
    <w:lvl w:ilvl="1">
      <w:lvlJc w:val="left"/>
      <w:lvlText w:val="(%2)"/>
      <w:numFmt w:val="lowerLetter"/>
      <w:start w:val="1"/>
    </w:lvl>
  </w:abstractNum>
  <w:abstractNum w:abstractNumId="27">
    <w:nsid w:val="763CB680"/>
    <w:multiLevelType w:val="hybridMultilevel"/>
    <w:lvl w:ilvl="0">
      <w:lvlJc w:val="left"/>
      <w:lvlText w:val="(%1)"/>
      <w:numFmt w:val="lowerRoman"/>
      <w:start w:val="1"/>
    </w:lvl>
  </w:abstractNum>
  <w:abstractNum w:abstractNumId="28">
    <w:nsid w:val="15B71329"/>
    <w:multiLevelType w:val="hybridMultilevel"/>
    <w:lvl w:ilvl="0">
      <w:lvlJc w:val="left"/>
      <w:lvlText w:val="(%1)"/>
      <w:numFmt w:val="lowerRoman"/>
      <w:start w:val="4"/>
    </w:lvl>
  </w:abstractNum>
  <w:abstractNum w:abstractNumId="29">
    <w:nsid w:val="3DA97044"/>
    <w:multiLevelType w:val="hybridMultilevel"/>
    <w:lvl w:ilvl="0">
      <w:lvlJc w:val="left"/>
      <w:lvlText w:val="(%1)"/>
      <w:numFmt w:val="lowerRoman"/>
      <w:start w:val="9"/>
    </w:lvl>
  </w:abstractNum>
  <w:abstractNum w:abstractNumId="30">
    <w:nsid w:val="1CDCE2DE"/>
    <w:multiLevelType w:val="hybridMultilevel"/>
    <w:lvl w:ilvl="0">
      <w:lvlJc w:val="left"/>
      <w:lvlText w:val="(%1)"/>
      <w:numFmt w:val="lowerRoman"/>
      <w:start w:val="10"/>
    </w:lvl>
  </w:abstractNum>
  <w:abstractNum w:abstractNumId="31">
    <w:nsid w:val="69D3947C"/>
    <w:multiLevelType w:val="hybridMultilevel"/>
    <w:lvl w:ilvl="0">
      <w:lvlJc w:val="left"/>
      <w:lvlText w:val="(%1)"/>
      <w:numFmt w:val="lowerRoman"/>
      <w:start w:val="24"/>
    </w:lvl>
  </w:abstractNum>
  <w:abstractNum w:abstractNumId="32">
    <w:nsid w:val="2539DFA5"/>
    <w:multiLevelType w:val="hybridMultilevel"/>
    <w:lvl w:ilvl="0">
      <w:lvlJc w:val="left"/>
      <w:lvlText w:val="(%1)"/>
      <w:numFmt w:val="lowerLetter"/>
      <w:start w:val="2"/>
    </w:lvl>
  </w:abstractNum>
  <w:abstractNum w:abstractNumId="33">
    <w:nsid w:val="2DB88089"/>
    <w:multiLevelType w:val="hybridMultilevel"/>
    <w:lvl w:ilvl="0">
      <w:lvlJc w:val="left"/>
      <w:lvlText w:val="(%1)"/>
      <w:numFmt w:val="lowerRoman"/>
      <w:start w:val="2"/>
    </w:lvl>
  </w:abstractNum>
  <w:abstractNum w:abstractNumId="34">
    <w:nsid w:val="706B674E"/>
    <w:multiLevelType w:val="hybridMultilevel"/>
    <w:lvl w:ilvl="0">
      <w:lvlJc w:val="left"/>
      <w:lvlText w:val="(%1)"/>
      <w:numFmt w:val="lowerLetter"/>
      <w:start w:val="1"/>
    </w:lvl>
  </w:abstractNum>
  <w:abstractNum w:abstractNumId="35">
    <w:nsid w:val="2C106A57"/>
    <w:multiLevelType w:val="hybridMultilevel"/>
    <w:lvl w:ilvl="0">
      <w:lvlJc w:val="left"/>
      <w:lvlText w:val="%1"/>
      <w:numFmt w:val="decimal"/>
      <w:start w:val="1"/>
    </w:lvl>
    <w:lvl w:ilvl="1">
      <w:lvlJc w:val="left"/>
      <w:lvlText w:val="(%2)"/>
      <w:numFmt w:val="lowerLetter"/>
      <w:start w:val="1"/>
    </w:lvl>
  </w:abstractNum>
  <w:abstractNum w:abstractNumId="36">
    <w:nsid w:val="684EED59"/>
    <w:multiLevelType w:val="hybridMultilevel"/>
    <w:lvl w:ilvl="0">
      <w:lvlJc w:val="left"/>
      <w:lvlText w:val="(%1)"/>
      <w:numFmt w:val="decimal"/>
      <w:start w:val="24"/>
    </w:lvl>
    <w:lvl w:ilvl="1">
      <w:lvlJc w:val="left"/>
      <w:lvlText w:val="(%2)"/>
      <w:numFmt w:val="lowerLetter"/>
      <w:start w:val="5"/>
    </w:lvl>
  </w:abstractNum>
  <w:abstractNum w:abstractNumId="37">
    <w:nsid w:val="545EE5D3"/>
    <w:multiLevelType w:val="hybridMultilevel"/>
    <w:lvl w:ilvl="0">
      <w:lvlJc w:val="left"/>
      <w:lvlText w:val="%1"/>
      <w:numFmt w:val="decimal"/>
      <w:start w:val="1"/>
    </w:lvl>
    <w:lvl w:ilvl="1">
      <w:lvlJc w:val="left"/>
      <w:lvlText w:val="(%2)"/>
      <w:numFmt w:val="lowerLetter"/>
      <w:start w:val="7"/>
    </w:lvl>
  </w:abstractNum>
  <w:abstractNum w:abstractNumId="38">
    <w:nsid w:val="4A66051"/>
    <w:multiLevelType w:val="hybridMultilevel"/>
    <w:lvl w:ilvl="0">
      <w:lvlJc w:val="left"/>
      <w:lvlText w:val="(%1)"/>
      <w:numFmt w:val="decimal"/>
      <w:start w:val="24"/>
    </w:lvl>
    <w:lvl w:ilvl="1">
      <w:lvlJc w:val="left"/>
      <w:lvlText w:val="(%2)"/>
      <w:numFmt w:val="lowerLetter"/>
      <w:start w:val="10"/>
    </w:lvl>
  </w:abstractNum>
  <w:abstractNum w:abstractNumId="39">
    <w:nsid w:val="20F4BDAD"/>
    <w:multiLevelType w:val="hybridMultilevel"/>
    <w:lvl w:ilvl="0">
      <w:lvlJc w:val="left"/>
      <w:lvlText w:val="(%1)"/>
      <w:numFmt w:val="lowerLetter"/>
      <w:start w:val="2"/>
    </w:lvl>
  </w:abstractNum>
  <w:abstractNum w:abstractNumId="40">
    <w:nsid w:val="639DEFAC"/>
    <w:multiLevelType w:val="hybridMultilevel"/>
    <w:lvl w:ilvl="0">
      <w:lvlJc w:val="left"/>
      <w:lvlText w:val="(%1)"/>
      <w:numFmt w:val="lowerLetter"/>
      <w:start w:val="1"/>
    </w:lvl>
    <w:lvl w:ilvl="1">
      <w:lvlJc w:val="left"/>
      <w:lvlText w:val="(%2)"/>
      <w:numFmt w:val="lowerRoman"/>
      <w:start w:val="1"/>
    </w:lvl>
  </w:abstractNum>
  <w:abstractNum w:abstractNumId="41">
    <w:nsid w:val="501F9786"/>
    <w:multiLevelType w:val="hybridMultilevel"/>
    <w:lvl w:ilvl="0">
      <w:lvlJc w:val="left"/>
      <w:lvlText w:val="(%1)"/>
      <w:numFmt w:val="lowerRoman"/>
      <w:start w:val="5"/>
    </w:lvl>
  </w:abstractNum>
  <w:abstractNum w:abstractNumId="42">
    <w:nsid w:val="6B057295"/>
    <w:multiLevelType w:val="hybridMultilevel"/>
    <w:lvl w:ilvl="0">
      <w:lvlJc w:val="left"/>
      <w:lvlText w:val="%1"/>
      <w:numFmt w:val="lowerRoman"/>
      <w:start w:val="1"/>
    </w:lvl>
    <w:lvl w:ilvl="1">
      <w:lvlJc w:val="left"/>
      <w:lvlText w:val="(%2)"/>
      <w:numFmt w:val="lowerRoman"/>
      <w:start w:val="14"/>
    </w:lvl>
  </w:abstractNum>
  <w:abstractNum w:abstractNumId="43">
    <w:nsid w:val="2771AC80"/>
    <w:multiLevelType w:val="hybridMultilevel"/>
    <w:lvl w:ilvl="0">
      <w:lvlJc w:val="left"/>
      <w:lvlText w:val="(%1)"/>
      <w:numFmt w:val="lowerRoman"/>
      <w:start w:val="15"/>
    </w:lvl>
    <w:lvl w:ilvl="1">
      <w:lvlJc w:val="left"/>
      <w:lvlText w:val="(%2)"/>
      <w:numFmt w:val="lowerRoman"/>
      <w:start w:val="16"/>
    </w:lvl>
  </w:abstractNum>
  <w:abstractNum w:abstractNumId="44">
    <w:nsid w:val="1C4A08EC"/>
    <w:multiLevelType w:val="hybridMultilevel"/>
    <w:lvl w:ilvl="0">
      <w:lvlJc w:val="left"/>
      <w:lvlText w:val="%1"/>
      <w:numFmt w:val="lowerLetter"/>
      <w:start w:val="1"/>
    </w:lvl>
    <w:lvl w:ilvl="1">
      <w:lvlJc w:val="left"/>
      <w:lvlText w:val="(%2)"/>
      <w:numFmt w:val="lowerRoman"/>
      <w:start w:val="21"/>
    </w:lvl>
  </w:abstractNum>
  <w:abstractNum w:abstractNumId="45">
    <w:nsid w:val="1958BD17"/>
    <w:multiLevelType w:val="hybridMultilevel"/>
    <w:lvl w:ilvl="0">
      <w:lvlJc w:val="left"/>
      <w:lvlText w:val="(%1)"/>
      <w:numFmt w:val="lowerLetter"/>
      <w:start w:val="3"/>
    </w:lvl>
    <w:lvl w:ilvl="1">
      <w:lvlJc w:val="left"/>
      <w:lvlText w:val="(%2)"/>
      <w:numFmt w:val="lowerRoman"/>
      <w:start w:val="1"/>
    </w:lvl>
  </w:abstractNum>
  <w:abstractNum w:abstractNumId="46">
    <w:nsid w:val="4E647FE4"/>
    <w:multiLevelType w:val="hybridMultilevel"/>
    <w:lvl w:ilvl="0">
      <w:lvlJc w:val="left"/>
      <w:lvlText w:val="(%1)"/>
      <w:numFmt w:val="lowerLetter"/>
      <w:start w:val="1"/>
    </w:lvl>
  </w:abstractNum>
  <w:abstractNum w:abstractNumId="47">
    <w:nsid w:val="E0BB885"/>
    <w:multiLevelType w:val="hybridMultilevel"/>
    <w:lvl w:ilvl="0">
      <w:lvlJc w:val="left"/>
      <w:lvlText w:val="(%1)"/>
      <w:numFmt w:val="lowerLetter"/>
      <w:start w:val="2"/>
    </w:lvl>
  </w:abstractNum>
  <w:abstractNum w:abstractNumId="48">
    <w:nsid w:val="565976F1"/>
    <w:multiLevelType w:val="hybridMultilevel"/>
    <w:lvl w:ilvl="0">
      <w:lvlJc w:val="left"/>
      <w:lvlText w:val="(%1)"/>
      <w:numFmt w:val="lowerLetter"/>
      <w:start w:val="7"/>
    </w:lvl>
  </w:abstractNum>
  <w:abstractNum w:abstractNumId="49">
    <w:nsid w:val="64212B8C"/>
    <w:multiLevelType w:val="hybridMultilevel"/>
    <w:lvl w:ilvl="0">
      <w:lvlJc w:val="left"/>
      <w:lvlText w:val="(%1)"/>
      <w:numFmt w:val="lowerLetter"/>
      <w:start w:val="10"/>
    </w:lvl>
  </w:abstractNum>
  <w:abstractNum w:abstractNumId="50">
    <w:nsid w:val="5C17530C"/>
    <w:multiLevelType w:val="hybridMultilevel"/>
    <w:lvl w:ilvl="0">
      <w:lvlJc w:val="left"/>
      <w:lvlText w:val="(%1)"/>
      <w:numFmt w:val="lowerLetter"/>
      <w:start w:val="1"/>
    </w:lvl>
  </w:abstractNum>
  <w:abstractNum w:abstractNumId="51">
    <w:nsid w:val="19A52566"/>
    <w:multiLevelType w:val="hybridMultilevel"/>
    <w:lvl w:ilvl="0">
      <w:lvlJc w:val="left"/>
      <w:lvlText w:val="(%1)"/>
      <w:numFmt w:val="lowerRoman"/>
      <w:start w:val="1"/>
    </w:lvl>
  </w:abstractNum>
  <w:abstractNum w:abstractNumId="52">
    <w:nsid w:val="335A1DF1"/>
    <w:multiLevelType w:val="hybridMultilevel"/>
    <w:lvl w:ilvl="0">
      <w:lvlJc w:val="left"/>
      <w:lvlText w:val="%1"/>
      <w:numFmt w:val="lowerLetter"/>
      <w:start w:val="1"/>
    </w:lvl>
    <w:lvl w:ilvl="1">
      <w:lvlJc w:val="left"/>
      <w:lvlText w:val="(%2)"/>
      <w:numFmt w:val="lowerLetter"/>
      <w:start w:val="35"/>
    </w:lvl>
  </w:abstractNum>
  <w:abstractNum w:abstractNumId="53">
    <w:nsid w:val="28677B7C"/>
    <w:multiLevelType w:val="hybridMultilevel"/>
    <w:lvl w:ilvl="0">
      <w:lvlJc w:val="left"/>
      <w:lvlText w:val="(%1)"/>
      <w:numFmt w:val="lowerLetter"/>
      <w:start w:val="3"/>
    </w:lvl>
    <w:lvl w:ilvl="1">
      <w:lvlJc w:val="left"/>
      <w:lvlText w:val="%2"/>
      <w:numFmt w:val="lowerLetter"/>
      <w:start w:val="1"/>
    </w:lvl>
  </w:abstractNum>
  <w:abstractNum w:abstractNumId="54">
    <w:nsid w:val="378D97C0"/>
    <w:multiLevelType w:val="hybridMultilevel"/>
    <w:lvl w:ilvl="0">
      <w:lvlJc w:val="left"/>
      <w:lvlText w:val="(%1)"/>
      <w:numFmt w:val="lowerLetter"/>
      <w:start w:val="2"/>
    </w:lvl>
  </w:abstractNum>
  <w:abstractNum w:abstractNumId="55">
    <w:nsid w:val="1D91467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56">
    <w:nsid w:val="316032BB"/>
    <w:multiLevelType w:val="hybridMultilevel"/>
    <w:lvl w:ilvl="0">
      <w:lvlJc w:val="left"/>
      <w:lvlText w:val="(%1)"/>
      <w:numFmt w:val="lowerLetter"/>
      <w:start w:val="4"/>
    </w:lvl>
  </w:abstractNum>
  <w:abstractNum w:abstractNumId="57">
    <w:nsid w:val="44344C22"/>
    <w:multiLevelType w:val="hybridMultilevel"/>
    <w:lvl w:ilvl="0">
      <w:lvlJc w:val="left"/>
      <w:lvlText w:val="(%1)"/>
      <w:numFmt w:val="upperLetter"/>
      <w:start w:val="2"/>
    </w:lvl>
  </w:abstractNum>
  <w:abstractNum w:abstractNumId="58">
    <w:nsid w:val="13CDFCFC"/>
    <w:multiLevelType w:val="hybridMultilevel"/>
    <w:lvl w:ilvl="0">
      <w:lvlJc w:val="left"/>
      <w:lvlText w:val="(%1)"/>
      <w:numFmt w:val="lowerRoman"/>
      <w:start w:val="1"/>
    </w:lvl>
  </w:abstractNum>
  <w:abstractNum w:abstractNumId="59">
    <w:nsid w:val="471745E4"/>
    <w:multiLevelType w:val="hybridMultilevel"/>
    <w:lvl w:ilvl="0">
      <w:lvlJc w:val="left"/>
      <w:lvlText w:val="(%1)"/>
      <w:numFmt w:val="lowerRoman"/>
      <w:start w:val="4"/>
    </w:lvl>
  </w:abstractNum>
  <w:abstractNum w:abstractNumId="60">
    <w:nsid w:val="1DDBC66"/>
    <w:multiLevelType w:val="hybridMultilevel"/>
    <w:lvl w:ilvl="0">
      <w:lvlJc w:val="left"/>
      <w:lvlText w:val="(%1)"/>
      <w:numFmt w:val="lowerRoman"/>
      <w:start w:val="11"/>
    </w:lvl>
  </w:abstractNum>
  <w:abstractNum w:abstractNumId="61">
    <w:nsid w:val="30AADFDA"/>
    <w:multiLevelType w:val="hybridMultilevel"/>
    <w:lvl w:ilvl="0">
      <w:lvlJc w:val="left"/>
      <w:lvlText w:val="(%1)"/>
      <w:numFmt w:val="lowerRoman"/>
      <w:start w:val="10"/>
    </w:lvl>
  </w:abstractNum>
  <w:abstractNum w:abstractNumId="62">
    <w:nsid w:val="30EADA61"/>
    <w:multiLevelType w:val="hybridMultilevel"/>
    <w:lvl w:ilvl="0">
      <w:lvlJc w:val="left"/>
      <w:lvlText w:val="(%1)"/>
      <w:numFmt w:val="lowerLetter"/>
      <w:start w:val="1"/>
    </w:lvl>
  </w:abstractNum>
  <w:abstractNum w:abstractNumId="63">
    <w:nsid w:val="27179C0B"/>
    <w:multiLevelType w:val="hybridMultilevel"/>
    <w:lvl w:ilvl="0">
      <w:lvlJc w:val="left"/>
      <w:lvlText w:val="(%1)"/>
      <w:numFmt w:val="lowerLetter"/>
      <w:start w:val="2"/>
    </w:lvl>
  </w:abstractNum>
  <w:abstractNum w:abstractNumId="64">
    <w:nsid w:val="5E636063"/>
    <w:multiLevelType w:val="hybridMultilevel"/>
    <w:lvl w:ilvl="0">
      <w:lvlJc w:val="left"/>
      <w:lvlText w:val="(%1)"/>
      <w:numFmt w:val="lowerLetter"/>
      <w:start w:val="2"/>
    </w:lvl>
  </w:abstractNum>
  <w:abstractNum w:abstractNumId="65">
    <w:nsid w:val="215641AF"/>
    <w:multiLevelType w:val="hybridMultilevel"/>
    <w:lvl w:ilvl="0">
      <w:lvlJc w:val="left"/>
      <w:lvlText w:val="(%1)"/>
      <w:numFmt w:val="lowerRoman"/>
      <w:start w:val="2"/>
    </w:lvl>
  </w:abstractNum>
  <w:abstractNum w:abstractNumId="66">
    <w:nsid w:val="53280662"/>
    <w:multiLevelType w:val="hybridMultilevel"/>
    <w:lvl w:ilvl="0">
      <w:lvlJc w:val="left"/>
      <w:lvlText w:val="(%1)"/>
      <w:numFmt w:val="lowerRoman"/>
      <w:start w:val="1"/>
    </w:lvl>
  </w:abstractNum>
  <w:abstractNum w:abstractNumId="67">
    <w:nsid w:val="46B24DBC"/>
    <w:multiLevelType w:val="hybridMultilevel"/>
    <w:lvl w:ilvl="0">
      <w:lvlJc w:val="left"/>
      <w:lvlText w:val="(%1)"/>
      <w:numFmt w:val="decimal"/>
      <w:start w:val="20"/>
    </w:lvl>
  </w:abstractNum>
  <w:abstractNum w:abstractNumId="68">
    <w:nsid w:val="75B52783"/>
    <w:multiLevelType w:val="hybridMultilevel"/>
    <w:lvl w:ilvl="0">
      <w:lvlJc w:val="left"/>
      <w:lvlText w:val="(%1)"/>
      <w:numFmt w:val="lowerLetter"/>
      <w:start w:val="1"/>
    </w:lvl>
    <w:lvl w:ilvl="1">
      <w:lvlJc w:val="left"/>
      <w:lvlText w:val="(%2)"/>
      <w:numFmt w:val="lowerRoman"/>
      <w:start w:val="1"/>
    </w:lvl>
  </w:abstractNum>
  <w:abstractNum w:abstractNumId="69">
    <w:nsid w:val="57CE66B4"/>
    <w:multiLevelType w:val="hybridMultilevel"/>
    <w:lvl w:ilvl="0">
      <w:lvlJc w:val="left"/>
      <w:lvlText w:val="%1"/>
      <w:numFmt w:val="lowerLetter"/>
      <w:start w:val="1"/>
    </w:lvl>
    <w:lvl w:ilvl="1">
      <w:lvlJc w:val="left"/>
      <w:lvlText w:val="(%2)"/>
      <w:numFmt w:val="lowerLetter"/>
      <w:start w:val="2"/>
    </w:lvl>
  </w:abstractNum>
  <w:abstractNum w:abstractNumId="70">
    <w:nsid w:val="67A70B69"/>
    <w:multiLevelType w:val="hybridMultilevel"/>
    <w:lvl w:ilvl="0">
      <w:lvlJc w:val="left"/>
      <w:lvlText w:val="(%1)"/>
      <w:numFmt w:val="lowerLetter"/>
      <w:start w:val="1"/>
    </w:lvl>
    <w:lvl w:ilvl="1">
      <w:lvlJc w:val="left"/>
      <w:lvlText w:val="%2"/>
      <w:numFmt w:val="lowerLetter"/>
      <w:start w:val="1"/>
    </w:lvl>
  </w:abstractNum>
  <w:abstractNum w:abstractNumId="71">
    <w:nsid w:val="5953172F"/>
    <w:multiLevelType w:val="hybridMultilevel"/>
    <w:lvl w:ilvl="0">
      <w:lvlJc w:val="left"/>
      <w:lvlText w:val="(%1)"/>
      <w:numFmt w:val="lowerRoman"/>
      <w:start w:val="4"/>
    </w:lvl>
  </w:abstractNum>
  <w:abstractNum w:abstractNumId="72">
    <w:nsid w:val="27EDFE3A"/>
    <w:multiLevelType w:val="hybridMultilevel"/>
    <w:lvl w:ilvl="0">
      <w:lvlJc w:val="left"/>
      <w:lvlText w:val="(%1)"/>
      <w:numFmt w:val="lowerLetter"/>
      <w:start w:val="1"/>
    </w:lvl>
  </w:abstractNum>
  <w:abstractNum w:abstractNumId="73">
    <w:nsid w:val="52AC7DFF"/>
    <w:multiLevelType w:val="hybridMultilevel"/>
    <w:lvl w:ilvl="0">
      <w:lvlJc w:val="left"/>
      <w:lvlText w:val="%1"/>
      <w:numFmt w:val="lowerLetter"/>
      <w:start w:val="1"/>
    </w:lvl>
    <w:lvl w:ilvl="1">
      <w:lvlJc w:val="left"/>
      <w:lvlText w:val="(%2)"/>
      <w:numFmt w:val="lowerLetter"/>
      <w:start w:val="2"/>
    </w:lvl>
  </w:abstractNum>
  <w:abstractNum w:abstractNumId="74">
    <w:nsid w:val="C4C3AF"/>
    <w:multiLevelType w:val="hybridMultilevel"/>
    <w:lvl w:ilvl="0">
      <w:lvlJc w:val="left"/>
      <w:lvlText w:val="(%1)"/>
      <w:numFmt w:val="lowerLetter"/>
      <w:start w:val="9"/>
    </w:lvl>
    <w:lvl w:ilvl="1">
      <w:lvlJc w:val="left"/>
      <w:lvlText w:val="%2"/>
      <w:numFmt w:val="lowerLetter"/>
      <w:start w:val="1"/>
    </w:lvl>
  </w:abstractNum>
  <w:abstractNum w:abstractNumId="75">
    <w:nsid w:val="44380727"/>
    <w:multiLevelType w:val="hybridMultilevel"/>
    <w:lvl w:ilvl="0">
      <w:lvlJc w:val="left"/>
      <w:lvlText w:val="(%1)"/>
      <w:numFmt w:val="lowerLetter"/>
      <w:start w:val="1"/>
    </w:lvl>
  </w:abstractNum>
  <w:abstractNum w:abstractNumId="76">
    <w:nsid w:val="6C053B16"/>
    <w:multiLevelType w:val="hybridMultilevel"/>
    <w:lvl w:ilvl="0">
      <w:lvlJc w:val="left"/>
      <w:lvlText w:val="%1"/>
      <w:numFmt w:val="lowerLetter"/>
      <w:start w:val="1"/>
    </w:lvl>
    <w:lvl w:ilvl="1">
      <w:lvlJc w:val="left"/>
      <w:lvlText w:val="(%2)"/>
      <w:numFmt w:val="lowerLetter"/>
      <w:start w:val="3"/>
    </w:lvl>
  </w:abstractNum>
  <w:abstractNum w:abstractNumId="77">
    <w:nsid w:val="4F294393"/>
    <w:multiLevelType w:val="hybridMultilevel"/>
    <w:lvl w:ilvl="0">
      <w:lvlJc w:val="left"/>
      <w:lvlText w:val="(%1)"/>
      <w:numFmt w:val="lowerLetter"/>
      <w:start w:val="61"/>
    </w:lvl>
    <w:lvl w:ilvl="1">
      <w:lvlJc w:val="left"/>
      <w:lvlText w:val="(%2)"/>
      <w:numFmt w:val="lowerLetter"/>
      <w:start w:val="4"/>
    </w:lvl>
  </w:abstractNum>
  <w:abstractNum w:abstractNumId="78">
    <w:nsid w:val="5243BFAC"/>
    <w:multiLevelType w:val="hybridMultilevel"/>
    <w:lvl w:ilvl="0">
      <w:lvlJc w:val="left"/>
      <w:lvlText w:val="(%1)"/>
      <w:numFmt w:val="lowerRoman"/>
      <w:start w:val="3"/>
    </w:lvl>
  </w:abstractNum>
  <w:abstractNum w:abstractNumId="79">
    <w:nsid w:val="425EB207"/>
    <w:multiLevelType w:val="hybridMultilevel"/>
    <w:lvl w:ilvl="0">
      <w:lvlJc w:val="left"/>
      <w:lvlText w:val="(%1)"/>
      <w:numFmt w:val="lowerRoman"/>
      <w:start w:val="6"/>
    </w:lvl>
  </w:abstractNum>
  <w:abstractNum w:abstractNumId="80">
    <w:nsid w:val="334A6F1F"/>
    <w:multiLevelType w:val="hybridMultilevel"/>
    <w:lvl w:ilvl="0">
      <w:lvlJc w:val="left"/>
      <w:lvlText w:val="(%1)"/>
      <w:numFmt w:val="lowerLetter"/>
      <w:start w:val="1"/>
    </w:lvl>
  </w:abstractNum>
  <w:abstractNum w:abstractNumId="81">
    <w:nsid w:val="2E5B12B8"/>
    <w:multiLevelType w:val="hybridMultilevel"/>
    <w:lvl w:ilvl="0">
      <w:lvlJc w:val="left"/>
      <w:lvlText w:val="(%1)"/>
      <w:numFmt w:val="lowerLetter"/>
      <w:start w:val="5"/>
    </w:lvl>
  </w:abstractNum>
  <w:abstractNum w:abstractNumId="82">
    <w:nsid w:val="5C03D76D"/>
    <w:multiLevelType w:val="hybridMultilevel"/>
    <w:lvl w:ilvl="0">
      <w:lvlJc w:val="left"/>
      <w:lvlText w:val="%1"/>
      <w:numFmt w:val="lowerLetter"/>
      <w:start w:val="1"/>
    </w:lvl>
    <w:lvl w:ilvl="1">
      <w:lvlJc w:val="left"/>
      <w:lvlText w:val="(%2)"/>
      <w:numFmt w:val="lowerLetter"/>
      <w:start w:val="7"/>
    </w:lvl>
  </w:abstractNum>
  <w:abstractNum w:abstractNumId="83">
    <w:nsid w:val="66A48D11"/>
    <w:multiLevelType w:val="hybridMultilevel"/>
    <w:lvl w:ilvl="0">
      <w:lvlJc w:val="left"/>
      <w:lvlText w:val="(%1)"/>
      <w:numFmt w:val="lowerLetter"/>
      <w:start w:val="24"/>
    </w:lvl>
    <w:lvl w:ilvl="1">
      <w:lvlJc w:val="left"/>
      <w:lvlText w:val="%2"/>
      <w:numFmt w:val="lowerLetter"/>
      <w:start w:val="1"/>
    </w:lvl>
  </w:abstractNum>
  <w:abstractNum w:abstractNumId="84">
    <w:nsid w:val="56C28E34"/>
    <w:multiLevelType w:val="hybridMultilevel"/>
    <w:lvl w:ilvl="0">
      <w:lvlJc w:val="left"/>
      <w:lvlText w:val="%1"/>
      <w:numFmt w:val="lowerLetter"/>
      <w:start w:val="1"/>
    </w:lvl>
    <w:lvl w:ilvl="1">
      <w:lvlJc w:val="left"/>
      <w:lvlText w:val="(%2)"/>
      <w:numFmt w:val="lowerLetter"/>
      <w:start w:val="15"/>
    </w:lvl>
  </w:abstractNum>
  <w:abstractNum w:abstractNumId="85">
    <w:nsid w:val="13916F2D"/>
    <w:multiLevelType w:val="hybridMultilevel"/>
    <w:lvl w:ilvl="0">
      <w:lvlJc w:val="left"/>
      <w:lvlText w:val="(%1)"/>
      <w:numFmt w:val="lowerLetter"/>
      <w:start w:val="35"/>
    </w:lvl>
    <w:lvl w:ilvl="1">
      <w:lvlJc w:val="left"/>
      <w:lvlText w:val="(%2)"/>
      <w:numFmt w:val="lowerLetter"/>
      <w:start w:val="17"/>
    </w:lvl>
  </w:abstractNum>
  <w:abstractNum w:abstractNumId="86">
    <w:nsid w:val="435D38D"/>
    <w:multiLevelType w:val="hybridMultilevel"/>
    <w:lvl w:ilvl="0">
      <w:lvlJc w:val="left"/>
      <w:lvlText w:val="(%1)"/>
      <w:numFmt w:val="lowerLetter"/>
      <w:start w:val="20"/>
    </w:lvl>
  </w:abstractNum>
  <w:abstractNum w:abstractNumId="87">
    <w:nsid w:val="822C0EF"/>
    <w:multiLevelType w:val="hybridMultilevel"/>
    <w:lvl w:ilvl="0">
      <w:lvlJc w:val="left"/>
      <w:lvlText w:val="(%1)"/>
      <w:numFmt w:val="lowerLetter"/>
      <w:start w:val="26"/>
    </w:lvl>
  </w:abstractNum>
  <w:abstractNum w:abstractNumId="88">
    <w:nsid w:val="57C5BB4F"/>
    <w:multiLevelType w:val="hybridMultilevel"/>
    <w:lvl w:ilvl="0">
      <w:lvlJc w:val="left"/>
      <w:lvlText w:val="(%1)"/>
      <w:numFmt w:val="lowerLetter"/>
      <w:start w:val="27"/>
    </w:lvl>
  </w:abstractNum>
  <w:abstractNum w:abstractNumId="89">
    <w:nsid w:val="1803D089"/>
    <w:multiLevelType w:val="hybridMultilevel"/>
    <w:lvl w:ilvl="0">
      <w:lvlJc w:val="left"/>
      <w:lvlText w:val="(%1)"/>
      <w:numFmt w:val="lowerLetter"/>
      <w:start w:val="1"/>
    </w:lvl>
  </w:abstractNum>
  <w:abstractNum w:abstractNumId="90">
    <w:nsid w:val="4F3A06D4"/>
    <w:multiLevelType w:val="hybridMultilevel"/>
    <w:lvl w:ilvl="0">
      <w:lvlJc w:val="left"/>
      <w:lvlText w:val="(%1)"/>
      <w:numFmt w:val="lowerLetter"/>
      <w:start w:val="3"/>
    </w:lvl>
  </w:abstractNum>
  <w:abstractNum w:abstractNumId="91">
    <w:nsid w:val="59A377B6"/>
    <w:multiLevelType w:val="hybridMultilevel"/>
    <w:lvl w:ilvl="0">
      <w:lvlJc w:val="left"/>
      <w:lvlText w:val="(%1)"/>
      <w:numFmt w:val="lowerLetter"/>
      <w:start w:val="7"/>
    </w:lvl>
  </w:abstractNum>
  <w:abstractNum w:abstractNumId="92">
    <w:nsid w:val="48AEB063"/>
    <w:multiLevelType w:val="hybridMultilevel"/>
    <w:lvl w:ilvl="0">
      <w:lvlJc w:val="left"/>
      <w:lvlText w:val="(%1)"/>
      <w:numFmt w:val="lowerLetter"/>
      <w:start w:val="11"/>
    </w:lvl>
  </w:abstractNum>
  <w:abstractNum w:abstractNumId="93">
    <w:nsid w:val="24E135"/>
    <w:multiLevelType w:val="hybridMultilevel"/>
    <w:lvl w:ilvl="0">
      <w:lvlJc w:val="left"/>
      <w:lvlText w:val="(%1)"/>
      <w:numFmt w:val="lowerLetter"/>
      <w:start w:val="20"/>
    </w:lvl>
  </w:abstractNum>
  <w:abstractNum w:abstractNumId="94">
    <w:nsid w:val="BB13C1"/>
    <w:multiLevelType w:val="hybridMultilevel"/>
    <w:lvl w:ilvl="0">
      <w:lvlJc w:val="left"/>
      <w:lvlText w:val="(%1)"/>
      <w:numFmt w:val="lowerRoman"/>
      <w:start w:val="5"/>
    </w:lvl>
  </w:abstractNum>
  <w:abstractNum w:abstractNumId="95">
    <w:nsid w:val="271210C7"/>
    <w:multiLevelType w:val="hybridMultilevel"/>
    <w:lvl w:ilvl="0">
      <w:lvlJc w:val="left"/>
      <w:lvlText w:val="(%1)"/>
      <w:numFmt w:val="lowerLetter"/>
      <w:start w:val="23"/>
    </w:lvl>
    <w:lvl w:ilvl="1">
      <w:lvlJc w:val="left"/>
      <w:lvlText w:val="%2"/>
      <w:numFmt w:val="lowerLetter"/>
      <w:start w:val="1"/>
    </w:lvl>
  </w:abstractNum>
  <w:abstractNum w:abstractNumId="96">
    <w:nsid w:val="217B22E4"/>
    <w:multiLevelType w:val="hybridMultilevel"/>
    <w:lvl w:ilvl="0">
      <w:lvlJc w:val="left"/>
      <w:lvlText w:val="(%1)"/>
      <w:numFmt w:val="lowerLetter"/>
      <w:start w:val="33"/>
    </w:lvl>
  </w:abstractNum>
  <w:abstractNum w:abstractNumId="97">
    <w:nsid w:val="53E31A24"/>
    <w:multiLevelType w:val="hybridMultilevel"/>
    <w:lvl w:ilvl="0">
      <w:lvlJc w:val="left"/>
      <w:lvlText w:val="(%1)"/>
      <w:numFmt w:val="lowerRoman"/>
      <w:start w:val="2"/>
    </w:lvl>
  </w:abstractNum>
  <w:abstractNum w:abstractNumId="98">
    <w:nsid w:val="6DC45E83"/>
    <w:multiLevelType w:val="hybridMultilevel"/>
    <w:lvl w:ilvl="0">
      <w:lvlJc w:val="left"/>
      <w:lvlText w:val="(%1)"/>
      <w:numFmt w:val="lowerLetter"/>
      <w:start w:val="2"/>
    </w:lvl>
  </w:abstractNum>
  <w:abstractNum w:abstractNumId="99">
    <w:nsid w:val="17304A67"/>
    <w:multiLevelType w:val="hybridMultilevel"/>
    <w:lvl w:ilvl="0">
      <w:lvlJc w:val="left"/>
      <w:lvlText w:val="(%1)"/>
      <w:numFmt w:val="lowerLetter"/>
      <w:start w:val="2"/>
    </w:lvl>
  </w:abstractNum>
  <w:abstractNum w:abstractNumId="100">
    <w:nsid w:val="2BB180D8"/>
    <w:multiLevelType w:val="hybridMultilevel"/>
    <w:lvl w:ilvl="0">
      <w:lvlJc w:val="left"/>
      <w:lvlText w:val="(%1)"/>
      <w:numFmt w:val="lowerLetter"/>
      <w:start w:val="2"/>
    </w:lvl>
  </w:abstractNum>
  <w:abstractNum w:abstractNumId="101">
    <w:nsid w:val="556B69ED"/>
    <w:multiLevelType w:val="hybridMultilevel"/>
    <w:lvl w:ilvl="0">
      <w:lvlJc w:val="left"/>
      <w:lvlText w:val="(%1)"/>
      <w:numFmt w:val="lowerLetter"/>
      <w:start w:val="2"/>
    </w:lvl>
  </w:abstractNum>
  <w:abstractNum w:abstractNumId="102">
    <w:nsid w:val="70836196"/>
    <w:multiLevelType w:val="hybridMultilevel"/>
    <w:lvl w:ilvl="0">
      <w:lvlJc w:val="left"/>
      <w:lvlText w:val="(%1)"/>
      <w:numFmt w:val="lowerLetter"/>
      <w:start w:val="2"/>
    </w:lvl>
  </w:abstractNum>
  <w:abstractNum w:abstractNumId="103">
    <w:nsid w:val="539F7F12"/>
    <w:multiLevelType w:val="hybridMultilevel"/>
    <w:lvl w:ilvl="0">
      <w:lvlJc w:val="left"/>
      <w:lvlText w:val="(%1)"/>
      <w:numFmt w:val="lowerLetter"/>
      <w:start w:val="2"/>
    </w:lvl>
    <w:lvl w:ilvl="1">
      <w:lvlJc w:val="left"/>
      <w:lvlText w:val="%2"/>
      <w:numFmt w:val="lowerLetter"/>
      <w:start w:val="1"/>
    </w:lvl>
  </w:abstractNum>
  <w:abstractNum w:abstractNumId="104">
    <w:nsid w:val="2817E7EC"/>
    <w:multiLevelType w:val="hybridMultilevel"/>
    <w:lvl w:ilvl="0">
      <w:lvlJc w:val="left"/>
      <w:lvlText w:val="(%1)"/>
      <w:numFmt w:val="lowerLetter"/>
      <w:start w:val="35"/>
    </w:lvl>
    <w:lvl w:ilvl="1">
      <w:lvlJc w:val="left"/>
      <w:lvlText w:val="%2"/>
      <w:numFmt w:val="lowerLetter"/>
      <w:start w:val="1"/>
    </w:lvl>
  </w:abstractNum>
  <w:abstractNum w:abstractNumId="105">
    <w:nsid w:val="71482545"/>
    <w:multiLevelType w:val="hybridMultilevel"/>
    <w:lvl w:ilvl="0">
      <w:lvlJc w:val="left"/>
      <w:lvlText w:val="(%1)"/>
      <w:numFmt w:val="upperLetter"/>
      <w:start w:val="1"/>
    </w:lvl>
  </w:abstractNum>
  <w:abstractNum w:abstractNumId="106">
    <w:nsid w:val="17D78639"/>
    <w:multiLevelType w:val="hybridMultilevel"/>
    <w:lvl w:ilvl="0">
      <w:lvlJc w:val="left"/>
      <w:lvlText w:val="(%1)"/>
      <w:numFmt w:val="upperLetter"/>
      <w:start w:val="1"/>
    </w:lvl>
  </w:abstractNum>
  <w:abstractNum w:abstractNumId="107">
    <w:nsid w:val="141D2302"/>
    <w:multiLevelType w:val="hybridMultilevel"/>
    <w:lvl w:ilvl="0">
      <w:lvlJc w:val="left"/>
      <w:lvlText w:val="(%1)"/>
      <w:numFmt w:val="lowerLetter"/>
      <w:start w:val="1"/>
    </w:lvl>
  </w:abstractNum>
  <w:abstractNum w:abstractNumId="108">
    <w:nsid w:val="407168D8"/>
    <w:multiLevelType w:val="hybridMultilevel"/>
    <w:lvl w:ilvl="0">
      <w:lvlJc w:val="left"/>
      <w:lvlText w:val="(%1)"/>
      <w:numFmt w:val="lowerRoman"/>
      <w:start w:val="1"/>
    </w:lvl>
  </w:abstractNum>
  <w:abstractNum w:abstractNumId="109">
    <w:nsid w:val="6A1B45E5"/>
    <w:multiLevelType w:val="hybridMultilevel"/>
    <w:lvl w:ilvl="0">
      <w:lvlJc w:val="left"/>
      <w:lvlText w:val="(%1)"/>
      <w:numFmt w:val="lowerLetter"/>
      <w:start w:val="1"/>
    </w:lvl>
  </w:abstractNum>
  <w:abstractNum w:abstractNumId="110">
    <w:nsid w:val="567BD50A"/>
    <w:multiLevelType w:val="hybridMultilevel"/>
    <w:lvl w:ilvl="0">
      <w:lvlJc w:val="left"/>
      <w:lvlText w:val="(%1)"/>
      <w:numFmt w:val="lowerLetter"/>
      <w:start w:val="3"/>
    </w:lvl>
  </w:abstractNum>
  <w:abstractNum w:abstractNumId="111">
    <w:nsid w:val="73BBD7F8"/>
    <w:multiLevelType w:val="hybridMultilevel"/>
    <w:lvl w:ilvl="0">
      <w:lvlJc w:val="left"/>
      <w:lvlText w:val="(%1)"/>
      <w:numFmt w:val="lowerLetter"/>
      <w:start w:val="7"/>
    </w:lvl>
  </w:abstractNum>
  <w:abstractNum w:abstractNumId="112">
    <w:nsid w:val="1876589D"/>
    <w:multiLevelType w:val="hybridMultilevel"/>
    <w:lvl w:ilvl="0">
      <w:lvlJc w:val="left"/>
      <w:lvlText w:val="(%1)"/>
      <w:numFmt w:val="lowerRoman"/>
      <w:start w:val="1"/>
    </w:lvl>
  </w:abstractNum>
  <w:abstractNum w:abstractNumId="113">
    <w:nsid w:val="327FAC77"/>
    <w:multiLevelType w:val="hybridMultilevel"/>
    <w:lvl w:ilvl="0">
      <w:lvlJc w:val="left"/>
      <w:lvlText w:val="%1"/>
      <w:numFmt w:val="upperLetter"/>
      <w:start w:val="1"/>
    </w:lvl>
    <w:lvl w:ilvl="1">
      <w:lvlJc w:val="left"/>
      <w:lvlText w:val="(%2)"/>
      <w:numFmt w:val="lowerLetter"/>
      <w:start w:val="1"/>
    </w:lvl>
  </w:abstractNum>
  <w:abstractNum w:abstractNumId="114">
    <w:nsid w:val="5A606509"/>
    <w:multiLevelType w:val="hybridMultilevel"/>
    <w:lvl w:ilvl="0">
      <w:lvlJc w:val="left"/>
      <w:lvlText w:val="(%1)"/>
      <w:numFmt w:val="upperLetter"/>
      <w:start w:val="1"/>
    </w:lvl>
    <w:lvl w:ilvl="1">
      <w:lvlJc w:val="left"/>
      <w:lvlText w:val="%2"/>
      <w:numFmt w:val="lowerLetter"/>
      <w:start w:val="1"/>
    </w:lvl>
  </w:abstractNum>
  <w:abstractNum w:abstractNumId="115">
    <w:nsid w:val="6F38E6D1"/>
    <w:multiLevelType w:val="hybridMultilevel"/>
    <w:lvl w:ilvl="0">
      <w:lvlJc w:val="left"/>
      <w:lvlText w:val="(%1)"/>
      <w:numFmt w:val="lowerLetter"/>
      <w:start w:val="61"/>
    </w:lvl>
    <w:lvl w:ilvl="1">
      <w:lvlJc w:val="left"/>
      <w:lvlText w:val="(%2)"/>
      <w:numFmt w:val="lowerLetter"/>
      <w:start w:val="2"/>
    </w:lvl>
  </w:abstractNum>
  <w:abstractNum w:abstractNumId="116">
    <w:nsid w:val="46111BA5"/>
    <w:multiLevelType w:val="hybridMultilevel"/>
    <w:lvl w:ilvl="0">
      <w:lvlJc w:val="left"/>
      <w:lvlText w:val="(%1)"/>
      <w:numFmt w:val="lowerLetter"/>
      <w:start w:val="5"/>
    </w:lvl>
  </w:abstractNum>
  <w:abstractNum w:abstractNumId="117">
    <w:nsid w:val="5E963896"/>
    <w:multiLevelType w:val="hybridMultilevel"/>
    <w:lvl w:ilvl="0">
      <w:lvlJc w:val="left"/>
      <w:lvlText w:val="(%1)"/>
      <w:numFmt w:val="lowerLetter"/>
      <w:start w:val="7"/>
    </w:lvl>
  </w:abstractNum>
  <w:abstractNum w:abstractNumId="118">
    <w:nsid w:val="775BA7C1"/>
    <w:multiLevelType w:val="hybridMultilevel"/>
    <w:lvl w:ilvl="0">
      <w:lvlJc w:val="left"/>
      <w:lvlText w:val="(%1)"/>
      <w:numFmt w:val="lowerLetter"/>
      <w:start w:val="1"/>
    </w:lvl>
  </w:abstractNum>
  <w:abstractNum w:abstractNumId="119">
    <w:nsid w:val="1DD6D6F4"/>
    <w:multiLevelType w:val="hybridMultilevel"/>
    <w:lvl w:ilvl="0">
      <w:lvlJc w:val="left"/>
      <w:lvlText w:val="(%1)"/>
      <w:numFmt w:val="lowerLetter"/>
      <w:start w:val="35"/>
    </w:lvl>
    <w:lvl w:ilvl="1">
      <w:lvlJc w:val="left"/>
      <w:lvlText w:val="(%2)"/>
      <w:numFmt w:val="lowerLetter"/>
      <w:start w:val="5"/>
    </w:lvl>
  </w:abstractNum>
  <w:abstractNum w:abstractNumId="120">
    <w:nsid w:val="769A091F"/>
    <w:multiLevelType w:val="hybridMultilevel"/>
    <w:lvl w:ilvl="0">
      <w:lvlJc w:val="left"/>
      <w:lvlText w:val="(%1)"/>
      <w:numFmt w:val="lowerLetter"/>
      <w:start w:val="1"/>
    </w:lvl>
  </w:abstractNum>
  <w:abstractNum w:abstractNumId="121">
    <w:nsid w:val="4695AE95"/>
    <w:multiLevelType w:val="hybridMultilevel"/>
    <w:lvl w:ilvl="0">
      <w:lvlJc w:val="left"/>
      <w:lvlText w:val="%1"/>
      <w:numFmt w:val="lowerLetter"/>
      <w:start w:val="1"/>
    </w:lvl>
    <w:lvl w:ilvl="1">
      <w:lvlJc w:val="left"/>
      <w:lvlText w:val="(%2)"/>
      <w:numFmt w:val="lowerLetter"/>
      <w:start w:val="35"/>
    </w:lvl>
  </w:abstractNum>
  <w:abstractNum w:abstractNumId="122">
    <w:nsid w:val="777A4EAA"/>
    <w:multiLevelType w:val="hybridMultilevel"/>
    <w:lvl w:ilvl="0">
      <w:lvlJc w:val="left"/>
      <w:lvlText w:val="(%1)"/>
      <w:numFmt w:val="lowerLetter"/>
      <w:start w:val="3"/>
    </w:lvl>
    <w:lvl w:ilvl="1">
      <w:lvlJc w:val="left"/>
      <w:lvlText w:val="%2"/>
      <w:numFmt w:val="lowerLetter"/>
      <w:start w:val="1"/>
    </w:lvl>
  </w:abstractNum>
  <w:abstractNum w:abstractNumId="123">
    <w:nsid w:val="3F48B982"/>
    <w:multiLevelType w:val="hybridMultilevel"/>
    <w:lvl w:ilvl="0">
      <w:lvlJc w:val="left"/>
      <w:lvlText w:val="(%1)"/>
      <w:numFmt w:val="lowerLetter"/>
      <w:start w:val="1"/>
    </w:lvl>
  </w:abstractNum>
  <w:abstractNum w:abstractNumId="124">
    <w:nsid w:val="46BA8FCA"/>
    <w:multiLevelType w:val="hybridMultilevel"/>
    <w:lvl w:ilvl="0">
      <w:lvlJc w:val="left"/>
      <w:lvlText w:val="(%1)"/>
      <w:numFmt w:val="lowerLetter"/>
      <w:start w:val="1"/>
    </w:lvl>
  </w:abstractNum>
  <w:abstractNum w:abstractNumId="125">
    <w:nsid w:val="7835626C"/>
    <w:multiLevelType w:val="hybridMultilevel"/>
    <w:lvl w:ilvl="0">
      <w:lvlJc w:val="left"/>
      <w:lvlText w:val="%1"/>
      <w:numFmt w:val="lowerLetter"/>
      <w:start w:val="1"/>
    </w:lvl>
    <w:lvl w:ilvl="1">
      <w:lvlJc w:val="left"/>
      <w:lvlText w:val="(%2)"/>
      <w:numFmt w:val="lowerLetter"/>
      <w:start w:val="2"/>
    </w:lvl>
  </w:abstractNum>
  <w:abstractNum w:abstractNumId="126">
    <w:nsid w:val="665ACA49"/>
    <w:multiLevelType w:val="hybridMultilevel"/>
    <w:lvl w:ilvl="0">
      <w:lvlJc w:val="left"/>
      <w:lvlText w:val="(%1)"/>
      <w:numFmt w:val="lowerLetter"/>
      <w:start w:val="2"/>
    </w:lvl>
    <w:lvl w:ilvl="1">
      <w:lvlJc w:val="left"/>
      <w:lvlText w:val="(%2)"/>
      <w:numFmt w:val="lowerLetter"/>
      <w:start w:val="3"/>
    </w:lvl>
  </w:abstractNum>
  <w:abstractNum w:abstractNumId="127">
    <w:nsid w:val="6835B2AE"/>
    <w:multiLevelType w:val="hybridMultilevel"/>
    <w:lvl w:ilvl="0">
      <w:lvlJc w:val="left"/>
      <w:lvlText w:val="(%1)"/>
      <w:numFmt w:val="lowerLetter"/>
      <w:start w:val="6"/>
    </w:lvl>
  </w:abstractNum>
  <w:abstractNum w:abstractNumId="128">
    <w:nsid w:val="4C187C90"/>
    <w:multiLevelType w:val="hybridMultilevel"/>
    <w:lvl w:ilvl="0">
      <w:lvlJc w:val="left"/>
      <w:lvlText w:val="(%1)"/>
      <w:numFmt w:val="lowerLetter"/>
      <w:start w:val="1"/>
    </w:lvl>
  </w:abstractNum>
  <w:abstractNum w:abstractNumId="129">
    <w:nsid w:val="541F28CD"/>
    <w:multiLevelType w:val="hybridMultilevel"/>
    <w:lvl w:ilvl="0">
      <w:lvlJc w:val="left"/>
      <w:lvlText w:val="(%1)"/>
      <w:numFmt w:val="lowerLetter"/>
      <w:start w:val="1"/>
    </w:lvl>
  </w:abstractNum>
  <w:abstractNum w:abstractNumId="130">
    <w:nsid w:val="7F65FD16"/>
    <w:multiLevelType w:val="hybridMultilevel"/>
    <w:lvl w:ilvl="0">
      <w:lvlJc w:val="left"/>
      <w:lvlText w:val="%1"/>
      <w:numFmt w:val="decimal"/>
      <w:start w:val="1"/>
    </w:lvl>
    <w:lvl w:ilvl="1">
      <w:lvlJc w:val="left"/>
      <w:lvlText w:val="(%2)"/>
      <w:numFmt w:val="lowerLetter"/>
      <w:start w:val="2"/>
    </w:lvl>
  </w:abstractNum>
  <w:abstractNum w:abstractNumId="131">
    <w:nsid w:val="77C9FD68"/>
    <w:multiLevelType w:val="hybridMultilevel"/>
    <w:lvl w:ilvl="0">
      <w:lvlJc w:val="left"/>
      <w:lvlText w:val="(%1)"/>
      <w:numFmt w:val="decimal"/>
      <w:start w:val="3"/>
    </w:lvl>
    <w:lvl w:ilvl="1">
      <w:lvlJc w:val="left"/>
      <w:lvlText w:val="(%2)"/>
      <w:numFmt w:val="lowerLetter"/>
      <w:start w:val="4"/>
    </w:lvl>
  </w:abstractNum>
  <w:abstractNum w:abstractNumId="132">
    <w:nsid w:val="298A92BA"/>
    <w:multiLevelType w:val="hybridMultilevel"/>
    <w:lvl w:ilvl="0">
      <w:lvlJc w:val="left"/>
      <w:lvlText w:val="(%1)"/>
      <w:numFmt w:val="lowerLetter"/>
      <w:start w:val="1"/>
    </w:lvl>
  </w:abstractNum>
  <w:abstractNum w:abstractNumId="133">
    <w:nsid w:val="6FE95EAC"/>
    <w:multiLevelType w:val="hybridMultilevel"/>
    <w:lvl w:ilvl="0">
      <w:lvlJc w:val="left"/>
      <w:lvlText w:val="(%1)"/>
      <w:numFmt w:val="lowerLetter"/>
      <w:start w:val="2"/>
    </w:lvl>
  </w:abstractNum>
  <w:abstractNum w:abstractNumId="134">
    <w:nsid w:val="4B697C7A"/>
    <w:multiLevelType w:val="hybridMultilevel"/>
    <w:lvl w:ilvl="0">
      <w:lvlJc w:val="left"/>
      <w:lvlText w:val="(%1)"/>
      <w:numFmt w:val="lowerLetter"/>
      <w:start w:val="7"/>
    </w:lvl>
  </w:abstractNum>
  <w:abstractNum w:abstractNumId="135">
    <w:nsid w:val="51A27AA6"/>
    <w:multiLevelType w:val="hybridMultilevel"/>
    <w:lvl w:ilvl="0">
      <w:lvlJc w:val="left"/>
      <w:lvlText w:val="(%1)"/>
      <w:numFmt w:val="upperLetter"/>
      <w:start w:val="1"/>
    </w:lvl>
  </w:abstractNum>
  <w:abstractNum w:abstractNumId="136">
    <w:nsid w:val="613183F2"/>
    <w:multiLevelType w:val="hybridMultilevel"/>
    <w:lvl w:ilvl="0">
      <w:lvlJc w:val="left"/>
      <w:lvlText w:val="(%1)"/>
      <w:numFmt w:val="lowerLetter"/>
      <w:start w:val="1"/>
    </w:lvl>
    <w:lvl w:ilvl="1">
      <w:lvlJc w:val="left"/>
      <w:lvlText w:val="(%2)"/>
      <w:numFmt w:val="upperLetter"/>
      <w:start w:val="1"/>
    </w:lvl>
  </w:abstractNum>
  <w:abstractNum w:abstractNumId="137">
    <w:nsid w:val="634102B4"/>
    <w:multiLevelType w:val="hybridMultilevel"/>
    <w:lvl w:ilvl="0">
      <w:lvlJc w:val="left"/>
      <w:lvlText w:val="(%1)"/>
      <w:numFmt w:val="upperLetter"/>
      <w:start w:val="3"/>
    </w:lvl>
  </w:abstractNum>
  <w:abstractNum w:abstractNumId="138">
    <w:nsid w:val="65BF9DA8"/>
    <w:multiLevelType w:val="hybridMultilevel"/>
    <w:lvl w:ilvl="0">
      <w:lvlJc w:val="left"/>
      <w:lvlText w:val="(%1)"/>
      <w:numFmt w:val="lowerRoman"/>
      <w:start w:val="2"/>
    </w:lvl>
  </w:abstractNum>
  <w:abstractNum w:abstractNumId="139">
    <w:nsid w:val="21A2ECCA"/>
    <w:multiLevelType w:val="hybridMultilevel"/>
    <w:lvl w:ilvl="0">
      <w:lvlJc w:val="left"/>
      <w:lvlText w:val="%1"/>
      <w:numFmt w:val="upperLetter"/>
      <w:start w:val="1"/>
    </w:lvl>
    <w:lvl w:ilvl="1">
      <w:lvlJc w:val="left"/>
      <w:lvlText w:val="(%2)"/>
      <w:numFmt w:val="lowerLetter"/>
      <w:start w:val="2"/>
    </w:lvl>
  </w:abstractNum>
  <w:abstractNum w:abstractNumId="140">
    <w:nsid w:val="4D5C4899"/>
    <w:multiLevelType w:val="hybridMultilevel"/>
    <w:lvl w:ilvl="0">
      <w:lvlJc w:val="left"/>
      <w:lvlText w:val="(%1)"/>
      <w:numFmt w:val="upperLetter"/>
      <w:start w:val="3"/>
    </w:lvl>
    <w:lvl w:ilvl="1">
      <w:lvlJc w:val="left"/>
      <w:lvlText w:val="(%2)"/>
      <w:numFmt w:val="lowerLetter"/>
      <w:start w:val="3"/>
    </w:lvl>
  </w:abstractNum>
  <w:abstractNum w:abstractNumId="141">
    <w:nsid w:val="3C3B72B2"/>
    <w:multiLevelType w:val="hybridMultilevel"/>
    <w:lvl w:ilvl="0">
      <w:lvlJc w:val="left"/>
      <w:lvlText w:val="(%1)"/>
      <w:numFmt w:val="lowerLetter"/>
      <w:start w:val="4"/>
    </w:lvl>
  </w:abstractNum>
  <w:abstractNum w:abstractNumId="142">
    <w:nsid w:val="155EC4C2"/>
    <w:multiLevelType w:val="hybridMultilevel"/>
    <w:lvl w:ilvl="0">
      <w:lvlJc w:val="left"/>
      <w:lvlText w:val="(%1)"/>
      <w:numFmt w:val="lowerLetter"/>
      <w:start w:val="1"/>
    </w:lvl>
  </w:abstractNum>
  <w:abstractNum w:abstractNumId="143">
    <w:nsid w:val="65D2A137"/>
    <w:multiLevelType w:val="hybridMultilevel"/>
    <w:lvl w:ilvl="0">
      <w:lvlJc w:val="left"/>
      <w:lvlText w:val="(%1)"/>
      <w:numFmt w:val="lowerLetter"/>
      <w:start w:val="2"/>
    </w:lvl>
  </w:abstractNum>
  <w:abstractNum w:abstractNumId="144">
    <w:nsid w:val="6EBB1F2A"/>
    <w:multiLevelType w:val="hybridMultilevel"/>
    <w:lvl w:ilvl="0">
      <w:lvlJc w:val="left"/>
      <w:lvlText w:val="(%1)"/>
      <w:numFmt w:val="lowerLetter"/>
      <w:start w:val="26"/>
    </w:lvl>
    <w:lvl w:ilvl="1">
      <w:lvlJc w:val="left"/>
      <w:lvlText w:val="(%2)"/>
      <w:numFmt w:val="lowerLetter"/>
      <w:start w:val="9"/>
    </w:lvl>
  </w:abstractNum>
  <w:abstractNum w:abstractNumId="145">
    <w:nsid w:val="6FBF29CB"/>
    <w:multiLevelType w:val="hybridMultilevel"/>
    <w:lvl w:ilvl="0">
      <w:lvlJc w:val="left"/>
      <w:lvlText w:val="(%1)"/>
      <w:numFmt w:val="lowerRoman"/>
      <w:start w:val="2"/>
    </w:lvl>
  </w:abstractNum>
  <w:abstractNum w:abstractNumId="146">
    <w:nsid w:val="550B8808"/>
    <w:multiLevelType w:val="hybridMultilevel"/>
    <w:lvl w:ilvl="0">
      <w:lvlJc w:val="left"/>
      <w:lvlText w:val="(%1)"/>
      <w:numFmt w:val="lowerLetter"/>
      <w:start w:val="1"/>
    </w:lvl>
    <w:lvl w:ilvl="1">
      <w:lvlJc w:val="left"/>
      <w:lvlText w:val="(%2)"/>
      <w:numFmt w:val="lowerRoman"/>
      <w:start w:val="1"/>
    </w:lvl>
  </w:abstractNum>
  <w:abstractNum w:abstractNumId="147">
    <w:nsid w:val="34CC3ACF"/>
    <w:multiLevelType w:val="hybridMultilevel"/>
    <w:lvl w:ilvl="0">
      <w:lvlJc w:val="left"/>
      <w:lvlText w:val="%1"/>
      <w:numFmt w:val="lowerLetter"/>
      <w:start w:val="1"/>
    </w:lvl>
    <w:lvl w:ilvl="1">
      <w:lvlJc w:val="left"/>
      <w:lvlText w:val="(%2)"/>
      <w:numFmt w:val="lowerRoman"/>
      <w:start w:val="5"/>
    </w:lvl>
  </w:abstractNum>
  <w:abstractNum w:abstractNumId="148">
    <w:nsid w:val="4E556261"/>
    <w:multiLevelType w:val="hybridMultilevel"/>
    <w:lvl w:ilvl="0">
      <w:lvlJc w:val="left"/>
      <w:lvlText w:val="(%1)"/>
      <w:numFmt w:val="lowerLetter"/>
      <w:start w:val="25"/>
    </w:lvl>
    <w:lvl w:ilvl="1">
      <w:lvlJc w:val="left"/>
      <w:lvlText w:val="(%2)"/>
      <w:numFmt w:val="lowerRoman"/>
      <w:start w:val="10"/>
    </w:lvl>
  </w:abstractNum>
  <w:abstractNum w:abstractNumId="149">
    <w:nsid w:val="4C672FC9"/>
    <w:multiLevelType w:val="hybridMultilevel"/>
    <w:lvl w:ilvl="0">
      <w:lvlJc w:val="left"/>
      <w:lvlText w:val="%1"/>
      <w:numFmt w:val="lowerLetter"/>
      <w:start w:val="1"/>
    </w:lvl>
    <w:lvl w:ilvl="1">
      <w:lvlJc w:val="left"/>
      <w:lvlText w:val="(%2)"/>
      <w:numFmt w:val="lowerRoman"/>
      <w:start w:val="12"/>
    </w:lvl>
  </w:abstractNum>
  <w:abstractNum w:abstractNumId="150">
    <w:nsid w:val="52A311C3"/>
    <w:multiLevelType w:val="hybridMultilevel"/>
    <w:lvl w:ilvl="0">
      <w:lvlJc w:val="left"/>
      <w:lvlText w:val="(%1)"/>
      <w:numFmt w:val="lowerLetter"/>
      <w:start w:val="2"/>
    </w:lvl>
    <w:lvl w:ilvl="1">
      <w:lvlJc w:val="left"/>
      <w:lvlText w:val="%2"/>
      <w:numFmt w:val="lowerRoman"/>
      <w:start w:val="1"/>
    </w:lvl>
  </w:abstractNum>
  <w:abstractNum w:abstractNumId="151">
    <w:nsid w:val="44EF6B80"/>
    <w:multiLevelType w:val="hybridMultilevel"/>
    <w:lvl w:ilvl="0">
      <w:lvlJc w:val="left"/>
      <w:lvlText w:val="(%1)"/>
      <w:numFmt w:val="lowerLetter"/>
      <w:start w:val="5"/>
    </w:lvl>
  </w:abstractNum>
  <w:abstractNum w:abstractNumId="152">
    <w:nsid w:val="12FCDE5E"/>
    <w:multiLevelType w:val="hybridMultilevel"/>
    <w:lvl w:ilvl="0">
      <w:lvlJc w:val="left"/>
      <w:lvlText w:val="(%1)"/>
      <w:numFmt w:val="lowerLetter"/>
      <w:start w:val="1"/>
    </w:lvl>
  </w:abstractNum>
  <w:abstractNum w:abstractNumId="153">
    <w:nsid w:val="4A1D606E"/>
    <w:multiLevelType w:val="hybridMultilevel"/>
    <w:lvl w:ilvl="0">
      <w:lvlJc w:val="left"/>
      <w:lvlText w:val="(%1)"/>
      <w:numFmt w:val="lowerLetter"/>
      <w:start w:val="61"/>
    </w:lvl>
    <w:lvl w:ilvl="1">
      <w:lvlJc w:val="left"/>
      <w:lvlText w:val="(%2)"/>
      <w:numFmt w:val="lowerLetter"/>
      <w:start w:val="3"/>
    </w:lvl>
  </w:abstractNum>
  <w:abstractNum w:abstractNumId="154">
    <w:nsid w:val="4382503"/>
    <w:multiLevelType w:val="hybridMultilevel"/>
    <w:lvl w:ilvl="0">
      <w:lvlJc w:val="left"/>
      <w:lvlText w:val="(%1)"/>
      <w:numFmt w:val="lowerLetter"/>
      <w:start w:val="1"/>
    </w:lvl>
    <w:lvl w:ilvl="1">
      <w:lvlJc w:val="left"/>
      <w:lvlText w:val="(%2)"/>
      <w:numFmt w:val="lowerRoman"/>
      <w:start w:val="1"/>
    </w:lvl>
  </w:abstractNum>
  <w:abstractNum w:abstractNumId="155">
    <w:nsid w:val="59B76E28"/>
    <w:multiLevelType w:val="hybridMultilevel"/>
    <w:lvl w:ilvl="0">
      <w:lvlJc w:val="left"/>
      <w:lvlText w:val="%1"/>
      <w:numFmt w:val="lowerLetter"/>
      <w:start w:val="1"/>
    </w:lvl>
    <w:lvl w:ilvl="1">
      <w:lvlJc w:val="left"/>
      <w:lvlText w:val="(%2)"/>
      <w:numFmt w:val="lowerLetter"/>
      <w:start w:val="22"/>
    </w:lvl>
  </w:abstractNum>
  <w:abstractNum w:abstractNumId="156">
    <w:nsid w:val="4252C2DA"/>
    <w:multiLevelType w:val="hybridMultilevel"/>
    <w:lvl w:ilvl="0">
      <w:lvlJc w:val="left"/>
      <w:lvlText w:val="(%1)"/>
      <w:numFmt w:val="lowerLetter"/>
      <w:start w:val="2"/>
    </w:lvl>
    <w:lvl w:ilvl="1">
      <w:lvlJc w:val="left"/>
      <w:lvlText w:val="(%2)"/>
      <w:numFmt w:val="lowerLetter"/>
      <w:start w:val="9"/>
    </w:lvl>
  </w:abstractNum>
  <w:abstractNum w:abstractNumId="157">
    <w:nsid w:val="6A92EF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58">
    <w:nsid w:val="41ED20D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61"/>
    </w:lvl>
  </w:abstractNum>
  <w:abstractNum w:abstractNumId="159">
    <w:nsid w:val="E6B3F6A"/>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60">
    <w:nsid w:val="3EB21819"/>
    <w:multiLevelType w:val="hybridMultilevel"/>
    <w:lvl w:ilvl="0">
      <w:lvlJc w:val="left"/>
      <w:lvlText w:val="(%1)"/>
      <w:numFmt w:val="lowerLetter"/>
      <w:start w:val="1"/>
    </w:lvl>
  </w:abstractNum>
  <w:abstractNum w:abstractNumId="161">
    <w:nsid w:val="41531DED"/>
    <w:multiLevelType w:val="hybridMultilevel"/>
    <w:lvl w:ilvl="0">
      <w:lvlJc w:val="left"/>
      <w:lvlText w:val="(%1)"/>
      <w:numFmt w:val="lowerLetter"/>
      <w:start w:val="4"/>
    </w:lvl>
  </w:abstractNum>
  <w:abstractNum w:abstractNumId="162">
    <w:nsid w:val="6353C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683CAAD3"/>
    <w:multiLevelType w:val="hybridMultilevel"/>
    <w:lvl w:ilvl="0">
      <w:lvlJc w:val="left"/>
      <w:lvlText w:val="%1"/>
      <w:numFmt w:val="lowerRoman"/>
      <w:start w:val="1"/>
    </w:lvl>
    <w:lvl w:ilvl="1">
      <w:lvlJc w:val="left"/>
      <w:lvlText w:val="(%2)"/>
      <w:numFmt w:val="upperLetter"/>
      <w:start w:val="4"/>
    </w:lvl>
  </w:abstractNum>
  <w:abstractNum w:abstractNumId="164">
    <w:nsid w:val="313C7C99"/>
    <w:multiLevelType w:val="hybridMultilevel"/>
    <w:lvl w:ilvl="0">
      <w:lvlJc w:val="left"/>
      <w:lvlText w:val="(%1)"/>
      <w:numFmt w:val="lowerRoman"/>
      <w:start w:val="2"/>
    </w:lvl>
    <w:lvl w:ilvl="1">
      <w:lvlJc w:val="left"/>
      <w:lvlText w:val="%2"/>
      <w:numFmt w:val="upperLetter"/>
      <w:start w:val="1"/>
    </w:lvl>
  </w:abstractNum>
  <w:abstractNum w:abstractNumId="165">
    <w:nsid w:val="519EB94C"/>
    <w:multiLevelType w:val="hybridMultilevel"/>
    <w:lvl w:ilvl="0">
      <w:lvlJc w:val="left"/>
      <w:lvlText w:val="(%1)"/>
      <w:numFmt w:val="lowerLetter"/>
      <w:start w:val="1"/>
    </w:lvl>
  </w:abstractNum>
  <w:abstractNum w:abstractNumId="166">
    <w:nsid w:val="39DF2579"/>
    <w:multiLevelType w:val="hybridMultilevel"/>
    <w:lvl w:ilvl="0">
      <w:lvlJc w:val="left"/>
      <w:lvlText w:val="(%1)"/>
      <w:numFmt w:val="lowerLetter"/>
      <w:start w:val="3"/>
    </w:lvl>
  </w:abstractNum>
  <w:abstractNum w:abstractNumId="167">
    <w:nsid w:val="126E008B"/>
    <w:multiLevelType w:val="hybridMultilevel"/>
    <w:lvl w:ilvl="0">
      <w:lvlJc w:val="left"/>
      <w:lvlText w:val="(%1)"/>
      <w:numFmt w:val="lowerLetter"/>
      <w:start w:val="1"/>
    </w:lvl>
  </w:abstractNum>
  <w:abstractNum w:abstractNumId="168">
    <w:nsid w:val="34DFBC00"/>
    <w:multiLevelType w:val="hybridMultilevel"/>
    <w:lvl w:ilvl="0">
      <w:lvlJc w:val="left"/>
      <w:lvlText w:val="(%1)"/>
      <w:numFmt w:val="lowerLetter"/>
      <w:start w:val="4"/>
    </w:lvl>
  </w:abstractNum>
  <w:abstractNum w:abstractNumId="169">
    <w:nsid w:val="1F9EC322"/>
    <w:multiLevelType w:val="hybridMultilevel"/>
    <w:lvl w:ilvl="0">
      <w:lvlJc w:val="left"/>
      <w:lvlText w:val="(%1)"/>
      <w:numFmt w:val="lowerLetter"/>
      <w:start w:val="5"/>
    </w:lvl>
  </w:abstractNum>
  <w:abstractNum w:abstractNumId="170">
    <w:nsid w:val="3410ED56"/>
    <w:multiLevelType w:val="hybridMultilevel"/>
    <w:lvl w:ilvl="0">
      <w:lvlJc w:val="left"/>
      <w:lvlText w:val="(%1)"/>
      <w:numFmt w:val="upperLetter"/>
      <w:start w:val="1"/>
    </w:lvl>
  </w:abstractNum>
  <w:abstractNum w:abstractNumId="171">
    <w:nsid w:val="23C049A"/>
    <w:multiLevelType w:val="hybridMultilevel"/>
    <w:lvl w:ilvl="0">
      <w:lvlJc w:val="left"/>
      <w:lvlText w:val="(%1)"/>
      <w:numFmt w:val="lowerLetter"/>
      <w:start w:val="1"/>
    </w:lvl>
  </w:abstractNum>
  <w:abstractNum w:abstractNumId="172">
    <w:nsid w:val="5BDA35D4"/>
    <w:multiLevelType w:val="hybridMultilevel"/>
    <w:lvl w:ilvl="0">
      <w:lvlJc w:val="left"/>
      <w:lvlText w:val="(%1)"/>
      <w:numFmt w:val="lowerLetter"/>
      <w:start w:val="2"/>
    </w:lvl>
    <w:lvl w:ilvl="1">
      <w:lvlJc w:val="left"/>
      <w:lvlText w:val="(%2)"/>
      <w:numFmt w:val="lowerRoman"/>
      <w:start w:val="1"/>
    </w:lvl>
  </w:abstractNum>
  <w:abstractNum w:abstractNumId="173">
    <w:nsid w:val="496FB218"/>
    <w:multiLevelType w:val="hybridMultilevel"/>
    <w:lvl w:ilvl="0">
      <w:lvlJc w:val="left"/>
      <w:lvlText w:val="(%1)"/>
      <w:numFmt w:val="lowerRoman"/>
      <w:start w:val="7"/>
    </w:lvl>
  </w:abstractNum>
  <w:abstractNum w:abstractNumId="174">
    <w:nsid w:val="680EA5D1"/>
    <w:multiLevelType w:val="hybridMultilevel"/>
    <w:lvl w:ilvl="0">
      <w:lvlJc w:val="left"/>
      <w:lvlText w:val="(%1)"/>
      <w:numFmt w:val="lowerLetter"/>
      <w:start w:val="1"/>
    </w:lvl>
  </w:abstractNum>
  <w:abstractNum w:abstractNumId="175">
    <w:nsid w:val="4A9554FE"/>
    <w:multiLevelType w:val="hybridMultilevel"/>
    <w:lvl w:ilvl="0">
      <w:lvlJc w:val="left"/>
      <w:lvlText w:val="(%1)"/>
      <w:numFmt w:val="lowerLetter"/>
      <w:start w:val="4"/>
    </w:lvl>
  </w:abstractNum>
  <w:abstractNum w:abstractNumId="176">
    <w:nsid w:val="392EDBE4"/>
    <w:multiLevelType w:val="hybridMultilevel"/>
    <w:lvl w:ilvl="0">
      <w:lvlJc w:val="left"/>
      <w:lvlText w:val="(%1)"/>
      <w:numFmt w:val="lowerLetter"/>
      <w:start w:val="1"/>
    </w:lvl>
  </w:abstractNum>
  <w:abstractNum w:abstractNumId="177">
    <w:nsid w:val="3D1A2DD9"/>
    <w:multiLevelType w:val="hybridMultilevel"/>
    <w:lvl w:ilvl="0">
      <w:lvlJc w:val="left"/>
      <w:lvlText w:val="(%1)"/>
      <w:numFmt w:val="lowerLetter"/>
      <w:start w:val="1"/>
    </w:lvl>
  </w:abstractNum>
  <w:abstractNum w:abstractNumId="178">
    <w:nsid w:val="7F618FCD"/>
    <w:multiLevelType w:val="hybridMultilevel"/>
    <w:lvl w:ilvl="0">
      <w:lvlJc w:val="left"/>
      <w:lvlText w:val="(%1)"/>
      <w:numFmt w:val="lowerLetter"/>
      <w:start w:val="1"/>
    </w:lvl>
  </w:abstractNum>
  <w:abstractNum w:abstractNumId="179">
    <w:nsid w:val="7843E45"/>
    <w:multiLevelType w:val="hybridMultilevel"/>
    <w:lvl w:ilvl="0">
      <w:lvlJc w:val="left"/>
      <w:lvlText w:val="%1"/>
      <w:numFmt w:val="lowerRoman"/>
      <w:start w:val="1"/>
    </w:lvl>
    <w:lvl w:ilvl="1">
      <w:lvlJc w:val="left"/>
      <w:lvlText w:val="(%2)"/>
      <w:numFmt w:val="lowerLetter"/>
      <w:start w:val="2"/>
    </w:lvl>
  </w:abstractNum>
  <w:abstractNum w:abstractNumId="180">
    <w:nsid w:val="9815DA3"/>
    <w:multiLevelType w:val="hybridMultilevel"/>
    <w:lvl w:ilvl="0">
      <w:lvlJc w:val="left"/>
      <w:lvlText w:val="(%1)"/>
      <w:numFmt w:val="lowerRoman"/>
      <w:start w:val="2"/>
    </w:lvl>
    <w:lvl w:ilvl="1">
      <w:lvlJc w:val="left"/>
      <w:lvlText w:val="%2"/>
      <w:numFmt w:val="lowerLetter"/>
      <w:start w:val="1"/>
    </w:lvl>
  </w:abstractNum>
  <w:abstractNum w:abstractNumId="181">
    <w:nsid w:val="5204A191"/>
    <w:multiLevelType w:val="hybridMultilevel"/>
    <w:lvl w:ilvl="0">
      <w:lvlJc w:val="left"/>
      <w:lvlText w:val="(%1)"/>
      <w:numFmt w:val="lowerRoman"/>
      <w:start w:val="4"/>
    </w:lvl>
    <w:lvl w:ilvl="1">
      <w:lvlJc w:val="left"/>
      <w:lvlText w:val="(%2)"/>
      <w:numFmt w:val="lowerLetter"/>
      <w:start w:val="3"/>
    </w:lvl>
  </w:abstractNum>
  <w:abstractNum w:abstractNumId="182">
    <w:nsid w:val="4C73A9C6"/>
    <w:multiLevelType w:val="hybridMultilevel"/>
    <w:lvl w:ilvl="0">
      <w:lvlJc w:val="left"/>
      <w:lvlText w:val="%1"/>
      <w:numFmt w:val="lowerRoman"/>
      <w:start w:val="1"/>
    </w:lvl>
    <w:lvl w:ilvl="1">
      <w:lvlJc w:val="left"/>
      <w:lvlText w:val="(%2)"/>
      <w:numFmt w:val="lowerLetter"/>
      <w:start w:val="4"/>
    </w:lvl>
  </w:abstractNum>
  <w:abstractNum w:abstractNumId="183">
    <w:nsid w:val="1C7E3C01"/>
    <w:multiLevelType w:val="hybridMultilevel"/>
    <w:lvl w:ilvl="0">
      <w:lvlJc w:val="left"/>
      <w:lvlText w:val="(%1)"/>
      <w:numFmt w:val="lowerRoman"/>
      <w:start w:val="4"/>
    </w:lvl>
    <w:lvl w:ilvl="1">
      <w:lvlJc w:val="left"/>
      <w:lvlText w:val="%2"/>
      <w:numFmt w:val="lowerLetter"/>
      <w:start w:val="1"/>
    </w:lvl>
  </w:abstractNum>
  <w:abstractNum w:abstractNumId="184">
    <w:nsid w:val="1C2201FF"/>
    <w:multiLevelType w:val="hybridMultilevel"/>
    <w:lvl w:ilvl="0">
      <w:lvlJc w:val="left"/>
      <w:lvlText w:val="(%1)"/>
      <w:numFmt w:val="lowerLetter"/>
      <w:start w:val="7"/>
    </w:lvl>
  </w:abstractNum>
  <w:abstractNum w:abstractNumId="185">
    <w:nsid w:val="50ABCEC9"/>
    <w:multiLevelType w:val="hybridMultilevel"/>
    <w:lvl w:ilvl="0">
      <w:lvlJc w:val="left"/>
      <w:lvlText w:val="(%1)"/>
      <w:numFmt w:val="lowerLetter"/>
      <w:start w:val="1"/>
    </w:lvl>
  </w:abstractNum>
  <w:abstractNum w:abstractNumId="186">
    <w:nsid w:val="7635AA2A"/>
    <w:multiLevelType w:val="hybridMultilevel"/>
    <w:lvl w:ilvl="0">
      <w:lvlJc w:val="left"/>
      <w:lvlText w:val="(%1)"/>
      <w:numFmt w:val="lowerRoman"/>
      <w:start w:val="3"/>
    </w:lvl>
  </w:abstractNum>
  <w:abstractNum w:abstractNumId="187">
    <w:nsid w:val="5E74C4D9"/>
    <w:multiLevelType w:val="hybridMultilevel"/>
    <w:lvl w:ilvl="0">
      <w:lvlJc w:val="left"/>
      <w:lvlText w:val="(%1)"/>
      <w:numFmt w:val="lowerLetter"/>
      <w:start w:val="1"/>
    </w:lvl>
  </w:abstractNum>
  <w:abstractNum w:abstractNumId="188">
    <w:nsid w:val="3B3EBE15"/>
    <w:multiLevelType w:val="hybridMultilevel"/>
    <w:lvl w:ilvl="0">
      <w:lvlJc w:val="left"/>
      <w:lvlText w:val="(%1)"/>
      <w:numFmt w:val="lowerLetter"/>
      <w:start w:val="3"/>
    </w:lvl>
  </w:abstractNum>
  <w:abstractNum w:abstractNumId="189">
    <w:nsid w:val="3822CB01"/>
    <w:multiLevelType w:val="hybridMultilevel"/>
    <w:lvl w:ilvl="0">
      <w:lvlJc w:val="left"/>
      <w:lvlText w:val="(%1)"/>
      <w:numFmt w:val="lowerLetter"/>
      <w:start w:val="1"/>
    </w:lvl>
  </w:abstractNum>
  <w:abstractNum w:abstractNumId="190">
    <w:nsid w:val="6CE00443"/>
    <w:multiLevelType w:val="hybridMultilevel"/>
    <w:lvl w:ilvl="0">
      <w:lvlJc w:val="left"/>
      <w:lvlText w:val="(%1)"/>
      <w:numFmt w:val="lowerLetter"/>
      <w:start w:val="3"/>
    </w:lvl>
  </w:abstractNum>
  <w:abstractNum w:abstractNumId="191">
    <w:nsid w:val="79F0D62F"/>
    <w:multiLevelType w:val="hybridMultilevel"/>
    <w:lvl w:ilvl="0">
      <w:lvlJc w:val="left"/>
      <w:lvlText w:val="%1"/>
      <w:numFmt w:val="lowerRoman"/>
      <w:start w:val="1"/>
    </w:lvl>
    <w:lvl w:ilvl="1">
      <w:lvlJc w:val="left"/>
      <w:lvlText w:val="(%2)"/>
      <w:numFmt w:val="decimal"/>
      <w:start w:val="15"/>
    </w:lvl>
  </w:abstractNum>
  <w:abstractNum w:abstractNumId="192">
    <w:nsid w:val="7975E8EE"/>
    <w:multiLevelType w:val="hybridMultilevel"/>
    <w:lvl w:ilvl="0">
      <w:lvlJc w:val="left"/>
      <w:lvlText w:val="(%1)"/>
      <w:numFmt w:val="lowerRoman"/>
      <w:start w:val="2"/>
    </w:lvl>
    <w:lvl w:ilvl="1">
      <w:lvlJc w:val="left"/>
      <w:lvlText w:val="%2"/>
      <w:numFmt w:val="decimal"/>
      <w:start w:val="1"/>
    </w:lvl>
  </w:abstractNum>
  <w:abstractNum w:abstractNumId="193">
    <w:nsid w:val="73154115"/>
    <w:multiLevelType w:val="hybridMultilevel"/>
    <w:lvl w:ilvl="0">
      <w:lvlJc w:val="left"/>
      <w:lvlText w:val="(%1)"/>
      <w:numFmt w:val="lowerLetter"/>
      <w:start w:val="1"/>
    </w:lvl>
    <w:lvl w:ilvl="1">
      <w:lvlJc w:val="left"/>
      <w:lvlText w:val="(%2)"/>
      <w:numFmt w:val="lowerRoman"/>
      <w:start w:val="1"/>
    </w:lvl>
  </w:abstractNum>
  <w:abstractNum w:abstractNumId="194">
    <w:nsid w:val="622D8102"/>
    <w:multiLevelType w:val="hybridMultilevel"/>
    <w:lvl w:ilvl="0">
      <w:lvlJc w:val="left"/>
      <w:lvlText w:val="%1"/>
      <w:numFmt w:val="lowerLetter"/>
      <w:start w:val="1"/>
    </w:lvl>
    <w:lvl w:ilvl="1">
      <w:lvlJc w:val="left"/>
      <w:lvlText w:val="(%2)"/>
      <w:numFmt w:val="lowerLetter"/>
      <w:start w:val="1"/>
    </w:lvl>
  </w:abstractNum>
  <w:abstractNum w:abstractNumId="195">
    <w:nsid w:val="2AB26587"/>
    <w:multiLevelType w:val="hybridMultilevel"/>
    <w:lvl w:ilvl="0">
      <w:lvlJc w:val="left"/>
      <w:lvlText w:val="(%1)"/>
      <w:numFmt w:val="lowerLetter"/>
      <w:start w:val="35"/>
    </w:lvl>
    <w:lvl w:ilvl="1">
      <w:lvlJc w:val="left"/>
      <w:lvlText w:val="(%2)"/>
      <w:numFmt w:val="lowerLetter"/>
      <w:start w:val="6"/>
    </w:lvl>
  </w:abstractNum>
  <w:abstractNum w:abstractNumId="196">
    <w:nsid w:val="44B3FA61"/>
    <w:multiLevelType w:val="hybridMultilevel"/>
    <w:lvl w:ilvl="0">
      <w:lvlJc w:val="left"/>
      <w:lvlText w:val="(%1)"/>
      <w:numFmt w:val="lowerLetter"/>
      <w:start w:val="9"/>
    </w:lvl>
  </w:abstractNum>
  <w:abstractNum w:abstractNumId="197">
    <w:nsid w:val="1C0CA67C"/>
    <w:multiLevelType w:val="hybridMultilevel"/>
    <w:lvl w:ilvl="0">
      <w:lvlJc w:val="left"/>
      <w:lvlText w:val="(%1)"/>
      <w:numFmt w:val="lowerLetter"/>
      <w:start w:val="1"/>
    </w:lvl>
  </w:abstractNum>
  <w:abstractNum w:abstractNumId="198">
    <w:nsid w:val="3D206613"/>
    <w:multiLevelType w:val="hybridMultilevel"/>
    <w:lvl w:ilvl="0">
      <w:lvlJc w:val="left"/>
      <w:lvlText w:val="(%1)"/>
      <w:numFmt w:val="lowerLetter"/>
      <w:start w:val="1"/>
    </w:lvl>
  </w:abstractNum>
  <w:abstractNum w:abstractNumId="199">
    <w:nsid w:val="7993B662"/>
    <w:multiLevelType w:val="hybridMultilevel"/>
    <w:lvl w:ilvl="0">
      <w:lvlJc w:val="left"/>
      <w:lvlText w:val="(%1)"/>
      <w:numFmt w:val="lowerLetter"/>
      <w:start w:val="5"/>
    </w:lvl>
  </w:abstractNum>
  <w:abstractNum w:abstractNumId="200">
    <w:nsid w:val="3BAB699E"/>
    <w:multiLevelType w:val="hybridMultilevel"/>
    <w:lvl w:ilvl="0">
      <w:lvlJc w:val="left"/>
      <w:lvlText w:val="%1"/>
      <w:numFmt w:val="lowerLetter"/>
      <w:start w:val="1"/>
    </w:lvl>
    <w:lvl w:ilvl="1">
      <w:lvlJc w:val="left"/>
      <w:lvlText w:val="(%2)"/>
      <w:numFmt w:val="lowerLetter"/>
      <w:start w:val="1"/>
    </w:lvl>
  </w:abstractNum>
  <w:abstractNum w:abstractNumId="201">
    <w:nsid w:val="71315369"/>
    <w:multiLevelType w:val="hybridMultilevel"/>
    <w:lvl w:ilvl="0">
      <w:lvlJc w:val="left"/>
      <w:lvlText w:val="(%1)"/>
      <w:numFmt w:val="lowerLetter"/>
      <w:start w:val="35"/>
    </w:lvl>
    <w:lvl w:ilvl="1">
      <w:lvlJc w:val="left"/>
      <w:lvlText w:val="(%2)"/>
      <w:numFmt w:val="lowerLetter"/>
      <w:start w:val="3"/>
    </w:lvl>
  </w:abstractNum>
  <w:abstractNum w:abstractNumId="202">
    <w:nsid w:val="7BCFBAFC"/>
    <w:multiLevelType w:val="hybridMultilevel"/>
    <w:lvl w:ilvl="0">
      <w:lvlJc w:val="left"/>
      <w:lvlText w:val="(%1)"/>
      <w:numFmt w:val="lowerLetter"/>
      <w:start w:val="35"/>
    </w:lvl>
    <w:lvl w:ilvl="1">
      <w:lvlJc w:val="left"/>
      <w:lvlText w:val="(%2)"/>
      <w:numFmt w:val="lowerLetter"/>
      <w:start w:val="7"/>
    </w:lvl>
  </w:abstractNum>
  <w:abstractNum w:abstractNumId="203">
    <w:nsid w:val="17859F72"/>
    <w:multiLevelType w:val="hybridMultilevel"/>
    <w:lvl w:ilvl="0">
      <w:lvlJc w:val="left"/>
      <w:lvlText w:val="(%1)"/>
      <w:numFmt w:val="lowerLetter"/>
      <w:start w:val="8"/>
    </w:lvl>
  </w:abstractNum>
  <w:abstractNum w:abstractNumId="204">
    <w:nsid w:val="3AA10581"/>
    <w:multiLevelType w:val="hybridMultilevel"/>
    <w:lvl w:ilvl="0">
      <w:lvlJc w:val="left"/>
      <w:lvlText w:val="(%1)"/>
      <w:numFmt w:val="lowerLetter"/>
      <w:start w:val="2"/>
    </w:lvl>
  </w:abstractNum>
  <w:abstractNum w:abstractNumId="205">
    <w:nsid w:val="63DE60CD"/>
    <w:multiLevelType w:val="hybridMultilevel"/>
    <w:lvl w:ilvl="0">
      <w:lvlJc w:val="left"/>
      <w:lvlText w:val="(%1)"/>
      <w:numFmt w:val="lowerLetter"/>
      <w:start w:val="1"/>
    </w:lvl>
  </w:abstractNum>
  <w:abstractNum w:abstractNumId="206">
    <w:nsid w:val="621AF471"/>
    <w:multiLevelType w:val="hybridMultilevel"/>
    <w:lvl w:ilvl="0">
      <w:lvlJc w:val="left"/>
      <w:lvlText w:val="(%1)"/>
      <w:numFmt w:val="lowerLetter"/>
      <w:start w:val="1"/>
    </w:lvl>
  </w:abstractNum>
  <w:abstractNum w:abstractNumId="207">
    <w:nsid w:val="73CFE165"/>
    <w:multiLevelType w:val="hybridMultilevel"/>
    <w:lvl w:ilvl="0">
      <w:lvlJc w:val="left"/>
      <w:lvlText w:val="%1"/>
      <w:numFmt w:val="lowerLetter"/>
      <w:start w:val="1"/>
    </w:lvl>
    <w:lvl w:ilvl="1">
      <w:lvlJc w:val="left"/>
      <w:lvlText w:val="(%2)"/>
      <w:numFmt w:val="lowerLetter"/>
      <w:start w:val="2"/>
    </w:lvl>
  </w:abstractNum>
  <w:abstractNum w:abstractNumId="208">
    <w:nsid w:val="20F88EA6"/>
    <w:multiLevelType w:val="hybridMultilevel"/>
    <w:lvl w:ilvl="0">
      <w:lvlJc w:val="left"/>
      <w:lvlText w:val="(%1)"/>
      <w:numFmt w:val="lowerLetter"/>
      <w:start w:val="1"/>
    </w:lvl>
    <w:lvl w:ilvl="1">
      <w:lvlJc w:val="left"/>
      <w:lvlText w:val="(%2)"/>
      <w:numFmt w:val="lowerLetter"/>
      <w:start w:val="4"/>
    </w:lvl>
  </w:abstractNum>
  <w:abstractNum w:abstractNumId="209">
    <w:nsid w:val="617C843E"/>
    <w:multiLevelType w:val="hybridMultilevel"/>
    <w:lvl w:ilvl="0">
      <w:lvlJc w:val="left"/>
      <w:lvlText w:val="(%1)"/>
      <w:numFmt w:val="lowerLetter"/>
      <w:start w:val="5"/>
    </w:lvl>
  </w:abstractNum>
  <w:abstractNum w:abstractNumId="210">
    <w:nsid w:val="7B541FAB"/>
    <w:multiLevelType w:val="hybridMultilevel"/>
    <w:lvl w:ilvl="0">
      <w:lvlJc w:val="left"/>
      <w:lvlText w:val="(%1)"/>
      <w:numFmt w:val="lowerLetter"/>
      <w:start w:val="1"/>
    </w:lvl>
  </w:abstractNum>
  <w:abstractNum w:abstractNumId="211">
    <w:nsid w:val="2A79EC49"/>
    <w:multiLevelType w:val="hybridMultilevel"/>
    <w:lvl w:ilvl="0">
      <w:lvlJc w:val="left"/>
      <w:lvlText w:val="(%1)"/>
      <w:numFmt w:val="lowerLetter"/>
      <w:start w:val="7"/>
    </w:lvl>
  </w:abstractNum>
  <w:abstractNum w:abstractNumId="212">
    <w:nsid w:val="338125CF"/>
    <w:multiLevelType w:val="hybridMultilevel"/>
    <w:lvl w:ilvl="0">
      <w:lvlJc w:val="left"/>
      <w:lvlText w:val="(%1)"/>
      <w:numFmt w:val="lowerLetter"/>
      <w:start w:val="9"/>
    </w:lvl>
  </w:abstractNum>
  <w:abstractNum w:abstractNumId="213">
    <w:nsid w:val="47C7C971"/>
    <w:multiLevelType w:val="hybridMultilevel"/>
    <w:lvl w:ilvl="0">
      <w:lvlJc w:val="left"/>
      <w:lvlText w:val="(%1)"/>
      <w:numFmt w:val="lowerLetter"/>
      <w:start w:val="16"/>
    </w:lvl>
  </w:abstractNum>
  <w:abstractNum w:abstractNumId="214">
    <w:nsid w:val="46F8284B"/>
    <w:multiLevelType w:val="hybridMultilevel"/>
    <w:lvl w:ilvl="0">
      <w:lvlJc w:val="left"/>
      <w:lvlText w:val="(%1)"/>
      <w:numFmt w:val="lowerLetter"/>
      <w:start w:val="20"/>
    </w:lvl>
  </w:abstractNum>
  <w:abstractNum w:abstractNumId="215">
    <w:nsid w:val="4FA327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6">
    <w:nsid w:val="1873983A"/>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17">
    <w:nsid w:val="3D2DD275"/>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218">
    <w:nsid w:val="2E17ECA7"/>
    <w:multiLevelType w:val="hybridMultilevel"/>
    <w:lvl w:ilvl="0">
      <w:lvlJc w:val="left"/>
      <w:lvlText w:val="(%1)"/>
      <w:numFmt w:val="decimal"/>
      <w:start w:val="3"/>
    </w:lvl>
    <w:lvl w:ilvl="1">
      <w:lvlJc w:val="left"/>
      <w:lvlText w:val="(%2)"/>
      <w:numFmt w:val="lowerRoman"/>
      <w:start w:val="1"/>
    </w:lvl>
  </w:abstractNum>
  <w:abstractNum w:abstractNumId="219">
    <w:nsid w:val="53B2564F"/>
    <w:multiLevelType w:val="hybridMultilevel"/>
    <w:lvl w:ilvl="0">
      <w:lvlJc w:val="left"/>
      <w:lvlText w:val="(%1)"/>
      <w:numFmt w:val="lowerLetter"/>
      <w:start w:val="2"/>
    </w:lvl>
    <w:lvl w:ilvl="1">
      <w:lvlJc w:val="left"/>
      <w:lvlText w:val="(%2)"/>
      <w:numFmt w:val="lowerLetter"/>
      <w:start w:val="9"/>
    </w:lvl>
  </w:abstractNum>
  <w:abstractNum w:abstractNumId="220">
    <w:nsid w:val="75509D76"/>
    <w:multiLevelType w:val="hybridMultilevel"/>
    <w:lvl w:ilvl="0">
      <w:lvlJc w:val="left"/>
      <w:lvlText w:val="(%1)"/>
      <w:numFmt w:val="lowerRoman"/>
      <w:start w:val="2"/>
    </w:lvl>
    <w:lvl w:ilvl="1">
      <w:lvlJc w:val="left"/>
      <w:lvlText w:val="(%2)"/>
      <w:numFmt w:val="lowerRoman"/>
      <w:start w:val="9"/>
    </w:lvl>
    <w:lvl w:ilvl="2">
      <w:lvlJc w:val="left"/>
      <w:lvlText w:val="(%3)"/>
      <w:numFmt w:val="upperLetter"/>
      <w:start w:val="1"/>
    </w:lvl>
  </w:abstractNum>
  <w:abstractNum w:abstractNumId="221">
    <w:nsid w:val="1AF7F0EA"/>
    <w:multiLevelType w:val="hybridMultilevel"/>
    <w:lvl w:ilvl="0">
      <w:lvlJc w:val="left"/>
      <w:lvlText w:val="(%1)"/>
      <w:numFmt w:val="lowerRoman"/>
      <w:start w:val="4"/>
    </w:lvl>
    <w:lvl w:ilvl="1">
      <w:lvlJc w:val="left"/>
      <w:lvlText w:val="(%2)"/>
      <w:numFmt w:val="lowerRoman"/>
    </w:lvl>
    <w:lvl w:ilvl="2">
      <w:lvlJc w:val="left"/>
      <w:lvlText w:val="(%3)"/>
      <w:numFmt w:val="upperLetter"/>
      <w:start w:val="1"/>
    </w:lvl>
  </w:abstractNum>
  <w:abstractNum w:abstractNumId="222">
    <w:nsid w:val="4DA32C7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23">
    <w:nsid w:val="6EC68664"/>
    <w:multiLevelType w:val="hybridMultilevel"/>
    <w:lvl w:ilvl="0">
      <w:lvlJc w:val="left"/>
      <w:lvlText w:val="(%1)"/>
      <w:numFmt w:val="lowerRoman"/>
      <w:start w:val="5"/>
    </w:lvl>
  </w:abstractNum>
  <w:abstractNum w:abstractNumId="224">
    <w:nsid w:val="E0D31FF"/>
    <w:multiLevelType w:val="hybridMultilevel"/>
    <w:lvl w:ilvl="0">
      <w:lvlJc w:val="left"/>
      <w:lvlText w:val="(%1)"/>
      <w:numFmt w:val="lowerRoman"/>
      <w:start w:val="8"/>
    </w:lvl>
    <w:lvl w:ilvl="1">
      <w:lvlJc w:val="left"/>
      <w:lvlText w:val="(%2)"/>
      <w:numFmt w:val="upperLetter"/>
      <w:start w:val="1"/>
    </w:lvl>
  </w:abstractNum>
  <w:abstractNum w:abstractNumId="225">
    <w:nsid w:val="2FD0AD81"/>
    <w:multiLevelType w:val="hybridMultilevel"/>
    <w:lvl w:ilvl="0">
      <w:lvlJc w:val="left"/>
      <w:lvlText w:val="(%1)"/>
      <w:numFmt w:val="upperLetter"/>
      <w:start w:val="5"/>
    </w:lvl>
  </w:abstractNum>
  <w:abstractNum w:abstractNumId="226">
    <w:nsid w:val="1978EBEB"/>
    <w:multiLevelType w:val="hybridMultilevel"/>
    <w:lvl w:ilvl="0">
      <w:lvlJc w:val="left"/>
      <w:lvlText w:val="%1"/>
      <w:numFmt w:val="lowerRoman"/>
      <w:start w:val="1"/>
    </w:lvl>
    <w:lvl w:ilvl="1">
      <w:lvlJc w:val="left"/>
      <w:lvlText w:val="(%2)"/>
      <w:numFmt w:val="upperLetter"/>
      <w:start w:val="1"/>
    </w:lvl>
  </w:abstractNum>
  <w:abstractNum w:abstractNumId="227">
    <w:nsid w:val="52C12C61"/>
    <w:multiLevelType w:val="hybridMultilevel"/>
    <w:lvl w:ilvl="0">
      <w:lvlJc w:val="left"/>
      <w:lvlText w:val="(%1)"/>
      <w:numFmt w:val="lowerRoman"/>
      <w:start w:val="12"/>
    </w:lvl>
    <w:lvl w:ilvl="1">
      <w:lvlJc w:val="left"/>
      <w:lvlText w:val="%2"/>
      <w:numFmt w:val="upperLetter"/>
      <w:start w:val="1"/>
    </w:lvl>
  </w:abstractNum>
  <w:abstractNum w:abstractNumId="228">
    <w:nsid w:val="4BDD53FD"/>
    <w:multiLevelType w:val="hybridMultilevel"/>
    <w:lvl w:ilvl="0">
      <w:lvlJc w:val="left"/>
      <w:lvlText w:val="(%1)"/>
      <w:numFmt w:val="lowerRoman"/>
      <w:start w:val="13"/>
    </w:lvl>
  </w:abstractNum>
  <w:abstractNum w:abstractNumId="229">
    <w:nsid w:val="569951FE"/>
    <w:multiLevelType w:val="hybridMultilevel"/>
    <w:lvl w:ilvl="0">
      <w:lvlJc w:val="left"/>
      <w:lvlText w:val="(%1)"/>
      <w:numFmt w:val="lowerRoman"/>
      <w:start w:val="17"/>
    </w:lvl>
  </w:abstractNum>
  <w:abstractNum w:abstractNumId="230">
    <w:nsid w:val="4C54E2C3"/>
    <w:multiLevelType w:val="hybridMultilevel"/>
    <w:lvl w:ilvl="0">
      <w:lvlJc w:val="left"/>
      <w:lvlText w:val="(%1)"/>
      <w:numFmt w:val="lowerRoman"/>
      <w:start w:val="20"/>
    </w:lvl>
  </w:abstractNum>
  <w:abstractNum w:abstractNumId="231">
    <w:nsid w:val="788BD9B"/>
    <w:multiLevelType w:val="hybridMultilevel"/>
    <w:lvl w:ilvl="0">
      <w:lvlJc w:val="left"/>
      <w:lvlText w:val="(%1)"/>
      <w:numFmt w:val="lowerRoman"/>
      <w:start w:val="21"/>
    </w:lvl>
  </w:abstractNum>
  <w:abstractNum w:abstractNumId="232">
    <w:nsid w:val="47CAA567"/>
    <w:multiLevelType w:val="hybridMultilevel"/>
    <w:lvl w:ilvl="0">
      <w:lvlJc w:val="left"/>
      <w:lvlText w:val="(%1)"/>
      <w:numFmt w:val="lowerLetter"/>
      <w:start w:val="1"/>
    </w:lvl>
    <w:lvl w:ilvl="1">
      <w:lvlJc w:val="left"/>
      <w:lvlText w:val="(%2)"/>
      <w:numFmt w:val="lowerRoman"/>
      <w:start w:val="1"/>
    </w:lvl>
  </w:abstractNum>
  <w:abstractNum w:abstractNumId="233">
    <w:nsid w:val="48249DBF"/>
    <w:multiLevelType w:val="hybridMultilevel"/>
    <w:lvl w:ilvl="0">
      <w:lvlJc w:val="left"/>
      <w:lvlText w:val="(%1)"/>
      <w:numFmt w:val="lowerRoman"/>
      <w:start w:val="6"/>
    </w:lvl>
  </w:abstractNum>
  <w:abstractNum w:abstractNumId="234">
    <w:nsid w:val="1F0E5D0D"/>
    <w:multiLevelType w:val="hybridMultilevel"/>
    <w:lvl w:ilvl="0">
      <w:lvlJc w:val="left"/>
      <w:lvlText w:val="(%1)"/>
      <w:numFmt w:val="lowerRoman"/>
      <w:start w:val="17"/>
    </w:lvl>
  </w:abstractNum>
  <w:abstractNum w:abstractNumId="235">
    <w:nsid w:val="26BAAE9"/>
    <w:multiLevelType w:val="hybridMultilevel"/>
    <w:lvl w:ilvl="0">
      <w:lvlJc w:val="left"/>
      <w:lvlText w:val="(%1)"/>
      <w:numFmt w:val="lowerLetter"/>
      <w:start w:val="1"/>
    </w:lvl>
    <w:lvl w:ilvl="1">
      <w:lvlJc w:val="left"/>
      <w:lvlText w:val="(%2)"/>
      <w:numFmt w:val="lowerRoman"/>
      <w:start w:val="1"/>
    </w:lvl>
  </w:abstractNum>
  <w:abstractNum w:abstractNumId="236">
    <w:nsid w:val="2C02FE8C"/>
    <w:multiLevelType w:val="hybridMultilevel"/>
    <w:lvl w:ilvl="0">
      <w:lvlJc w:val="left"/>
      <w:lvlText w:val="(%1)"/>
      <w:numFmt w:val="lowerRoman"/>
      <w:start w:val="3"/>
    </w:lvl>
    <w:lvl w:ilvl="1">
      <w:lvlJc w:val="left"/>
      <w:lvlText w:val="(%2)"/>
      <w:numFmt w:val="lowerRoman"/>
    </w:lvl>
    <w:lvl w:ilvl="2">
      <w:lvlJc w:val="left"/>
      <w:lvlText w:val="(%3)"/>
      <w:numFmt w:val="upperLetter"/>
      <w:start w:val="1"/>
    </w:lvl>
  </w:abstractNum>
  <w:abstractNum w:abstractNumId="237">
    <w:nsid w:val="129517E"/>
    <w:multiLevelType w:val="hybridMultilevel"/>
    <w:lvl w:ilvl="0">
      <w:lvlJc w:val="left"/>
      <w:lvlText w:val="(%1)"/>
      <w:numFmt w:val="lowerRoman"/>
      <w:start w:val="3"/>
    </w:lvl>
    <w:lvl w:ilvl="1">
      <w:lvlJc w:val="left"/>
      <w:lvlText w:val="(%2)"/>
      <w:numFmt w:val="upperLetter"/>
      <w:start w:val="4"/>
    </w:lvl>
  </w:abstractNum>
  <w:abstractNum w:abstractNumId="238">
    <w:nsid w:val="763B8C4E"/>
    <w:multiLevelType w:val="hybridMultilevel"/>
    <w:lvl w:ilvl="0">
      <w:lvlJc w:val="left"/>
      <w:lvlText w:val="(%1)"/>
      <w:numFmt w:val="lowerRoman"/>
      <w:start w:val="7"/>
    </w:lvl>
  </w:abstractNum>
  <w:abstractNum w:abstractNumId="239">
    <w:nsid w:val="4CFB8D32"/>
    <w:multiLevelType w:val="hybridMultilevel"/>
    <w:lvl w:ilvl="0">
      <w:lvlJc w:val="left"/>
      <w:lvlText w:val="(%1)"/>
      <w:numFmt w:val="lowerRoman"/>
      <w:start w:val="9"/>
    </w:lvl>
  </w:abstractNum>
  <w:abstractNum w:abstractNumId="240">
    <w:nsid w:val="62A5D5BD"/>
    <w:multiLevelType w:val="hybridMultilevel"/>
    <w:lvl w:ilvl="0">
      <w:lvlJc w:val="left"/>
      <w:lvlText w:val="(%1)"/>
      <w:numFmt w:val="lowerRoman"/>
      <w:start w:val="16"/>
    </w:lvl>
    <w:lvl w:ilvl="1">
      <w:lvlJc w:val="left"/>
      <w:lvlText w:val="(%2)"/>
      <w:numFmt w:val="lowerLetter"/>
      <w:start w:val="24"/>
    </w:lvl>
    <w:lvl w:ilvl="2">
      <w:lvlJc w:val="left"/>
      <w:lvlText w:val="(%3)"/>
      <w:numFmt w:val="upperLetter"/>
      <w:start w:val="1"/>
    </w:lvl>
  </w:abstractNum>
  <w:abstractNum w:abstractNumId="241">
    <w:nsid w:val="718FABF9"/>
    <w:multiLevelType w:val="hybridMultilevel"/>
    <w:lvl w:ilvl="0">
      <w:lvlJc w:val="left"/>
      <w:lvlText w:val="%1"/>
      <w:numFmt w:val="lowerRoman"/>
      <w:start w:val="1"/>
    </w:lvl>
    <w:lvl w:ilvl="1">
      <w:lvlJc w:val="left"/>
      <w:lvlText w:val="(%2)"/>
      <w:numFmt w:val="upperLetter"/>
      <w:start w:val="6"/>
    </w:lvl>
  </w:abstractNum>
  <w:abstractNum w:abstractNumId="242">
    <w:nsid w:val="7775797C"/>
    <w:multiLevelType w:val="hybridMultilevel"/>
    <w:lvl w:ilvl="0">
      <w:lvlJc w:val="left"/>
      <w:lvlText w:val="(%1)"/>
      <w:numFmt w:val="lowerRoman"/>
      <w:start w:val="10"/>
    </w:lvl>
    <w:lvl w:ilvl="1">
      <w:lvlJc w:val="left"/>
      <w:lvlText w:val="(%2)"/>
      <w:numFmt w:val="upperLetter"/>
      <w:start w:val="7"/>
    </w:lvl>
  </w:abstractNum>
  <w:abstractNum w:abstractNumId="243">
    <w:nsid w:val="1626FB8C"/>
    <w:multiLevelType w:val="hybridMultilevel"/>
    <w:lvl w:ilvl="0">
      <w:lvlJc w:val="left"/>
      <w:lvlText w:val="(%1)"/>
      <w:numFmt w:val="lowerRoman"/>
      <w:start w:val="17"/>
    </w:lvl>
  </w:abstractNum>
  <w:abstractNum w:abstractNumId="244">
    <w:nsid w:val="3957756A"/>
    <w:multiLevelType w:val="hybridMultilevel"/>
    <w:lvl w:ilvl="0">
      <w:lvlJc w:val="left"/>
      <w:lvlText w:val="(%1)"/>
      <w:numFmt w:val="lowerRoman"/>
      <w:start w:val="22"/>
    </w:lvl>
  </w:abstractNum>
  <w:abstractNum w:abstractNumId="245">
    <w:nsid w:val="3E6DA1C7"/>
    <w:multiLevelType w:val="hybridMultilevel"/>
    <w:lvl w:ilvl="0">
      <w:lvlJc w:val="left"/>
      <w:lvlText w:val="%1"/>
      <w:numFmt w:val="lowerLetter"/>
      <w:start w:val="1"/>
    </w:lvl>
    <w:lvl w:ilvl="1">
      <w:lvlJc w:val="left"/>
      <w:lvlText w:val="(%2)"/>
      <w:numFmt w:val="lowerRoman"/>
      <w:start w:val="29"/>
    </w:lvl>
  </w:abstractNum>
  <w:abstractNum w:abstractNumId="246">
    <w:nsid w:val="65CA235B"/>
    <w:multiLevelType w:val="hybridMultilevel"/>
    <w:lvl w:ilvl="0">
      <w:lvlJc w:val="left"/>
      <w:lvlText w:val="(%1)"/>
      <w:numFmt w:val="lowerLetter"/>
      <w:start w:val="3"/>
    </w:lvl>
    <w:lvl w:ilvl="1">
      <w:lvlJc w:val="left"/>
      <w:lvlText w:val="%2"/>
      <w:numFmt w:val="lowerRoman"/>
      <w:start w:val="1"/>
    </w:lvl>
  </w:abstractNum>
  <w:abstractNum w:abstractNumId="247">
    <w:nsid w:val="51CB0D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8">
    <w:nsid w:val="7B9B743C"/>
    <w:multiLevelType w:val="hybridMultilevel"/>
    <w:lvl w:ilvl="0">
      <w:lvlJc w:val="left"/>
      <w:lvlText w:val="(%1)"/>
      <w:numFmt w:val="lowerLetter"/>
      <w:start w:val="2"/>
    </w:lvl>
  </w:abstractNum>
  <w:abstractNum w:abstractNumId="249">
    <w:nsid w:val="13E210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0">
    <w:nsid w:val="257D63F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5"/>
    </w:lvl>
  </w:abstractNum>
  <w:abstractNum w:abstractNumId="251">
    <w:nsid w:val="70EC11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2">
    <w:nsid w:val="2EDA00ED"/>
    <w:multiLevelType w:val="hybridMultilevel"/>
    <w:lvl w:ilvl="0">
      <w:lvlJc w:val="left"/>
      <w:lvlText w:val="(%1)"/>
      <w:numFmt w:val="lowerLetter"/>
      <w:start w:val="7"/>
    </w:lvl>
  </w:abstractNum>
  <w:abstractNum w:abstractNumId="253">
    <w:nsid w:val="73209072"/>
    <w:multiLevelType w:val="hybridMultilevel"/>
    <w:lvl w:ilvl="0">
      <w:lvlJc w:val="left"/>
      <w:lvlText w:val="(%1)"/>
      <w:numFmt w:val="lowerLetter"/>
      <w:start w:val="1"/>
    </w:lvl>
  </w:abstractNum>
  <w:abstractNum w:abstractNumId="254">
    <w:nsid w:val="5FB29816"/>
    <w:multiLevelType w:val="hybridMultilevel"/>
    <w:lvl w:ilvl="0">
      <w:lvlJc w:val="left"/>
      <w:lvlText w:val="%1"/>
      <w:numFmt w:val="lowerLetter"/>
      <w:start w:val="1"/>
    </w:lvl>
    <w:lvl w:ilvl="1">
      <w:lvlJc w:val="left"/>
      <w:lvlText w:val="(%2)"/>
      <w:numFmt w:val="lowerLetter"/>
      <w:start w:val="1"/>
    </w:lvl>
  </w:abstractNum>
  <w:abstractNum w:abstractNumId="255">
    <w:nsid w:val="3CE732EC"/>
    <w:multiLevelType w:val="hybridMultilevel"/>
    <w:lvl w:ilvl="0">
      <w:lvlJc w:val="left"/>
      <w:lvlText w:val="(%1)"/>
      <w:numFmt w:val="lowerLetter"/>
      <w:start w:val="2"/>
    </w:lvl>
    <w:lvl w:ilvl="1">
      <w:lvlJc w:val="left"/>
      <w:lvlText w:val="%2"/>
      <w:numFmt w:val="lowerLetter"/>
      <w:start w:val="1"/>
    </w:lvl>
  </w:abstractNum>
  <w:abstractNum w:abstractNumId="256">
    <w:nsid w:val="22F13DF3"/>
    <w:multiLevelType w:val="hybridMultilevel"/>
    <w:lvl w:ilvl="0">
      <w:lvlJc w:val="left"/>
      <w:lvlText w:val="(%1)"/>
      <w:numFmt w:val="lowerLetter"/>
      <w:start w:val="10"/>
    </w:lvl>
    <w:lvl w:ilvl="1">
      <w:lvlJc w:val="left"/>
      <w:lvlText w:val="(%2)"/>
      <w:numFmt w:val="lowerLetter"/>
      <w:start w:val="4"/>
    </w:lvl>
  </w:abstractNum>
  <w:abstractNum w:abstractNumId="257">
    <w:nsid w:val="792B8401"/>
    <w:multiLevelType w:val="hybridMultilevel"/>
    <w:lvl w:ilvl="0">
      <w:lvlJc w:val="left"/>
      <w:lvlText w:val="(%1)"/>
      <w:numFmt w:val="lowerLetter"/>
      <w:start w:val="1"/>
    </w:lvl>
  </w:abstractNum>
  <w:abstractNum w:abstractNumId="258">
    <w:nsid w:val="FA85F4D"/>
    <w:multiLevelType w:val="hybridMultilevel"/>
    <w:lvl w:ilvl="0">
      <w:lvlJc w:val="left"/>
      <w:lvlText w:val="(%1)"/>
      <w:numFmt w:val="lowerLetter"/>
      <w:start w:val="1"/>
    </w:lvl>
  </w:abstractNum>
  <w:abstractNum w:abstractNumId="259">
    <w:nsid w:val="6ECE91F0"/>
    <w:multiLevelType w:val="hybridMultilevel"/>
    <w:lvl w:ilvl="0">
      <w:lvlJc w:val="left"/>
      <w:lvlText w:val="%1"/>
      <w:numFmt w:val="lowerLetter"/>
      <w:start w:val="1"/>
    </w:lvl>
    <w:lvl w:ilvl="1">
      <w:lvlJc w:val="left"/>
      <w:lvlText w:val="(%2)"/>
      <w:numFmt w:val="lowerLetter"/>
      <w:start w:val="3"/>
    </w:lvl>
  </w:abstractNum>
  <w:abstractNum w:abstractNumId="260">
    <w:nsid w:val="4FC4D600"/>
    <w:multiLevelType w:val="hybridMultilevel"/>
    <w:lvl w:ilvl="0">
      <w:lvlJc w:val="left"/>
      <w:lvlText w:val="(%1)"/>
      <w:numFmt w:val="lowerLetter"/>
      <w:start w:val="35"/>
    </w:lvl>
    <w:lvl w:ilvl="1">
      <w:lvlJc w:val="left"/>
      <w:lvlText w:val="%2"/>
      <w:numFmt w:val="lowerLetter"/>
      <w:start w:val="1"/>
    </w:lvl>
  </w:abstractNum>
  <w:abstractNum w:abstractNumId="261">
    <w:nsid w:val="5BFD4210"/>
    <w:multiLevelType w:val="hybridMultilevel"/>
    <w:lvl w:ilvl="0">
      <w:lvlJc w:val="left"/>
      <w:lvlText w:val="%1"/>
      <w:numFmt w:val="lowerRoman"/>
      <w:start w:val="1"/>
    </w:lvl>
    <w:lvl w:ilvl="1">
      <w:lvlJc w:val="left"/>
      <w:lvlText w:val="(%2)"/>
      <w:numFmt w:val="lowerLetter"/>
      <w:start w:val="7"/>
    </w:lvl>
  </w:abstractNum>
  <w:abstractNum w:abstractNumId="262">
    <w:nsid w:val="76574F8B"/>
    <w:multiLevelType w:val="hybridMultilevel"/>
    <w:lvl w:ilvl="0">
      <w:lvlJc w:val="left"/>
      <w:lvlText w:val="(%1)"/>
      <w:numFmt w:val="lowerRoman"/>
      <w:start w:val="4"/>
    </w:lvl>
    <w:lvl w:ilvl="1">
      <w:lvlJc w:val="left"/>
      <w:lvlText w:val="(%2)"/>
      <w:numFmt w:val="lowerLetter"/>
      <w:start w:val="8"/>
    </w:lvl>
  </w:abstractNum>
  <w:abstractNum w:abstractNumId="263">
    <w:nsid w:val="178F7B67"/>
    <w:multiLevelType w:val="hybridMultilevel"/>
    <w:lvl w:ilvl="0">
      <w:lvlJc w:val="left"/>
      <w:lvlText w:val="(%1)"/>
      <w:numFmt w:val="lowerLetter"/>
      <w:start w:val="35"/>
    </w:lvl>
    <w:lvl w:ilvl="1">
      <w:lvlJc w:val="left"/>
      <w:lvlText w:val="%2"/>
      <w:numFmt w:val="lowerLetter"/>
      <w:start w:val="1"/>
    </w:lvl>
  </w:abstractNum>
  <w:abstractNum w:abstractNumId="264">
    <w:nsid w:val="2421DFCF"/>
    <w:multiLevelType w:val="hybridMultilevel"/>
    <w:lvl w:ilvl="0">
      <w:lvlJc w:val="left"/>
      <w:lvlText w:val="(%1)"/>
      <w:numFmt w:val="lowerLetter"/>
      <w:start w:val="2"/>
    </w:lvl>
    <w:lvl w:ilvl="1">
      <w:lvlJc w:val="left"/>
      <w:lvlText w:val="%2"/>
      <w:numFmt w:val="lowerLetter"/>
      <w:start w:val="1"/>
    </w:lvl>
  </w:abstractNum>
  <w:abstractNum w:abstractNumId="265">
    <w:nsid w:val="1565AC99"/>
    <w:multiLevelType w:val="hybridMultilevel"/>
    <w:lvl w:ilvl="0">
      <w:lvlJc w:val="left"/>
      <w:lvlText w:val="(%1)"/>
      <w:numFmt w:val="lowerLetter"/>
      <w:start w:val="1"/>
    </w:lvl>
  </w:abstractNum>
  <w:abstractNum w:abstractNumId="266">
    <w:nsid w:val="19FB2650"/>
    <w:multiLevelType w:val="hybridMultilevel"/>
    <w:lvl w:ilvl="0">
      <w:lvlJc w:val="left"/>
      <w:lvlText w:val="%1"/>
      <w:numFmt w:val="lowerLetter"/>
      <w:start w:val="1"/>
    </w:lvl>
    <w:lvl w:ilvl="1">
      <w:lvlJc w:val="left"/>
      <w:lvlText w:val="(%2)"/>
      <w:numFmt w:val="lowerLetter"/>
      <w:start w:val="2"/>
    </w:lvl>
  </w:abstractNum>
  <w:abstractNum w:abstractNumId="267">
    <w:nsid w:val="5024DE5B"/>
    <w:multiLevelType w:val="hybridMultilevel"/>
    <w:lvl w:ilvl="0">
      <w:lvlJc w:val="left"/>
      <w:lvlText w:val="(%1)"/>
      <w:numFmt w:val="lowerLetter"/>
      <w:start w:val="35"/>
    </w:lvl>
    <w:lvl w:ilvl="1">
      <w:lvlJc w:val="left"/>
      <w:lvlText w:val="%2"/>
      <w:numFmt w:val="lowerLetter"/>
      <w:start w:val="1"/>
    </w:lvl>
  </w:abstractNum>
  <w:abstractNum w:abstractNumId="268">
    <w:nsid w:val="168EFE17"/>
    <w:multiLevelType w:val="hybridMultilevel"/>
    <w:lvl w:ilvl="0">
      <w:lvlJc w:val="left"/>
      <w:lvlText w:val="(%1)"/>
      <w:numFmt w:val="lowerLetter"/>
      <w:start w:val="9"/>
    </w:lvl>
    <w:lvl w:ilvl="1">
      <w:lvlJc w:val="left"/>
      <w:lvlText w:val="%2"/>
      <w:numFmt w:val="lowerLetter"/>
      <w:start w:val="1"/>
    </w:lvl>
  </w:abstractNum>
  <w:abstractNum w:abstractNumId="269">
    <w:nsid w:val="1036B29F"/>
    <w:multiLevelType w:val="hybridMultilevel"/>
    <w:lvl w:ilvl="0">
      <w:lvlJc w:val="left"/>
      <w:lvlText w:val="(%1)"/>
      <w:numFmt w:val="lowerLetter"/>
      <w:start w:val="1"/>
    </w:lvl>
  </w:abstractNum>
  <w:abstractNum w:abstractNumId="270">
    <w:nsid w:val="1D206B8E"/>
    <w:multiLevelType w:val="hybridMultilevel"/>
    <w:lvl w:ilvl="0">
      <w:lvlJc w:val="left"/>
      <w:lvlText w:val="(%1)"/>
      <w:numFmt w:val="lowerLetter"/>
      <w:start w:val="1"/>
    </w:lvl>
  </w:abstractNum>
  <w:abstractNum w:abstractNumId="271">
    <w:nsid w:val="7934D3D4"/>
    <w:multiLevelType w:val="hybridMultilevel"/>
    <w:lvl w:ilvl="0">
      <w:lvlJc w:val="left"/>
      <w:lvlText w:val="(%1)"/>
      <w:numFmt w:val="lowerLetter"/>
      <w:start w:val="7"/>
    </w:lvl>
  </w:abstractNum>
  <w:abstractNum w:abstractNumId="272">
    <w:nsid w:val="1C65E98"/>
    <w:multiLevelType w:val="hybridMultilevel"/>
    <w:lvl w:ilvl="0">
      <w:lvlJc w:val="left"/>
      <w:lvlText w:val="(%1)"/>
      <w:numFmt w:val="lowerLetter"/>
      <w:start w:val="1"/>
    </w:lvl>
  </w:abstractNum>
  <w:abstractNum w:abstractNumId="273">
    <w:nsid w:val="1495E50A"/>
    <w:multiLevelType w:val="hybridMultilevel"/>
    <w:lvl w:ilvl="0">
      <w:lvlJc w:val="left"/>
      <w:lvlText w:val="(%1)"/>
      <w:numFmt w:val="lowerLetter"/>
      <w:start w:val="5"/>
    </w:lvl>
  </w:abstractNum>
  <w:abstractNum w:abstractNumId="274">
    <w:nsid w:val="F5BCF61"/>
    <w:multiLevelType w:val="hybridMultilevel"/>
    <w:lvl w:ilvl="0">
      <w:lvlJc w:val="left"/>
      <w:lvlText w:val="%1"/>
      <w:numFmt w:val="lowerLetter"/>
      <w:start w:val="1"/>
    </w:lvl>
    <w:lvl w:ilvl="1">
      <w:lvlJc w:val="left"/>
      <w:lvlText w:val="(%2)"/>
      <w:numFmt w:val="lowerLetter"/>
      <w:start w:val="1"/>
    </w:lvl>
  </w:abstractNum>
  <w:abstractNum w:abstractNumId="275">
    <w:nsid w:val="3B1DD403"/>
    <w:multiLevelType w:val="hybridMultilevel"/>
    <w:lvl w:ilvl="0">
      <w:lvlJc w:val="left"/>
      <w:lvlText w:val="(%1)"/>
      <w:numFmt w:val="lowerLetter"/>
      <w:start w:val="5"/>
    </w:lvl>
    <w:lvl w:ilvl="1">
      <w:lvlJc w:val="left"/>
      <w:lvlText w:val="(%2)"/>
      <w:numFmt w:val="lowerLetter"/>
      <w:start w:val="2"/>
    </w:lvl>
  </w:abstractNum>
  <w:abstractNum w:abstractNumId="276">
    <w:nsid w:val="530386D1"/>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277">
    <w:nsid w:val="7525F2BC"/>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2"/>
    </w:lvl>
  </w:abstractNum>
  <w:abstractNum w:abstractNumId="278">
    <w:nsid w:val="CE8E1A7"/>
    <w:multiLevelType w:val="hybridMultilevel"/>
    <w:lvl w:ilvl="0">
      <w:lvlJc w:val="left"/>
      <w:lvlText w:val="%1"/>
      <w:numFmt w:val="lowerLetter"/>
      <w:start w:val="1"/>
    </w:lvl>
    <w:lvl w:ilvl="1">
      <w:lvlJc w:val="left"/>
      <w:lvlText w:val="(%2)"/>
      <w:numFmt w:val="lowerLetter"/>
      <w:start w:val="1"/>
    </w:lvl>
  </w:abstractNum>
  <w:abstractNum w:abstractNumId="279">
    <w:nsid w:val="4E9EFB0D"/>
    <w:multiLevelType w:val="hybridMultilevel"/>
    <w:lvl w:ilvl="0">
      <w:lvlJc w:val="left"/>
      <w:lvlText w:val="(%1)"/>
      <w:numFmt w:val="lowerLetter"/>
      <w:start w:val="9"/>
    </w:lvl>
    <w:lvl w:ilvl="1">
      <w:lvlJc w:val="left"/>
      <w:lvlText w:val="%2"/>
      <w:numFmt w:val="lowerLetter"/>
      <w:start w:val="1"/>
    </w:lvl>
  </w:abstractNum>
  <w:abstractNum w:abstractNumId="280">
    <w:nsid w:val="90802BE"/>
    <w:multiLevelType w:val="hybridMultilevel"/>
    <w:lvl w:ilvl="0">
      <w:lvlJc w:val="left"/>
      <w:lvlText w:val="(%1)"/>
      <w:numFmt w:val="lowerLetter"/>
      <w:start w:val="25"/>
    </w:lvl>
    <w:lvl w:ilvl="1">
      <w:lvlJc w:val="left"/>
      <w:lvlText w:val="(%2)"/>
      <w:numFmt w:val="lowerLetter"/>
      <w:start w:val="3"/>
    </w:lvl>
  </w:abstractNum>
  <w:abstractNum w:abstractNumId="281">
    <w:nsid w:val="3266459B"/>
    <w:multiLevelType w:val="hybridMultilevel"/>
    <w:lvl w:ilvl="0">
      <w:lvlJc w:val="left"/>
      <w:lvlText w:val="(%1)"/>
      <w:numFmt w:val="lowerLetter"/>
      <w:start w:val="5"/>
    </w:lvl>
  </w:abstractNum>
  <w:abstractNum w:abstractNumId="282">
    <w:nsid w:val="3F8B0CBF"/>
    <w:multiLevelType w:val="hybridMultilevel"/>
    <w:lvl w:ilvl="0">
      <w:lvlJc w:val="left"/>
      <w:lvlText w:val="(%1)"/>
      <w:numFmt w:val="lowerLetter"/>
      <w:start w:val="7"/>
    </w:lvl>
  </w:abstractNum>
  <w:abstractNum w:abstractNumId="283">
    <w:nsid w:val="37E203AB"/>
    <w:multiLevelType w:val="hybridMultilevel"/>
    <w:lvl w:ilvl="0">
      <w:lvlJc w:val="left"/>
      <w:lvlText w:val="(%1)"/>
      <w:numFmt w:val="lowerLetter"/>
      <w:start w:val="11"/>
    </w:lvl>
  </w:abstractNum>
  <w:abstractNum w:abstractNumId="284">
    <w:nsid w:val="2586D60E"/>
    <w:multiLevelType w:val="hybridMultilevel"/>
    <w:lvl w:ilvl="0">
      <w:lvlJc w:val="left"/>
      <w:lvlText w:val="(%1)"/>
      <w:numFmt w:val="lowerLetter"/>
      <w:start w:val="14"/>
    </w:lvl>
  </w:abstractNum>
  <w:abstractNum w:abstractNumId="285">
    <w:nsid w:val="1F3DA4D5"/>
    <w:multiLevelType w:val="hybridMultilevel"/>
    <w:lvl w:ilvl="0">
      <w:lvlJc w:val="left"/>
      <w:lvlText w:val="(%1)"/>
      <w:numFmt w:val="lowerRoman"/>
      <w:start w:val="1"/>
    </w:lvl>
  </w:abstractNum>
  <w:abstractNum w:abstractNumId="286">
    <w:nsid w:val="74C93698"/>
    <w:multiLevelType w:val="hybridMultilevel"/>
    <w:lvl w:ilvl="0">
      <w:lvlJc w:val="left"/>
      <w:lvlText w:val="(%1)"/>
      <w:numFmt w:val="lowerLetter"/>
      <w:start w:val="1"/>
    </w:lvl>
  </w:abstractNum>
  <w:abstractNum w:abstractNumId="287">
    <w:nsid w:val="48781401"/>
    <w:multiLevelType w:val="hybridMultilevel"/>
    <w:lvl w:ilvl="0">
      <w:lvlJc w:val="left"/>
      <w:lvlText w:val="(%1)"/>
      <w:numFmt w:val="lowerLetter"/>
      <w:start w:val="1"/>
    </w:lvl>
  </w:abstractNum>
  <w:abstractNum w:abstractNumId="288">
    <w:nsid w:val="186928D6"/>
    <w:multiLevelType w:val="hybridMultilevel"/>
    <w:lvl w:ilvl="0">
      <w:lvlJc w:val="left"/>
      <w:lvlText w:val="(%1)"/>
      <w:numFmt w:val="lowerLetter"/>
      <w:start w:val="1"/>
    </w:lvl>
  </w:abstractNum>
  <w:abstractNum w:abstractNumId="289">
    <w:nsid w:val="47195E5"/>
    <w:multiLevelType w:val="hybridMultilevel"/>
    <w:lvl w:ilvl="0">
      <w:lvlJc w:val="left"/>
      <w:lvlText w:val="(%1)"/>
      <w:numFmt w:val="lowerLetter"/>
      <w:start w:val="2"/>
    </w:lvl>
  </w:abstractNum>
  <w:abstractNum w:abstractNumId="290">
    <w:nsid w:val="3746A5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91">
    <w:nsid w:val="682DFED6"/>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292">
    <w:nsid w:val="606ED7F6"/>
    <w:multiLevelType w:val="hybridMultilevel"/>
    <w:lvl w:ilvl="0">
      <w:lvlJc w:val="left"/>
      <w:lvlText w:val="(%1)"/>
      <w:numFmt w:val="lowerRoman"/>
      <w:start w:val="3"/>
    </w:lvl>
  </w:abstractNum>
  <w:abstractNum w:abstractNumId="293">
    <w:nsid w:val="2D9DF57D"/>
    <w:multiLevelType w:val="hybridMultilevel"/>
    <w:lvl w:ilvl="0">
      <w:lvlJc w:val="left"/>
      <w:lvlText w:val="(%1)"/>
      <w:numFmt w:val="lowerLetter"/>
      <w:start w:val="1"/>
    </w:lvl>
  </w:abstractNum>
  <w:abstractNum w:abstractNumId="294">
    <w:nsid w:val="7FBD7A3E"/>
    <w:multiLevelType w:val="hybridMultilevel"/>
    <w:lvl w:ilvl="0">
      <w:lvlJc w:val="left"/>
      <w:lvlText w:val="%1"/>
      <w:numFmt w:val="lowerLetter"/>
      <w:start w:val="1"/>
    </w:lvl>
    <w:lvl w:ilvl="1">
      <w:lvlJc w:val="left"/>
      <w:lvlText w:val="(%2)"/>
      <w:numFmt w:val="lowerRoman"/>
      <w:start w:val="1"/>
    </w:lvl>
  </w:abstractNum>
  <w:abstractNum w:abstractNumId="295">
    <w:nsid w:val="490B7C5"/>
    <w:multiLevelType w:val="hybridMultilevel"/>
    <w:lvl w:ilvl="0">
      <w:lvlJc w:val="left"/>
      <w:lvlText w:val="(%1)"/>
      <w:numFmt w:val="lowerLetter"/>
      <w:start w:val="2"/>
    </w:lvl>
    <w:lvl w:ilvl="1">
      <w:lvlJc w:val="left"/>
      <w:lvlText w:val="%2"/>
      <w:numFmt w:val="lowerRoman"/>
      <w:start w:val="1"/>
    </w:lvl>
  </w:abstractNum>
  <w:abstractNum w:abstractNumId="296">
    <w:nsid w:val="4303A216"/>
    <w:multiLevelType w:val="hybridMultilevel"/>
    <w:lvl w:ilvl="0">
      <w:lvlJc w:val="left"/>
      <w:lvlText w:val="(%1)"/>
      <w:numFmt w:val="lowerLetter"/>
      <w:start w:val="1"/>
    </w:lvl>
  </w:abstractNum>
  <w:abstractNum w:abstractNumId="297">
    <w:nsid w:val="19B8A08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98">
    <w:nsid w:val="54B5962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99">
    <w:nsid w:val="5992A02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00">
    <w:nsid w:val="29EF532D"/>
    <w:multiLevelType w:val="hybridMultilevel"/>
    <w:lvl w:ilvl="0">
      <w:lvlJc w:val="left"/>
      <w:lvlText w:val="(%1)"/>
      <w:numFmt w:val="lowerLetter"/>
      <w:start w:val="4"/>
    </w:lvl>
  </w:abstractNum>
  <w:abstractNum w:abstractNumId="301">
    <w:nsid w:val="71D601AF"/>
    <w:multiLevelType w:val="hybridMultilevel"/>
    <w:lvl w:ilvl="0">
      <w:lvlJc w:val="left"/>
      <w:lvlText w:val="(%1)"/>
      <w:numFmt w:val="lowerLetter"/>
      <w:start w:val="1"/>
    </w:lvl>
  </w:abstractNum>
  <w:abstractNum w:abstractNumId="302">
    <w:nsid w:val="52C77402"/>
    <w:multiLevelType w:val="hybridMultilevel"/>
    <w:lvl w:ilvl="0">
      <w:lvlJc w:val="left"/>
      <w:lvlText w:val="(%1)"/>
      <w:numFmt w:val="upperLetter"/>
      <w:start w:val="1"/>
    </w:lvl>
  </w:abstractNum>
  <w:abstractNum w:abstractNumId="303">
    <w:nsid w:val="2BB5B1C6"/>
    <w:multiLevelType w:val="hybridMultilevel"/>
    <w:lvl w:ilvl="0">
      <w:lvlJc w:val="left"/>
      <w:lvlText w:val="(%1)"/>
      <w:numFmt w:val="upperLetter"/>
      <w:start w:val="1"/>
    </w:lvl>
  </w:abstractNum>
  <w:abstractNum w:abstractNumId="304">
    <w:nsid w:val="66BE6B9"/>
    <w:multiLevelType w:val="hybridMultilevel"/>
    <w:lvl w:ilvl="0">
      <w:lvlJc w:val="left"/>
      <w:lvlText w:val="%1"/>
      <w:numFmt w:val="lowerRoman"/>
      <w:start w:val="1"/>
    </w:lvl>
    <w:lvl w:ilvl="1">
      <w:lvlJc w:val="left"/>
      <w:lvlText w:val="(%2)"/>
      <w:numFmt w:val="lowerRoman"/>
      <w:start w:val="3"/>
    </w:lvl>
  </w:abstractNum>
  <w:abstractNum w:abstractNumId="305">
    <w:nsid w:val="62234363"/>
    <w:multiLevelType w:val="hybridMultilevel"/>
    <w:lvl w:ilvl="0">
      <w:lvlJc w:val="left"/>
      <w:lvlText w:val="(%1)"/>
      <w:numFmt w:val="lowerRoman"/>
      <w:start w:val="7"/>
    </w:lvl>
    <w:lvl w:ilvl="1">
      <w:lvlJc w:val="left"/>
      <w:lvlText w:val="(%2)"/>
      <w:numFmt w:val="lowerRoman"/>
      <w:start w:val="6"/>
    </w:lvl>
  </w:abstractNum>
  <w:abstractNum w:abstractNumId="306">
    <w:nsid w:val="66D385C9"/>
    <w:multiLevelType w:val="hybridMultilevel"/>
    <w:lvl w:ilvl="0">
      <w:lvlJc w:val="left"/>
      <w:lvlText w:val="(%1)"/>
      <w:numFmt w:val="lowerRoman"/>
      <w:start w:val="7"/>
    </w:lvl>
  </w:abstractNum>
  <w:abstractNum w:abstractNumId="307">
    <w:nsid w:val="596F6D8A"/>
    <w:multiLevelType w:val="hybridMultilevel"/>
    <w:lvl w:ilvl="0">
      <w:lvlJc w:val="left"/>
      <w:lvlText w:val="(%1)"/>
      <w:numFmt w:val="lowerLetter"/>
      <w:start w:val="25"/>
    </w:lvl>
    <w:lvl w:ilvl="1">
      <w:lvlJc w:val="left"/>
      <w:lvlText w:val="(%2)"/>
      <w:numFmt w:val="lowerLetter"/>
      <w:start w:val="2"/>
    </w:lvl>
  </w:abstractNum>
  <w:abstractNum w:abstractNumId="308">
    <w:nsid w:val="5749361F"/>
    <w:multiLevelType w:val="hybridMultilevel"/>
    <w:lvl w:ilvl="0">
      <w:lvlJc w:val="left"/>
      <w:lvlText w:val="(%1)"/>
      <w:numFmt w:val="lowerRoman"/>
      <w:start w:val="2"/>
    </w:lvl>
  </w:abstractNum>
  <w:abstractNum w:abstractNumId="309">
    <w:nsid w:val="73BC6770"/>
    <w:multiLevelType w:val="hybridMultilevel"/>
    <w:lvl w:ilvl="0">
      <w:lvlJc w:val="left"/>
      <w:lvlText w:val="(%1)"/>
      <w:numFmt w:val="lowerLetter"/>
      <w:start w:val="3"/>
    </w:lvl>
  </w:abstractNum>
  <w:abstractNum w:abstractNumId="310">
    <w:nsid w:val="280E6897"/>
    <w:multiLevelType w:val="hybridMultilevel"/>
    <w:lvl w:ilvl="0">
      <w:lvlJc w:val="left"/>
      <w:lvlText w:val="%1"/>
      <w:numFmt w:val="lowerLetter"/>
      <w:start w:val="1"/>
    </w:lvl>
    <w:lvl w:ilvl="1">
      <w:lvlJc w:val="left"/>
      <w:lvlText w:val="(%2)"/>
      <w:numFmt w:val="lowerLetter"/>
      <w:start w:val="1"/>
    </w:lvl>
  </w:abstractNum>
  <w:abstractNum w:abstractNumId="311">
    <w:nsid w:val="605138DE"/>
    <w:multiLevelType w:val="hybridMultilevel"/>
    <w:lvl w:ilvl="0">
      <w:lvlJc w:val="left"/>
      <w:lvlText w:val="(%1)"/>
      <w:numFmt w:val="lowerLetter"/>
      <w:start w:val="2"/>
    </w:lvl>
    <w:lvl w:ilvl="1">
      <w:lvlJc w:val="left"/>
      <w:lvlText w:val="%2"/>
      <w:numFmt w:val="lowerLetter"/>
      <w:start w:val="1"/>
    </w:lvl>
  </w:abstractNum>
  <w:abstractNum w:abstractNumId="312">
    <w:nsid w:val="2622AD0C"/>
    <w:multiLevelType w:val="hybridMultilevel"/>
    <w:lvl w:ilvl="0">
      <w:lvlJc w:val="left"/>
      <w:lvlText w:val="(%1)"/>
      <w:numFmt w:val="lowerLetter"/>
      <w:start w:val="35"/>
    </w:lvl>
    <w:lvl w:ilvl="1">
      <w:lvlJc w:val="left"/>
      <w:lvlText w:val="(%2)"/>
      <w:numFmt w:val="lowerLetter"/>
      <w:start w:val="4"/>
    </w:lvl>
  </w:abstractNum>
  <w:abstractNum w:abstractNumId="313">
    <w:nsid w:val="67997556"/>
    <w:multiLevelType w:val="hybridMultilevel"/>
    <w:lvl w:ilvl="0">
      <w:lvlJc w:val="left"/>
      <w:lvlText w:val="(%1)"/>
      <w:numFmt w:val="lowerLetter"/>
      <w:start w:val="35"/>
    </w:lvl>
    <w:lvl w:ilvl="1">
      <w:lvlJc w:val="left"/>
      <w:lvlText w:val="%2"/>
      <w:numFmt w:val="lowerLetter"/>
      <w:start w:val="1"/>
    </w:lvl>
  </w:abstractNum>
  <w:abstractNum w:abstractNumId="314">
    <w:nsid w:val="18333C89"/>
    <w:multiLevelType w:val="hybridMultilevel"/>
    <w:lvl w:ilvl="0">
      <w:lvlJc w:val="left"/>
      <w:lvlText w:val="(%1)"/>
      <w:numFmt w:val="lowerLetter"/>
      <w:start w:val="1"/>
    </w:lvl>
  </w:abstractNum>
  <w:abstractNum w:abstractNumId="315">
    <w:nsid w:val="4BA9831A"/>
    <w:multiLevelType w:val="hybridMultilevel"/>
    <w:lvl w:ilvl="0">
      <w:lvlJc w:val="left"/>
      <w:lvlText w:val="(%1)"/>
      <w:numFmt w:val="lowerLetter"/>
      <w:start w:val="2"/>
    </w:lvl>
  </w:abstractNum>
  <w:abstractNum w:abstractNumId="316">
    <w:nsid w:val="6D71A2B"/>
    <w:multiLevelType w:val="hybridMultilevel"/>
    <w:lvl w:ilvl="0">
      <w:lvlJc w:val="left"/>
      <w:lvlText w:val="%1"/>
      <w:numFmt w:val="lowerLetter"/>
      <w:start w:val="1"/>
    </w:lvl>
    <w:lvl w:ilvl="1">
      <w:lvlJc w:val="left"/>
      <w:lvlText w:val="(%2)"/>
      <w:numFmt w:val="lowerLetter"/>
      <w:start w:val="1"/>
    </w:lvl>
  </w:abstractNum>
  <w:abstractNum w:abstractNumId="317">
    <w:nsid w:val="CFC7321"/>
    <w:multiLevelType w:val="hybridMultilevel"/>
    <w:lvl w:ilvl="0">
      <w:lvlJc w:val="left"/>
      <w:lvlText w:val="(%1)"/>
      <w:numFmt w:val="lowerLetter"/>
      <w:start w:val="61"/>
    </w:lvl>
    <w:lvl w:ilvl="1">
      <w:lvlJc w:val="left"/>
      <w:lvlText w:val="(%2)"/>
      <w:numFmt w:val="lowerLetter"/>
      <w:start w:val="2"/>
    </w:lvl>
  </w:abstractNum>
  <w:abstractNum w:abstractNumId="318">
    <w:nsid w:val="1421971B"/>
    <w:multiLevelType w:val="hybridMultilevel"/>
    <w:lvl w:ilvl="0">
      <w:lvlJc w:val="left"/>
      <w:lvlText w:val="%1"/>
      <w:numFmt w:val="lowerLetter"/>
      <w:start w:val="1"/>
    </w:lvl>
    <w:lvl w:ilvl="1">
      <w:lvlJc w:val="left"/>
      <w:lvlText w:val="(%2)"/>
      <w:numFmt w:val="lowerLetter"/>
      <w:start w:val="3"/>
    </w:lvl>
  </w:abstractNum>
  <w:abstractNum w:abstractNumId="319">
    <w:nsid w:val="1F404301"/>
    <w:multiLevelType w:val="hybridMultilevel"/>
    <w:lvl w:ilvl="0">
      <w:lvlJc w:val="left"/>
      <w:lvlText w:val="(%1)"/>
      <w:numFmt w:val="lowerLetter"/>
      <w:start w:val="35"/>
    </w:lvl>
    <w:lvl w:ilvl="1">
      <w:lvlJc w:val="left"/>
      <w:lvlText w:val="(%2)"/>
      <w:numFmt w:val="lowerLetter"/>
      <w:start w:val="4"/>
    </w:lvl>
  </w:abstractNum>
  <w:abstractNum w:abstractNumId="320">
    <w:nsid w:val="116E0907"/>
    <w:multiLevelType w:val="hybridMultilevel"/>
    <w:lvl w:ilvl="0">
      <w:lvlJc w:val="left"/>
      <w:lvlText w:val="(%1)"/>
      <w:numFmt w:val="lowerLetter"/>
      <w:start w:val="7"/>
    </w:lvl>
  </w:abstractNum>
  <w:abstractNum w:abstractNumId="321">
    <w:nsid w:val="4B683D0D"/>
    <w:multiLevelType w:val="hybridMultilevel"/>
    <w:lvl w:ilvl="0">
      <w:lvlJc w:val="left"/>
      <w:lvlText w:val="(%1)"/>
      <w:numFmt w:val="upperLetter"/>
      <w:start w:val="2"/>
    </w:lvl>
    <w:lvl w:ilvl="1">
      <w:lvlJc w:val="left"/>
      <w:lvlText w:val="(%2)"/>
      <w:numFmt w:val="lowerRoman"/>
      <w:start w:val="1"/>
    </w:lvl>
  </w:abstractNum>
  <w:abstractNum w:abstractNumId="322">
    <w:nsid w:val="76E41D8"/>
    <w:multiLevelType w:val="hybridMultilevel"/>
    <w:lvl w:ilvl="0">
      <w:lvlJc w:val="left"/>
      <w:lvlText w:val="(%1)"/>
      <w:numFmt w:val="lowerLetter"/>
      <w:start w:val="1"/>
    </w:lvl>
  </w:abstractNum>
  <w:abstractNum w:abstractNumId="323">
    <w:nsid w:val="71DCE0FD"/>
    <w:multiLevelType w:val="hybridMultilevel"/>
    <w:lvl w:ilvl="0">
      <w:lvlJc w:val="left"/>
      <w:lvlText w:val="(%1)"/>
      <w:numFmt w:val="lowerLetter"/>
      <w:start w:val="2"/>
    </w:lvl>
  </w:abstractNum>
  <w:abstractNum w:abstractNumId="324">
    <w:nsid w:val="7906328B"/>
    <w:multiLevelType w:val="hybridMultilevel"/>
    <w:lvl w:ilvl="0">
      <w:lvlJc w:val="left"/>
      <w:lvlText w:val="(%1)"/>
      <w:numFmt w:val="lowerLetter"/>
      <w:start w:val="1"/>
    </w:lvl>
  </w:abstractNum>
  <w:abstractNum w:abstractNumId="325">
    <w:nsid w:val="72BBC16"/>
    <w:multiLevelType w:val="hybridMultilevel"/>
    <w:lvl w:ilvl="0">
      <w:lvlJc w:val="left"/>
      <w:lvlText w:val="(%1)"/>
      <w:numFmt w:val="lowerLetter"/>
      <w:start w:val="1"/>
    </w:lvl>
  </w:abstractNum>
  <w:abstractNum w:abstractNumId="326">
    <w:nsid w:val="766D98C2"/>
    <w:multiLevelType w:val="hybridMultilevel"/>
    <w:lvl w:ilvl="0">
      <w:lvlJc w:val="left"/>
      <w:lvlText w:val="(%1)"/>
      <w:numFmt w:val="lowerRoman"/>
      <w:start w:val="2"/>
    </w:lvl>
  </w:abstractNum>
  <w:abstractNum w:abstractNumId="327">
    <w:nsid w:val="3C09D4A1"/>
    <w:multiLevelType w:val="hybridMultilevel"/>
    <w:lvl w:ilvl="0">
      <w:lvlJc w:val="left"/>
      <w:lvlText w:val="(%1)"/>
      <w:numFmt w:val="lowerLetter"/>
      <w:start w:val="1"/>
    </w:lvl>
  </w:abstractNum>
  <w:abstractNum w:abstractNumId="328">
    <w:nsid w:val="20E45CA4"/>
    <w:multiLevelType w:val="hybridMultilevel"/>
    <w:lvl w:ilvl="0">
      <w:lvlJc w:val="left"/>
      <w:lvlText w:val="(%1)"/>
      <w:numFmt w:val="lowerLetter"/>
      <w:start w:val="4"/>
    </w:lvl>
  </w:abstractNum>
  <w:abstractNum w:abstractNumId="329">
    <w:nsid w:val="4B232EE3"/>
    <w:multiLevelType w:val="hybridMultilevel"/>
    <w:lvl w:ilvl="0">
      <w:lvlJc w:val="left"/>
      <w:lvlText w:val="(%1)"/>
      <w:numFmt w:val="lowerLetter"/>
      <w:start w:val="1"/>
    </w:lvl>
  </w:abstractNum>
  <w:abstractNum w:abstractNumId="330">
    <w:nsid w:val="159C74CF"/>
    <w:multiLevelType w:val="hybridMultilevel"/>
    <w:lvl w:ilvl="0">
      <w:lvlJc w:val="left"/>
      <w:lvlText w:val="%1."/>
      <w:numFmt w:val="decimal"/>
      <w:start w:val="1"/>
    </w:lvl>
  </w:abstractNum>
  <w:abstractNum w:abstractNumId="331">
    <w:nsid w:val="4AD3AFD2"/>
    <w:multiLevelType w:val="hybridMultilevel"/>
    <w:lvl w:ilvl="0">
      <w:lvlJc w:val="left"/>
      <w:lvlText w:val="1"/>
      <w:numFmt w:val="bullet"/>
      <w:start w:val="1"/>
    </w:lvl>
  </w:abstractNum>
  <w:abstractNum w:abstractNumId="332">
    <w:nsid w:val="3CF93092"/>
    <w:multiLevelType w:val="hybridMultilevel"/>
    <w:lvl w:ilvl="0">
      <w:lvlJc w:val="left"/>
      <w:lvlText w:val="1"/>
      <w:numFmt w:val="bullet"/>
      <w:start w:val="1"/>
    </w:lvl>
  </w:abstractNum>
  <w:abstractNum w:abstractNumId="333">
    <w:nsid w:val="6863E8D2"/>
    <w:multiLevelType w:val="hybridMultilevel"/>
    <w:lvl w:ilvl="0">
      <w:lvlJc w:val="left"/>
      <w:lvlText w:val="2"/>
      <w:numFmt w:val="bullet"/>
      <w:start w:val="1"/>
    </w:lvl>
  </w:abstractNum>
  <w:abstractNum w:abstractNumId="334">
    <w:nsid w:val="76896198"/>
    <w:multiLevelType w:val="hybridMultilevel"/>
    <w:lvl w:ilvl="0">
      <w:lvlJc w:val="left"/>
      <w:lvlText w:val="3"/>
      <w:numFmt w:val="bullet"/>
      <w:start w:val="1"/>
    </w:lvl>
  </w:abstractNum>
  <w:abstractNum w:abstractNumId="335">
    <w:nsid w:val="4365174B"/>
    <w:multiLevelType w:val="hybridMultilevel"/>
    <w:lvl w:ilvl="0">
      <w:lvlJc w:val="left"/>
      <w:lvlText w:val="4"/>
      <w:numFmt w:val="bullet"/>
      <w:start w:val="1"/>
    </w:lvl>
  </w:abstractNum>
  <w:abstractNum w:abstractNumId="336">
    <w:nsid w:val="4A872C35"/>
    <w:multiLevelType w:val="hybridMultilevel"/>
    <w:lvl w:ilvl="0">
      <w:lvlJc w:val="left"/>
      <w:lvlText w:val="5"/>
      <w:numFmt w:val="bullet"/>
      <w:start w:val="1"/>
    </w:lvl>
  </w:abstractNum>
  <w:abstractNum w:abstractNumId="337">
    <w:nsid w:val="5D5CE761"/>
    <w:multiLevelType w:val="hybridMultilevel"/>
    <w:lvl w:ilvl="0">
      <w:lvlJc w:val="left"/>
      <w:lvlText w:val="6"/>
      <w:numFmt w:val="bullet"/>
      <w:start w:val="1"/>
    </w:lvl>
  </w:abstractNum>
  <w:abstractNum w:abstractNumId="338">
    <w:nsid w:val="1CD484D5"/>
    <w:multiLevelType w:val="hybridMultilevel"/>
    <w:lvl w:ilvl="0">
      <w:lvlJc w:val="left"/>
      <w:lvlText w:val="7"/>
      <w:numFmt w:val="bullet"/>
      <w:start w:val="1"/>
    </w:lvl>
  </w:abstractNum>
  <w:abstractNum w:abstractNumId="339">
    <w:nsid w:val="21D06255"/>
    <w:multiLevelType w:val="hybridMultilevel"/>
    <w:lvl w:ilvl="0">
      <w:lvlJc w:val="left"/>
      <w:lvlText w:val="%1."/>
      <w:numFmt w:val="decimal"/>
      <w:start w:val="1"/>
    </w:lvl>
  </w:abstractNum>
  <w:abstractNum w:abstractNumId="340">
    <w:nsid w:val="51194ED1"/>
    <w:multiLevelType w:val="hybridMultilevel"/>
    <w:lvl w:ilvl="0">
      <w:lvlJc w:val="left"/>
      <w:lvlText w:val="(%1)"/>
      <w:numFmt w:val="lowerRoman"/>
      <w:start w:val="2"/>
    </w:lvl>
  </w:abstractNum>
  <w:abstractNum w:abstractNumId="341">
    <w:nsid w:val="44E2ED6C"/>
    <w:multiLevelType w:val="hybridMultilevel"/>
    <w:lvl w:ilvl="0">
      <w:lvlJc w:val="left"/>
      <w:lvlText w:val="1"/>
      <w:numFmt w:val="bullet"/>
      <w:start w:val="1"/>
    </w:lvl>
  </w:abstractNum>
  <w:abstractNum w:abstractNumId="342">
    <w:nsid w:val="2219B33"/>
    <w:multiLevelType w:val="hybridMultilevel"/>
    <w:lvl w:ilvl="0">
      <w:lvlJc w:val="left"/>
      <w:lvlText w:val="3"/>
      <w:numFmt w:val="bullet"/>
      <w:start w:val="1"/>
    </w:lvl>
  </w:abstractNum>
  <w:abstractNum w:abstractNumId="343">
    <w:nsid w:val="773BFBDD"/>
    <w:multiLevelType w:val="hybridMultilevel"/>
    <w:lvl w:ilvl="0">
      <w:lvlJc w:val="left"/>
      <w:lvlText w:val="%1."/>
      <w:numFmt w:val="decimal"/>
      <w:start w:val="2"/>
    </w:lvl>
    <w:lvl w:ilvl="1">
      <w:lvlJc w:val="left"/>
      <w:lvlText w:val="*"/>
      <w:numFmt w:val="bullet"/>
      <w:start w:val="1"/>
    </w:lvl>
  </w:abstractNum>
  <w:abstractNum w:abstractNumId="344">
    <w:nsid w:val="2C7C62C2"/>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345">
    <w:nsid w:val="1A54D7BC"/>
    <w:multiLevelType w:val="hybridMultilevel"/>
    <w:lvl w:ilvl="0">
      <w:lvlJc w:val="left"/>
      <w:lvlText w:val="%1."/>
      <w:numFmt w:val="decimal"/>
      <w:start w:val="3"/>
    </w:lvl>
  </w:abstractNum>
  <w:abstractNum w:abstractNumId="346">
    <w:nsid w:val="42E57EF7"/>
    <w:multiLevelType w:val="hybridMultilevel"/>
    <w:lvl w:ilvl="0">
      <w:lvlJc w:val="left"/>
      <w:lvlText w:val="5"/>
      <w:numFmt w:val="bullet"/>
      <w:start w:val="1"/>
    </w:lvl>
  </w:abstractNum>
  <w:abstractNum w:abstractNumId="347">
    <w:nsid w:val="33537CED"/>
    <w:multiLevelType w:val="hybridMultilevel"/>
    <w:lvl w:ilvl="0">
      <w:lvlJc w:val="left"/>
      <w:lvlText w:val="6"/>
      <w:numFmt w:val="bullet"/>
      <w:start w:val="1"/>
    </w:lvl>
  </w:abstractNum>
  <w:abstractNum w:abstractNumId="348">
    <w:nsid w:val="27514ADE"/>
    <w:multiLevelType w:val="hybridMultilevel"/>
    <w:lvl w:ilvl="0">
      <w:lvlJc w:val="left"/>
      <w:lvlText w:val="(%1)"/>
      <w:numFmt w:val="upperLetter"/>
      <w:start w:val="3"/>
    </w:lvl>
  </w:abstractNum>
  <w:abstractNum w:abstractNumId="349">
    <w:nsid w:val="57071613"/>
    <w:multiLevelType w:val="hybridMultilevel"/>
    <w:lvl w:ilvl="0">
      <w:lvlJc w:val="left"/>
      <w:lvlText w:val="(%1)"/>
      <w:numFmt w:val="lowerRoman"/>
      <w:start w:val="3"/>
    </w:lvl>
  </w:abstractNum>
  <w:abstractNum w:abstractNumId="350">
    <w:nsid w:val="5293BFEF"/>
    <w:multiLevelType w:val="hybridMultilevel"/>
    <w:lvl w:ilvl="0">
      <w:lvlJc w:val="left"/>
      <w:lvlText w:val="(%1)"/>
      <w:numFmt w:val="lowerLetter"/>
      <w:start w:val="25"/>
    </w:lvl>
  </w:abstractNum>
  <w:abstractNum w:abstractNumId="351">
    <w:nsid w:val="38BF53E5"/>
    <w:multiLevelType w:val="hybridMultilevel"/>
    <w:lvl w:ilvl="0">
      <w:lvlJc w:val="left"/>
      <w:lvlText w:val="(%1)"/>
      <w:numFmt w:val="lowerLetter"/>
      <w:start w:val="1"/>
    </w:lvl>
  </w:abstractNum>
  <w:abstractNum w:abstractNumId="352">
    <w:nsid w:val="226F5320"/>
    <w:multiLevelType w:val="hybridMultilevel"/>
    <w:lvl w:ilvl="0">
      <w:lvlJc w:val="left"/>
      <w:lvlText w:val="(%1)"/>
      <w:numFmt w:val="upperLetter"/>
      <w:start w:val="2"/>
    </w:lvl>
  </w:abstractNum>
  <w:abstractNum w:abstractNumId="353">
    <w:nsid w:val="5A0201C7"/>
    <w:multiLevelType w:val="hybridMultilevel"/>
    <w:lvl w:ilvl="0">
      <w:lvlJc w:val="left"/>
      <w:lvlText w:val="%1)"/>
      <w:numFmt w:val="lowerLetter"/>
      <w:start w:val="3"/>
    </w:lvl>
  </w:abstractNum>
  <w:abstractNum w:abstractNumId="354">
    <w:nsid w:val="2A9C34E2"/>
    <w:multiLevelType w:val="hybridMultilevel"/>
    <w:lvl w:ilvl="0">
      <w:lvlJc w:val="left"/>
      <w:lvlText w:val="(%1)"/>
      <w:numFmt w:val="lowerLetter"/>
      <w:start w:val="3"/>
    </w:lvl>
  </w:abstractNum>
  <w:abstractNum w:abstractNumId="355">
    <w:nsid w:val="1B7585AB"/>
    <w:multiLevelType w:val="hybridMultilevel"/>
    <w:lvl w:ilvl="0">
      <w:lvlJc w:val="left"/>
      <w:lvlText w:val="(%1)"/>
      <w:numFmt w:val="lowerRoman"/>
      <w:start w:val="1"/>
    </w:lvl>
  </w:abstractNum>
  <w:abstractNum w:abstractNumId="356">
    <w:nsid w:val="612DBDDD"/>
    <w:multiLevelType w:val="hybridMultilevel"/>
    <w:lvl w:ilvl="0">
      <w:lvlJc w:val="left"/>
      <w:lvlText w:val="(%1)"/>
      <w:numFmt w:val="lowerLetter"/>
      <w:start w:val="1"/>
    </w:lvl>
    <w:lvl w:ilvl="1">
      <w:lvlJc w:val="left"/>
      <w:lvlText w:val="%2"/>
      <w:numFmt w:val="lowerLetter"/>
      <w:start w:val="1"/>
    </w:lvl>
  </w:abstractNum>
  <w:abstractNum w:abstractNumId="357">
    <w:nsid w:val="2109CDA4"/>
    <w:multiLevelType w:val="hybridMultilevel"/>
    <w:lvl w:ilvl="0">
      <w:lvlJc w:val="left"/>
      <w:lvlText w:val="(%1)"/>
      <w:numFmt w:val="lowerLetter"/>
      <w:start w:val="9"/>
    </w:lvl>
    <w:lvl w:ilvl="1">
      <w:lvlJc w:val="left"/>
      <w:lvlText w:val="%2"/>
      <w:numFmt w:val="lowerLetter"/>
      <w:start w:val="1"/>
    </w:lvl>
  </w:abstractNum>
  <w:abstractNum w:abstractNumId="358">
    <w:nsid w:val="577F5A4D"/>
    <w:multiLevelType w:val="hybridMultilevel"/>
    <w:lvl w:ilvl="0">
      <w:lvlJc w:val="left"/>
      <w:lvlText w:val="•"/>
      <w:numFmt w:val="bullet"/>
      <w:start w:val="1"/>
    </w:lvl>
    <w:lvl w:ilvl="1">
      <w:lvlJc w:val="left"/>
      <w:lvlText w:val="(%2)"/>
      <w:numFmt w:val="lowerLetter"/>
      <w:start w:val="1"/>
    </w:lvl>
  </w:abstractNum>
  <w:abstractNum w:abstractNumId="359">
    <w:nsid w:val="2121A81"/>
    <w:multiLevelType w:val="hybridMultilevel"/>
    <w:lvl w:ilvl="0">
      <w:lvlJc w:val="left"/>
      <w:lvlText w:val="•"/>
      <w:numFmt w:val="bullet"/>
      <w:start w:val="1"/>
    </w:lvl>
  </w:abstractNum>
  <w:abstractNum w:abstractNumId="360">
    <w:nsid w:val="6C2CFC88"/>
    <w:multiLevelType w:val="hybridMultilevel"/>
    <w:lvl w:ilvl="0">
      <w:lvlJc w:val="left"/>
      <w:lvlText w:val="(%1)"/>
      <w:numFmt w:val="lowerRoman"/>
      <w:start w:val="1"/>
    </w:lvl>
  </w:abstractNum>
  <w:abstractNum w:abstractNumId="361">
    <w:nsid w:val="6D1BCF1C"/>
    <w:multiLevelType w:val="hybridMultilevel"/>
    <w:lvl w:ilvl="0">
      <w:lvlJc w:val="left"/>
      <w:lvlText w:val="(%1)"/>
      <w:numFmt w:val="lowerRoman"/>
      <w:start w:val="10"/>
    </w:lvl>
  </w:abstractNum>
  <w:abstractNum w:abstractNumId="362">
    <w:nsid w:val="4CE5CA53"/>
    <w:multiLevelType w:val="hybridMultilevel"/>
    <w:lvl w:ilvl="0">
      <w:lvlJc w:val="left"/>
      <w:lvlText w:val="%1."/>
      <w:numFmt w:val="decimal"/>
      <w:start w:val="2"/>
    </w:lvl>
  </w:abstractNum>
  <w:abstractNum w:abstractNumId="363">
    <w:nsid w:val="29262D1A"/>
    <w:multiLevelType w:val="hybridMultilevel"/>
    <w:lvl w:ilvl="0">
      <w:lvlJc w:val="left"/>
      <w:lvlText w:val="(%1)"/>
      <w:numFmt w:val="lowerRoman"/>
      <w:start w:val="3"/>
    </w:lvl>
  </w:abstractNum>
  <w:abstractNum w:abstractNumId="364">
    <w:nsid w:val="557FB7EE"/>
    <w:multiLevelType w:val="hybridMultilevel"/>
    <w:lvl w:ilvl="0">
      <w:lvlJc w:val="left"/>
      <w:lvlText w:val="2"/>
      <w:numFmt w:val="bullet"/>
      <w:start w:val="1"/>
    </w:lvl>
  </w:abstractNum>
  <w:abstractNum w:abstractNumId="365">
    <w:nsid w:val="436F2BEB"/>
    <w:multiLevelType w:val="hybridMultilevel"/>
    <w:lvl w:ilvl="0">
      <w:lvlJc w:val="left"/>
      <w:lvlText w:val="3"/>
      <w:numFmt w:val="bullet"/>
      <w:start w:val="1"/>
    </w:lvl>
  </w:abstractNum>
  <w:abstractNum w:abstractNumId="366">
    <w:nsid w:val="6C8B4466"/>
    <w:multiLevelType w:val="hybridMultilevel"/>
    <w:lvl w:ilvl="0">
      <w:lvlJc w:val="left"/>
      <w:lvlText w:val="(%1)"/>
      <w:numFmt w:val="upperLetter"/>
      <w:start w:val="1"/>
    </w:lvl>
  </w:abstractNum>
  <w:abstractNum w:abstractNumId="367">
    <w:nsid w:val="2006E424"/>
    <w:multiLevelType w:val="hybridMultilevel"/>
    <w:lvl w:ilvl="0">
      <w:lvlJc w:val="left"/>
      <w:lvlText w:val="4"/>
      <w:numFmt w:val="bullet"/>
      <w:start w:val="1"/>
    </w:lvl>
  </w:abstractNum>
  <w:abstractNum w:abstractNumId="368">
    <w:nsid w:val="20CC134C"/>
    <w:multiLevelType w:val="hybridMultilevel"/>
    <w:lvl w:ilvl="0">
      <w:lvlJc w:val="left"/>
      <w:lvlText w:val="1"/>
      <w:numFmt w:val="bullet"/>
      <w:start w:val="1"/>
    </w:lvl>
  </w:abstractNum>
  <w:abstractNum w:abstractNumId="369">
    <w:nsid w:val="95FC93B"/>
    <w:multiLevelType w:val="hybridMultilevel"/>
    <w:lvl w:ilvl="0">
      <w:lvlJc w:val="left"/>
      <w:lvlText w:val="2"/>
      <w:numFmt w:val="bullet"/>
      <w:start w:val="1"/>
    </w:lvl>
  </w:abstractNum>
  <w:abstractNum w:abstractNumId="370">
    <w:nsid w:val="41D74679"/>
    <w:multiLevelType w:val="hybridMultilevel"/>
    <w:lvl w:ilvl="0">
      <w:lvlJc w:val="left"/>
      <w:lvlText w:val="3"/>
      <w:numFmt w:val="bullet"/>
      <w:start w:val="1"/>
    </w:lvl>
  </w:abstractNum>
  <w:abstractNum w:abstractNumId="371">
    <w:nsid w:val="71E5621E"/>
    <w:multiLevelType w:val="hybridMultilevel"/>
    <w:lvl w:ilvl="0">
      <w:lvlJc w:val="left"/>
      <w:lvlText w:val="4"/>
      <w:numFmt w:val="bullet"/>
      <w:start w:val="1"/>
    </w:lvl>
  </w:abstractNum>
  <w:abstractNum w:abstractNumId="372">
    <w:nsid w:val="4E42B6A8"/>
    <w:multiLevelType w:val="hybridMultilevel"/>
    <w:lvl w:ilvl="0">
      <w:lvlJc w:val="left"/>
      <w:lvlText w:val="1"/>
      <w:numFmt w:val="bullet"/>
      <w:start w:val="1"/>
    </w:lvl>
  </w:abstractNum>
  <w:abstractNum w:abstractNumId="373">
    <w:nsid w:val="43F8E1AC"/>
    <w:multiLevelType w:val="hybridMultilevel"/>
    <w:lvl w:ilvl="0">
      <w:lvlJc w:val="left"/>
      <w:lvlText w:val="2"/>
      <w:numFmt w:val="bullet"/>
      <w:start w:val="1"/>
    </w:lvl>
  </w:abstractNum>
  <w:abstractNum w:abstractNumId="374">
    <w:nsid w:val="69215DFB"/>
    <w:multiLevelType w:val="hybridMultilevel"/>
    <w:lvl w:ilvl="0">
      <w:lvlJc w:val="left"/>
      <w:lvlText w:val="["/>
      <w:numFmt w:val="bullet"/>
      <w:start w:val="1"/>
    </w:lvl>
  </w:abstractNum>
  <w:abstractNum w:abstractNumId="375">
    <w:nsid w:val="7ABF196A"/>
    <w:multiLevelType w:val="hybridMultilevel"/>
    <w:lvl w:ilvl="0">
      <w:lvlJc w:val="left"/>
      <w:lvlText w:val="1"/>
      <w:numFmt w:val="bullet"/>
      <w:start w:val="1"/>
    </w:lvl>
  </w:abstractNum>
  <w:abstractNum w:abstractNumId="376">
    <w:nsid w:val="5E4DB968"/>
    <w:multiLevelType w:val="hybridMultilevel"/>
    <w:lvl w:ilvl="0">
      <w:lvlJc w:val="left"/>
      <w:lvlText w:val="2"/>
      <w:numFmt w:val="bullet"/>
      <w:start w:val="1"/>
    </w:lvl>
  </w:abstractNum>
  <w:abstractNum w:abstractNumId="377">
    <w:nsid w:val="2C06DCF3"/>
    <w:multiLevelType w:val="hybridMultilevel"/>
    <w:lvl w:ilvl="0">
      <w:lvlJc w:val="left"/>
      <w:lvlText w:val="3"/>
      <w:numFmt w:val="bullet"/>
      <w:start w:val="1"/>
    </w:lvl>
  </w:abstractNum>
  <w:abstractNum w:abstractNumId="378">
    <w:nsid w:val="2E129658"/>
    <w:multiLevelType w:val="hybridMultilevel"/>
    <w:lvl w:ilvl="0">
      <w:lvlJc w:val="left"/>
      <w:lvlText w:val="4"/>
      <w:numFmt w:val="bullet"/>
      <w:start w:val="1"/>
    </w:lvl>
  </w:abstractNum>
  <w:abstractNum w:abstractNumId="379">
    <w:nsid w:val="59F0446"/>
    <w:multiLevelType w:val="hybridMultilevel"/>
    <w:lvl w:ilvl="0">
      <w:lvlJc w:val="left"/>
      <w:lvlText w:val="(%1)"/>
      <w:numFmt w:val="upperLetter"/>
      <w:start w:val="1"/>
    </w:lvl>
  </w:abstractNum>
  <w:abstractNum w:abstractNumId="380">
    <w:nsid w:val="30DF306"/>
    <w:multiLevelType w:val="hybridMultilevel"/>
    <w:lvl w:ilvl="0">
      <w:lvlJc w:val="left"/>
      <w:lvlText w:val="5"/>
      <w:numFmt w:val="bullet"/>
      <w:start w:val="1"/>
    </w:lvl>
  </w:abstractNum>
  <w:abstractNum w:abstractNumId="381">
    <w:nsid w:val="A65647"/>
    <w:multiLevelType w:val="hybridMultilevel"/>
    <w:lvl w:ilvl="0">
      <w:lvlJc w:val="left"/>
      <w:lvlText w:val="6"/>
      <w:numFmt w:val="bullet"/>
      <w:start w:val="1"/>
    </w:lvl>
  </w:abstractNum>
  <w:abstractNum w:abstractNumId="382">
    <w:nsid w:val="3E5E582B"/>
    <w:multiLevelType w:val="hybridMultilevel"/>
    <w:lvl w:ilvl="0">
      <w:lvlJc w:val="left"/>
      <w:lvlText w:val="(%1)"/>
      <w:numFmt w:val="upperLetter"/>
      <w:start w:val="3"/>
    </w:lvl>
  </w:abstractNum>
  <w:abstractNum w:abstractNumId="383">
    <w:nsid w:val="257D4626"/>
    <w:multiLevelType w:val="hybridMultilevel"/>
    <w:lvl w:ilvl="0">
      <w:lvlJc w:val="left"/>
      <w:lvlText w:val="(%1)"/>
      <w:numFmt w:val="upperLetter"/>
      <w:start w:val="3"/>
    </w:lvl>
  </w:abstractNum>
  <w:abstractNum w:abstractNumId="384">
    <w:nsid w:val="5AA8580E"/>
    <w:multiLevelType w:val="hybridMultilevel"/>
    <w:lvl w:ilvl="0">
      <w:lvlJc w:val="left"/>
      <w:lvlText w:val="%1."/>
      <w:numFmt w:val="decimal"/>
      <w:start w:val="1"/>
    </w:lvl>
    <w:lvl w:ilvl="1">
      <w:lvlJc w:val="left"/>
      <w:lvlText w:val="(%2)"/>
      <w:numFmt w:val="lowerRoman"/>
      <w:start w:val="1"/>
    </w:lvl>
  </w:abstractNum>
  <w:abstractNum w:abstractNumId="385">
    <w:nsid w:val="68FA8D0D"/>
    <w:multiLevelType w:val="hybridMultilevel"/>
    <w:lvl w:ilvl="0">
      <w:lvlJc w:val="left"/>
      <w:lvlText w:val="(%1)"/>
      <w:numFmt w:val="lowerLetter"/>
      <w:start w:val="1"/>
    </w:lvl>
  </w:abstractNum>
  <w:abstractNum w:abstractNumId="386">
    <w:nsid w:val="40F2CBD2"/>
    <w:multiLevelType w:val="hybridMultilevel"/>
    <w:lvl w:ilvl="0">
      <w:lvlJc w:val="left"/>
      <w:lvlText w:val="(%1)"/>
      <w:numFmt w:val="lowerLetter"/>
      <w:start w:val="1"/>
    </w:lvl>
  </w:abstractNum>
  <w:abstractNum w:abstractNumId="387">
    <w:nsid w:val="3BD615EB"/>
    <w:multiLevelType w:val="hybridMultilevel"/>
    <w:lvl w:ilvl="0">
      <w:lvlJc w:val="left"/>
      <w:lvlText w:val="%1."/>
      <w:numFmt w:val="decimal"/>
      <w:start w:val="1"/>
    </w:lvl>
  </w:abstractNum>
  <w:abstractNum w:abstractNumId="388">
    <w:nsid w:val="A045AB2"/>
    <w:multiLevelType w:val="hybridMultilevel"/>
    <w:lvl w:ilvl="0">
      <w:lvlJc w:val="left"/>
      <w:lvlText w:val="%1."/>
      <w:numFmt w:val="decimal"/>
      <w:start w:val="1"/>
    </w:lvl>
    <w:lvl w:ilvl="1">
      <w:lvlJc w:val="left"/>
      <w:lvlText w:val="(%2)"/>
      <w:numFmt w:val="lowerLetter"/>
      <w:start w:val="1"/>
    </w:lvl>
  </w:abstractNum>
  <w:abstractNum w:abstractNumId="389">
    <w:nsid w:val="1872261F"/>
    <w:multiLevelType w:val="hybridMultilevel"/>
    <w:lvl w:ilvl="0">
      <w:lvlJc w:val="left"/>
      <w:lvlText w:val="%1."/>
      <w:numFmt w:val="decimal"/>
      <w:start w:val="1"/>
    </w:lvl>
    <w:lvl w:ilvl="1">
      <w:lvlJc w:val="left"/>
      <w:lvlText w:val="(%2)"/>
      <w:numFmt w:val="lowerLetter"/>
      <w:start w:val="1"/>
    </w:lvl>
  </w:abstractNum>
  <w:abstractNum w:abstractNumId="390">
    <w:nsid w:val="3DE830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jpeg"/><Relationship Id="rId110" Type="http://schemas.openxmlformats.org/officeDocument/2006/relationships/image" Target="media/image101.jpe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jpe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jpe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jpeg"/><Relationship Id="rId315" Type="http://schemas.openxmlformats.org/officeDocument/2006/relationships/image" Target="media/image306.png"/><Relationship Id="rId316" Type="http://schemas.openxmlformats.org/officeDocument/2006/relationships/image" Target="media/image307.jpeg"/><Relationship Id="rId317" Type="http://schemas.openxmlformats.org/officeDocument/2006/relationships/image" Target="media/image308.jpe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jpeg"/><Relationship Id="rId321" Type="http://schemas.openxmlformats.org/officeDocument/2006/relationships/image" Target="media/image312.png"/><Relationship Id="rId322" Type="http://schemas.openxmlformats.org/officeDocument/2006/relationships/image" Target="media/image313.jpeg"/><Relationship Id="rId323" Type="http://schemas.openxmlformats.org/officeDocument/2006/relationships/image" Target="media/image314.png"/><Relationship Id="rId324" Type="http://schemas.openxmlformats.org/officeDocument/2006/relationships/image" Target="media/image315.jpeg"/><Relationship Id="rId325" Type="http://schemas.openxmlformats.org/officeDocument/2006/relationships/image" Target="media/image316.png"/><Relationship Id="rId326" Type="http://schemas.openxmlformats.org/officeDocument/2006/relationships/image" Target="media/image317.jpeg"/><Relationship Id="rId327" Type="http://schemas.openxmlformats.org/officeDocument/2006/relationships/image" Target="media/image318.jpeg"/><Relationship Id="rId328" Type="http://schemas.openxmlformats.org/officeDocument/2006/relationships/image" Target="media/image319.jpe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jpe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jpeg"/><Relationship Id="rId335" Type="http://schemas.openxmlformats.org/officeDocument/2006/relationships/image" Target="media/image326.png"/><Relationship Id="rId336" Type="http://schemas.openxmlformats.org/officeDocument/2006/relationships/image" Target="media/image327.jpe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jpeg"/><Relationship Id="rId340" Type="http://schemas.openxmlformats.org/officeDocument/2006/relationships/image" Target="media/image331.jpeg"/><Relationship Id="rId341" Type="http://schemas.openxmlformats.org/officeDocument/2006/relationships/image" Target="media/image332.jpeg"/><Relationship Id="rId342" Type="http://schemas.openxmlformats.org/officeDocument/2006/relationships/image" Target="media/image333.jpeg"/><Relationship Id="rId343" Type="http://schemas.openxmlformats.org/officeDocument/2006/relationships/image" Target="media/image334.jpeg"/><Relationship Id="rId344" Type="http://schemas.openxmlformats.org/officeDocument/2006/relationships/image" Target="media/image335.jpe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jpeg"/><Relationship Id="rId348" Type="http://schemas.openxmlformats.org/officeDocument/2006/relationships/image" Target="media/image339.jpe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jpeg"/><Relationship Id="rId354" Type="http://schemas.openxmlformats.org/officeDocument/2006/relationships/image" Target="media/image345.jpeg"/><Relationship Id="rId355" Type="http://schemas.openxmlformats.org/officeDocument/2006/relationships/image" Target="media/image346.png"/><Relationship Id="rId356" Type="http://schemas.openxmlformats.org/officeDocument/2006/relationships/image" Target="media/image347.jpeg"/><Relationship Id="rId357" Type="http://schemas.openxmlformats.org/officeDocument/2006/relationships/image" Target="media/image348.png"/><Relationship Id="rId358" Type="http://schemas.openxmlformats.org/officeDocument/2006/relationships/image" Target="media/image349.jpe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jpe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jpe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jpe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jpe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jpeg"/><Relationship Id="rId431" Type="http://schemas.openxmlformats.org/officeDocument/2006/relationships/image" Target="media/image422.jpeg"/><Relationship Id="rId432" Type="http://schemas.openxmlformats.org/officeDocument/2006/relationships/image" Target="media/image423.jpe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jpe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jpe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jpe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jpeg"/><Relationship Id="rId473" Type="http://schemas.openxmlformats.org/officeDocument/2006/relationships/image" Target="media/image464.jpe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99" Type="http://schemas.openxmlformats.org/officeDocument/2006/relationships/hyperlink" Target="https://www.sec.gov/Archives/edgar/data/1286139/000119312521207613/d65054d8k.htm" TargetMode="External"/><Relationship Id="rId100" Type="http://schemas.openxmlformats.org/officeDocument/2006/relationships/hyperlink" Target="https://www.sec.gov/Archives/edgar/data/1286139/000119312521194089/d146270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2021-11-10T15:54:27Z</dcterms:created>
  <dcterms:modified xsi:type="dcterms:W3CDTF">2021-11-10T15:54:27Z</dcterms:modified>
</cp:coreProperties>
</file>